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AC18D28" w14:textId="18A501C3" w:rsid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color w:val="FF0000"/>
              <w:sz w:val="28"/>
              <w:szCs w:val="28"/>
            </w:rPr>
          </w:pPr>
        </w:p>
        <w:p w14:paraId="34B744B6" w14:textId="41D75F44" w:rsidR="00A213A4" w:rsidRPr="00A213A4" w:rsidRDefault="00A213A4" w:rsidP="00092B6D">
          <w:pPr>
            <w:pBdr>
              <w:top w:val="nil"/>
              <w:left w:val="nil"/>
              <w:bottom w:val="nil"/>
              <w:right w:val="nil"/>
              <w:between w:val="nil"/>
              <w:bar w:val="nil"/>
            </w:pBdr>
            <w:suppressAutoHyphens/>
            <w:spacing w:after="40" w:line="240" w:lineRule="auto"/>
            <w:jc w:val="center"/>
            <w:rPr>
              <w:rStyle w:val="Hipersaitas"/>
              <w:rFonts w:cstheme="minorHAnsi"/>
              <w:b/>
              <w:bCs/>
              <w:noProof/>
            </w:rPr>
          </w:pPr>
          <w:r w:rsidRPr="00A213A4">
            <w:rPr>
              <w:rStyle w:val="Hipersaitas"/>
              <w:rFonts w:cstheme="minorHAnsi"/>
              <w:b/>
              <w:bCs/>
              <w:noProof/>
              <w:sz w:val="28"/>
              <w:szCs w:val="28"/>
            </w:rPr>
            <w:t>MEDŽIO SKIEDRA (KURAS)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2AA8AB9C" w14:textId="08C16867" w:rsidR="00EA782F" w:rsidRDefault="00092B6D" w:rsidP="003B3840">
          <w:pPr>
            <w:pStyle w:val="Turinys1"/>
            <w:ind w:firstLine="360"/>
            <w:rPr>
              <w:noProof/>
              <w:kern w:val="2"/>
              <w:sz w:val="24"/>
              <w:szCs w:val="24"/>
              <w:lang w:val="en-US" w:eastAsia="en-US"/>
              <w14:ligatures w14:val="standardContextual"/>
            </w:rPr>
          </w:pP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hyperlink w:anchor="_Toc211580766" w:history="1">
            <w:r w:rsidR="00EA782F" w:rsidRPr="009524E6">
              <w:rPr>
                <w:rStyle w:val="Hipersaitas"/>
                <w:rFonts w:cstheme="minorHAnsi"/>
                <w:noProof/>
              </w:rPr>
              <w:t>1.Bendrosios nuostatos</w:t>
            </w:r>
            <w:r w:rsidR="00EA782F">
              <w:rPr>
                <w:noProof/>
                <w:webHidden/>
              </w:rPr>
              <w:tab/>
            </w:r>
            <w:r w:rsidR="00EA782F">
              <w:rPr>
                <w:noProof/>
                <w:webHidden/>
              </w:rPr>
              <w:fldChar w:fldCharType="begin"/>
            </w:r>
            <w:r w:rsidR="00EA782F">
              <w:rPr>
                <w:noProof/>
                <w:webHidden/>
              </w:rPr>
              <w:instrText xml:space="preserve"> PAGEREF _Toc211580766 \h </w:instrText>
            </w:r>
            <w:r w:rsidR="00EA782F">
              <w:rPr>
                <w:noProof/>
                <w:webHidden/>
              </w:rPr>
            </w:r>
            <w:r w:rsidR="00EA782F">
              <w:rPr>
                <w:noProof/>
                <w:webHidden/>
              </w:rPr>
              <w:fldChar w:fldCharType="separate"/>
            </w:r>
            <w:r w:rsidR="003B3840">
              <w:rPr>
                <w:noProof/>
                <w:webHidden/>
              </w:rPr>
              <w:t>2</w:t>
            </w:r>
            <w:r w:rsidR="00EA782F">
              <w:rPr>
                <w:noProof/>
                <w:webHidden/>
              </w:rPr>
              <w:fldChar w:fldCharType="end"/>
            </w:r>
          </w:hyperlink>
        </w:p>
        <w:p w14:paraId="23CC48BB" w14:textId="420B3407" w:rsidR="00EA782F" w:rsidRDefault="00EA782F" w:rsidP="003B3840">
          <w:pPr>
            <w:pStyle w:val="Turinys1"/>
            <w:ind w:firstLine="360"/>
            <w:rPr>
              <w:noProof/>
              <w:kern w:val="2"/>
              <w:sz w:val="24"/>
              <w:szCs w:val="24"/>
              <w:lang w:val="en-US" w:eastAsia="en-US"/>
              <w14:ligatures w14:val="standardContextual"/>
            </w:rPr>
          </w:pPr>
          <w:hyperlink w:anchor="_Toc211580767" w:history="1">
            <w:r w:rsidRPr="009524E6">
              <w:rPr>
                <w:rStyle w:val="Hipersaitas"/>
                <w:rFonts w:ascii="Calibri" w:hAnsi="Calibri" w:cs="Calibri"/>
                <w:noProof/>
              </w:rPr>
              <w:t>2</w:t>
            </w:r>
            <w:r w:rsidRPr="009524E6">
              <w:rPr>
                <w:rStyle w:val="Hipersaitas"/>
                <w:noProof/>
              </w:rPr>
              <w:t xml:space="preserve">. </w:t>
            </w:r>
            <w:r w:rsidRPr="009524E6">
              <w:rPr>
                <w:rStyle w:val="Hipersaitas"/>
                <w:rFonts w:cstheme="minorHAnsi"/>
                <w:noProof/>
              </w:rPr>
              <w:t>Pirkimo objektas</w:t>
            </w:r>
            <w:r>
              <w:rPr>
                <w:noProof/>
                <w:webHidden/>
              </w:rPr>
              <w:tab/>
            </w:r>
            <w:r>
              <w:rPr>
                <w:noProof/>
                <w:webHidden/>
              </w:rPr>
              <w:fldChar w:fldCharType="begin"/>
            </w:r>
            <w:r>
              <w:rPr>
                <w:noProof/>
                <w:webHidden/>
              </w:rPr>
              <w:instrText xml:space="preserve"> PAGEREF _Toc211580767 \h </w:instrText>
            </w:r>
            <w:r>
              <w:rPr>
                <w:noProof/>
                <w:webHidden/>
              </w:rPr>
            </w:r>
            <w:r>
              <w:rPr>
                <w:noProof/>
                <w:webHidden/>
              </w:rPr>
              <w:fldChar w:fldCharType="separate"/>
            </w:r>
            <w:r w:rsidR="003B3840">
              <w:rPr>
                <w:noProof/>
                <w:webHidden/>
              </w:rPr>
              <w:t>2</w:t>
            </w:r>
            <w:r>
              <w:rPr>
                <w:noProof/>
                <w:webHidden/>
              </w:rPr>
              <w:fldChar w:fldCharType="end"/>
            </w:r>
          </w:hyperlink>
        </w:p>
        <w:p w14:paraId="6F0EE53A" w14:textId="6AA16D1A" w:rsidR="00EA782F" w:rsidRDefault="00EA782F" w:rsidP="003B3840">
          <w:pPr>
            <w:pStyle w:val="Turinys1"/>
            <w:ind w:firstLine="360"/>
            <w:rPr>
              <w:noProof/>
              <w:kern w:val="2"/>
              <w:sz w:val="24"/>
              <w:szCs w:val="24"/>
              <w:lang w:val="en-US" w:eastAsia="en-US"/>
              <w14:ligatures w14:val="standardContextual"/>
            </w:rPr>
          </w:pPr>
          <w:hyperlink w:anchor="_Toc211580768" w:history="1">
            <w:r w:rsidRPr="009524E6">
              <w:rPr>
                <w:rStyle w:val="Hipersaitas"/>
                <w:rFonts w:cstheme="majorHAnsi"/>
                <w:b/>
                <w:bCs/>
                <w:noProof/>
              </w:rPr>
              <w:t>3</w:t>
            </w:r>
            <w:r w:rsidRPr="009524E6">
              <w:rPr>
                <w:rStyle w:val="Hipersaitas"/>
                <w:rFonts w:cstheme="majorHAnsi"/>
                <w:noProof/>
              </w:rPr>
              <w:t xml:space="preserve">. </w:t>
            </w:r>
            <w:r w:rsidRPr="009524E6">
              <w:rPr>
                <w:rStyle w:val="Hipersaitas"/>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_Toc211580768 \h </w:instrText>
            </w:r>
            <w:r>
              <w:rPr>
                <w:noProof/>
                <w:webHidden/>
              </w:rPr>
            </w:r>
            <w:r>
              <w:rPr>
                <w:noProof/>
                <w:webHidden/>
              </w:rPr>
              <w:fldChar w:fldCharType="separate"/>
            </w:r>
            <w:r w:rsidR="003B3840">
              <w:rPr>
                <w:noProof/>
                <w:webHidden/>
              </w:rPr>
              <w:t>3</w:t>
            </w:r>
            <w:r>
              <w:rPr>
                <w:noProof/>
                <w:webHidden/>
              </w:rPr>
              <w:fldChar w:fldCharType="end"/>
            </w:r>
          </w:hyperlink>
        </w:p>
        <w:p w14:paraId="297CE439" w14:textId="269EF01B" w:rsidR="00EA782F" w:rsidRDefault="00EA782F" w:rsidP="003B3840">
          <w:pPr>
            <w:pStyle w:val="Turinys1"/>
            <w:ind w:firstLine="360"/>
            <w:rPr>
              <w:noProof/>
              <w:kern w:val="2"/>
              <w:sz w:val="24"/>
              <w:szCs w:val="24"/>
              <w:lang w:val="en-US" w:eastAsia="en-US"/>
              <w14:ligatures w14:val="standardContextual"/>
            </w:rPr>
          </w:pPr>
          <w:hyperlink w:anchor="_Toc211580769" w:history="1">
            <w:r w:rsidRPr="009524E6">
              <w:rPr>
                <w:rStyle w:val="Hipersaitas"/>
                <w:noProof/>
              </w:rPr>
              <w:t>4. Reikalavimai pasiūlymų rengimui ir pateikimui</w:t>
            </w:r>
            <w:r>
              <w:rPr>
                <w:noProof/>
                <w:webHidden/>
              </w:rPr>
              <w:tab/>
            </w:r>
            <w:r>
              <w:rPr>
                <w:noProof/>
                <w:webHidden/>
              </w:rPr>
              <w:fldChar w:fldCharType="begin"/>
            </w:r>
            <w:r>
              <w:rPr>
                <w:noProof/>
                <w:webHidden/>
              </w:rPr>
              <w:instrText xml:space="preserve"> PAGEREF _Toc211580769 \h </w:instrText>
            </w:r>
            <w:r>
              <w:rPr>
                <w:noProof/>
                <w:webHidden/>
              </w:rPr>
            </w:r>
            <w:r>
              <w:rPr>
                <w:noProof/>
                <w:webHidden/>
              </w:rPr>
              <w:fldChar w:fldCharType="separate"/>
            </w:r>
            <w:r w:rsidR="003B3840">
              <w:rPr>
                <w:noProof/>
                <w:webHidden/>
              </w:rPr>
              <w:t>4</w:t>
            </w:r>
            <w:r>
              <w:rPr>
                <w:noProof/>
                <w:webHidden/>
              </w:rPr>
              <w:fldChar w:fldCharType="end"/>
            </w:r>
          </w:hyperlink>
        </w:p>
        <w:p w14:paraId="374C25D1" w14:textId="2A026CD8" w:rsidR="00EA782F" w:rsidRDefault="00EA782F" w:rsidP="003B3840">
          <w:pPr>
            <w:pStyle w:val="Turinys1"/>
            <w:ind w:firstLine="360"/>
            <w:rPr>
              <w:noProof/>
              <w:kern w:val="2"/>
              <w:sz w:val="24"/>
              <w:szCs w:val="24"/>
              <w:lang w:val="en-US" w:eastAsia="en-US"/>
              <w14:ligatures w14:val="standardContextual"/>
            </w:rPr>
          </w:pPr>
          <w:hyperlink w:anchor="_Toc211580770" w:history="1">
            <w:r w:rsidRPr="009524E6">
              <w:rPr>
                <w:rStyle w:val="Hipersaitas"/>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_Toc211580770 \h </w:instrText>
            </w:r>
            <w:r>
              <w:rPr>
                <w:noProof/>
                <w:webHidden/>
              </w:rPr>
            </w:r>
            <w:r>
              <w:rPr>
                <w:noProof/>
                <w:webHidden/>
              </w:rPr>
              <w:fldChar w:fldCharType="separate"/>
            </w:r>
            <w:r w:rsidR="003B3840">
              <w:rPr>
                <w:noProof/>
                <w:webHidden/>
              </w:rPr>
              <w:t>4</w:t>
            </w:r>
            <w:r>
              <w:rPr>
                <w:noProof/>
                <w:webHidden/>
              </w:rPr>
              <w:fldChar w:fldCharType="end"/>
            </w:r>
          </w:hyperlink>
        </w:p>
        <w:p w14:paraId="7F5384DC" w14:textId="0770AF4B" w:rsidR="00EA782F" w:rsidRDefault="00EA782F" w:rsidP="003B3840">
          <w:pPr>
            <w:pStyle w:val="Turinys1"/>
            <w:ind w:firstLine="360"/>
            <w:rPr>
              <w:noProof/>
              <w:kern w:val="2"/>
              <w:sz w:val="24"/>
              <w:szCs w:val="24"/>
              <w:lang w:val="en-US" w:eastAsia="en-US"/>
              <w14:ligatures w14:val="standardContextual"/>
            </w:rPr>
          </w:pPr>
          <w:hyperlink w:anchor="_Toc211580771" w:history="1">
            <w:r w:rsidRPr="009524E6">
              <w:rPr>
                <w:rStyle w:val="Hipersaitas"/>
                <w:rFonts w:cstheme="minorHAnsi"/>
                <w:noProof/>
              </w:rPr>
              <w:t>6. Elektroninis aukcionas</w:t>
            </w:r>
            <w:r>
              <w:rPr>
                <w:noProof/>
                <w:webHidden/>
              </w:rPr>
              <w:tab/>
            </w:r>
            <w:r>
              <w:rPr>
                <w:noProof/>
                <w:webHidden/>
              </w:rPr>
              <w:fldChar w:fldCharType="begin"/>
            </w:r>
            <w:r>
              <w:rPr>
                <w:noProof/>
                <w:webHidden/>
              </w:rPr>
              <w:instrText xml:space="preserve"> PAGEREF _Toc211580771 \h </w:instrText>
            </w:r>
            <w:r>
              <w:rPr>
                <w:noProof/>
                <w:webHidden/>
              </w:rPr>
            </w:r>
            <w:r>
              <w:rPr>
                <w:noProof/>
                <w:webHidden/>
              </w:rPr>
              <w:fldChar w:fldCharType="separate"/>
            </w:r>
            <w:r w:rsidR="003B3840">
              <w:rPr>
                <w:noProof/>
                <w:webHidden/>
              </w:rPr>
              <w:t>4</w:t>
            </w:r>
            <w:r>
              <w:rPr>
                <w:noProof/>
                <w:webHidden/>
              </w:rPr>
              <w:fldChar w:fldCharType="end"/>
            </w:r>
          </w:hyperlink>
        </w:p>
        <w:p w14:paraId="421CE621" w14:textId="0A08C805" w:rsidR="00EA782F" w:rsidRDefault="00EA782F" w:rsidP="003B3840">
          <w:pPr>
            <w:pStyle w:val="Turinys1"/>
            <w:ind w:firstLine="360"/>
            <w:rPr>
              <w:noProof/>
              <w:kern w:val="2"/>
              <w:sz w:val="24"/>
              <w:szCs w:val="24"/>
              <w:lang w:val="en-US" w:eastAsia="en-US"/>
              <w14:ligatures w14:val="standardContextual"/>
            </w:rPr>
          </w:pPr>
          <w:hyperlink w:anchor="_Toc211580772" w:history="1">
            <w:r w:rsidRPr="009524E6">
              <w:rPr>
                <w:rStyle w:val="Hipersaitas"/>
                <w:rFonts w:cstheme="minorHAnsi"/>
                <w:noProof/>
              </w:rPr>
              <w:t>7.Pasiūlymų vertinimas</w:t>
            </w:r>
            <w:r>
              <w:rPr>
                <w:noProof/>
                <w:webHidden/>
              </w:rPr>
              <w:tab/>
            </w:r>
            <w:r>
              <w:rPr>
                <w:noProof/>
                <w:webHidden/>
              </w:rPr>
              <w:fldChar w:fldCharType="begin"/>
            </w:r>
            <w:r>
              <w:rPr>
                <w:noProof/>
                <w:webHidden/>
              </w:rPr>
              <w:instrText xml:space="preserve"> PAGEREF _Toc211580772 \h </w:instrText>
            </w:r>
            <w:r>
              <w:rPr>
                <w:noProof/>
                <w:webHidden/>
              </w:rPr>
            </w:r>
            <w:r>
              <w:rPr>
                <w:noProof/>
                <w:webHidden/>
              </w:rPr>
              <w:fldChar w:fldCharType="separate"/>
            </w:r>
            <w:r w:rsidR="003B3840">
              <w:rPr>
                <w:noProof/>
                <w:webHidden/>
              </w:rPr>
              <w:t>4</w:t>
            </w:r>
            <w:r>
              <w:rPr>
                <w:noProof/>
                <w:webHidden/>
              </w:rPr>
              <w:fldChar w:fldCharType="end"/>
            </w:r>
          </w:hyperlink>
        </w:p>
        <w:p w14:paraId="69B563B7" w14:textId="62671567" w:rsidR="00EA782F" w:rsidRDefault="00EA782F" w:rsidP="003B3840">
          <w:pPr>
            <w:pStyle w:val="Turinys1"/>
            <w:ind w:firstLine="360"/>
            <w:rPr>
              <w:noProof/>
              <w:kern w:val="2"/>
              <w:sz w:val="24"/>
              <w:szCs w:val="24"/>
              <w:lang w:val="en-US" w:eastAsia="en-US"/>
              <w14:ligatures w14:val="standardContextual"/>
            </w:rPr>
          </w:pPr>
          <w:hyperlink w:anchor="_Toc211580773" w:history="1">
            <w:r w:rsidRPr="009524E6">
              <w:rPr>
                <w:rStyle w:val="Hipersaitas"/>
                <w:rFonts w:cstheme="minorHAnsi"/>
                <w:noProof/>
              </w:rPr>
              <w:t>8.Pirkimo sutarties pasirašymas ir sąlygos</w:t>
            </w:r>
            <w:r>
              <w:rPr>
                <w:noProof/>
                <w:webHidden/>
              </w:rPr>
              <w:tab/>
            </w:r>
            <w:r>
              <w:rPr>
                <w:noProof/>
                <w:webHidden/>
              </w:rPr>
              <w:fldChar w:fldCharType="begin"/>
            </w:r>
            <w:r>
              <w:rPr>
                <w:noProof/>
                <w:webHidden/>
              </w:rPr>
              <w:instrText xml:space="preserve"> PAGEREF _Toc211580773 \h </w:instrText>
            </w:r>
            <w:r>
              <w:rPr>
                <w:noProof/>
                <w:webHidden/>
              </w:rPr>
            </w:r>
            <w:r>
              <w:rPr>
                <w:noProof/>
                <w:webHidden/>
              </w:rPr>
              <w:fldChar w:fldCharType="separate"/>
            </w:r>
            <w:r w:rsidR="003B3840">
              <w:rPr>
                <w:noProof/>
                <w:webHidden/>
              </w:rPr>
              <w:t>5</w:t>
            </w:r>
            <w:r>
              <w:rPr>
                <w:noProof/>
                <w:webHidden/>
              </w:rPr>
              <w:fldChar w:fldCharType="end"/>
            </w:r>
          </w:hyperlink>
        </w:p>
        <w:p w14:paraId="517C01D9" w14:textId="4982EDC2" w:rsidR="001C24BC" w:rsidRPr="00F0499F" w:rsidRDefault="00092B6D" w:rsidP="003B3840">
          <w:pPr>
            <w:spacing w:after="120" w:line="20" w:lineRule="atLeast"/>
            <w:ind w:firstLine="360"/>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bookmarkStart w:id="3" w:name="_Toc21158076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3"/>
    </w:p>
    <w:p w14:paraId="336347A3" w14:textId="64E4FF89" w:rsidR="00A213A4" w:rsidRPr="00A213A4" w:rsidRDefault="00E322DE" w:rsidP="00A213A4">
      <w:pPr>
        <w:pStyle w:val="Sraopastraipa"/>
        <w:numPr>
          <w:ilvl w:val="1"/>
          <w:numId w:val="70"/>
        </w:numPr>
        <w:spacing w:after="0" w:line="20" w:lineRule="atLeast"/>
        <w:ind w:left="0" w:firstLine="567"/>
        <w:jc w:val="both"/>
        <w:rPr>
          <w:rFonts w:cstheme="minorHAnsi"/>
        </w:rPr>
      </w:pPr>
      <w:r w:rsidRPr="00A213A4">
        <w:rPr>
          <w:rFonts w:cstheme="minorHAnsi"/>
        </w:rPr>
        <w:t>Viešoji įstaiga CPO LT (toliau – CPO LT arba perkančioji organizacija) vykdo viešąjį pirkimą atviro konkurso būdu (toliau – pirkimas).</w:t>
      </w:r>
      <w:r w:rsidR="00CF27E7" w:rsidRPr="00A213A4">
        <w:rPr>
          <w:rFonts w:ascii="Times New Roman" w:eastAsia="Times New Roman" w:hAnsi="Times New Roman" w:cs="Times New Roman"/>
          <w:sz w:val="24"/>
          <w:szCs w:val="24"/>
        </w:rPr>
        <w:t xml:space="preserve"> </w:t>
      </w:r>
      <w:r w:rsidR="00CF27E7" w:rsidRPr="00A213A4">
        <w:rPr>
          <w:rFonts w:cstheme="minorHAnsi"/>
        </w:rPr>
        <w:t xml:space="preserve">CPO LT kontaktinis asmuo </w:t>
      </w:r>
      <w:r w:rsidR="00A213A4" w:rsidRPr="00A213A4">
        <w:rPr>
          <w:rFonts w:cstheme="minorHAnsi"/>
        </w:rPr>
        <w:t xml:space="preserve">CPO LT kontaktinis asmuo – </w:t>
      </w:r>
      <w:r w:rsidR="00A213A4" w:rsidRPr="00A213A4">
        <w:rPr>
          <w:rFonts w:cstheme="minorHAnsi"/>
          <w:noProof/>
        </w:rPr>
        <w:t xml:space="preserve">Rūta Mikulėnė, tel. </w:t>
      </w:r>
      <w:r w:rsidR="005B11AD">
        <w:rPr>
          <w:rFonts w:cstheme="minorHAnsi"/>
          <w:noProof/>
        </w:rPr>
        <w:br/>
      </w:r>
      <w:r w:rsidR="00A213A4" w:rsidRPr="00A213A4">
        <w:rPr>
          <w:rFonts w:cstheme="minorHAnsi"/>
          <w:noProof/>
        </w:rPr>
        <w:t>+370</w:t>
      </w:r>
      <w:r w:rsidR="005B11AD">
        <w:rPr>
          <w:rFonts w:cstheme="minorHAnsi"/>
          <w:noProof/>
        </w:rPr>
        <w:t> </w:t>
      </w:r>
      <w:r w:rsidR="00A213A4" w:rsidRPr="00A213A4">
        <w:rPr>
          <w:rFonts w:cstheme="minorHAnsi"/>
          <w:noProof/>
        </w:rPr>
        <w:t>656</w:t>
      </w:r>
      <w:r w:rsidR="005B11AD">
        <w:rPr>
          <w:rFonts w:cstheme="minorHAnsi"/>
          <w:noProof/>
        </w:rPr>
        <w:t xml:space="preserve"> </w:t>
      </w:r>
      <w:r w:rsidR="00A213A4" w:rsidRPr="00A213A4">
        <w:rPr>
          <w:rFonts w:cstheme="minorHAnsi"/>
          <w:noProof/>
        </w:rPr>
        <w:t>77151, el. p. ruta.mikulene</w:t>
      </w:r>
      <w:r w:rsidR="00A213A4" w:rsidRPr="00A213A4">
        <w:rPr>
          <w:rFonts w:cstheme="minorHAnsi"/>
          <w:noProof/>
          <w:lang w:val="en-US"/>
        </w:rPr>
        <w:t>@cpo.lt</w:t>
      </w:r>
      <w:r w:rsidR="00A213A4" w:rsidRPr="00A213A4">
        <w:rPr>
          <w:rFonts w:cstheme="minorHAnsi"/>
          <w:noProof/>
        </w:rPr>
        <w:t>.</w:t>
      </w:r>
    </w:p>
    <w:p w14:paraId="2F482D11" w14:textId="171530C5" w:rsidR="00187A46" w:rsidRPr="00187A46" w:rsidRDefault="00F7237E" w:rsidP="00D50C45">
      <w:pPr>
        <w:spacing w:after="0" w:line="20" w:lineRule="atLeast"/>
        <w:ind w:firstLine="567"/>
        <w:jc w:val="both"/>
        <w:rPr>
          <w:noProof/>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A213A4">
        <w:rPr>
          <w:rFonts w:eastAsia="Calibri"/>
        </w:rPr>
        <w:t xml:space="preserve">: VšĮ Lietuvos sveikatos mokslų universiteto Kauno </w:t>
      </w:r>
      <w:r w:rsidR="005B11AD">
        <w:rPr>
          <w:rFonts w:eastAsia="Calibri"/>
        </w:rPr>
        <w:t xml:space="preserve">ligoninei </w:t>
      </w:r>
      <w:r w:rsidR="00187A46">
        <w:rPr>
          <w:rFonts w:eastAsia="Calibri"/>
        </w:rPr>
        <w:t xml:space="preserve">(kodas: 302583800).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976748" w:rsidRPr="00E34B38">
        <w:rPr>
          <w:rFonts w:ascii="Calibri" w:eastAsia="Calibri" w:hAnsi="Calibri" w:cs="Calibri"/>
          <w:color w:val="1D1C1D"/>
          <w:sz w:val="22"/>
          <w:szCs w:val="22"/>
        </w:rPr>
        <w:t>kreipimusi į kompetentingas institucijas dėl patikros, susijusios su nacionalinio saugumo reikalavimais</w:t>
      </w:r>
      <w:r w:rsidR="00976748">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187A46" w:rsidRPr="00187A46">
        <w:rPr>
          <w:noProof/>
        </w:rPr>
        <w:t>VšĮ Lietuvos sveikatos mokslų universiteto Kauno ligoninė (kodas: 302583800).</w:t>
      </w:r>
    </w:p>
    <w:p w14:paraId="5B7C4D1F" w14:textId="3E49C645" w:rsidR="00187A46" w:rsidRPr="00187A46" w:rsidRDefault="002F5F8E" w:rsidP="00D50C45">
      <w:pPr>
        <w:spacing w:after="0" w:line="20" w:lineRule="atLeast"/>
        <w:ind w:firstLine="567"/>
        <w:jc w:val="both"/>
      </w:pPr>
      <w:r w:rsidRPr="00187A46">
        <w:t xml:space="preserve">1.3. </w:t>
      </w:r>
      <w:r w:rsidR="007D6857" w:rsidRPr="00187A46">
        <w:t>Pirkimas</w:t>
      </w:r>
      <w:r w:rsidR="00B37854" w:rsidRPr="00187A46">
        <w:t xml:space="preserve"> neatlieka</w:t>
      </w:r>
      <w:r w:rsidR="007D6857" w:rsidRPr="00187A46">
        <w:t>mas</w:t>
      </w:r>
      <w:r w:rsidR="00B37854" w:rsidRPr="00187A46">
        <w:t xml:space="preserve"> </w:t>
      </w:r>
      <w:r w:rsidRPr="00187A46">
        <w:t>naudojantis centralizuotų pirkimų katalogu</w:t>
      </w:r>
      <w:r w:rsidR="007D6857" w:rsidRPr="00187A46">
        <w:t xml:space="preserve">, nes </w:t>
      </w:r>
      <w:r w:rsidR="00187A46" w:rsidRPr="00187A46">
        <w:t>planuojamų įsigyti prekių nėra CPO LT elektroniniame kataloge.</w:t>
      </w:r>
    </w:p>
    <w:p w14:paraId="6665EEB6" w14:textId="77777777" w:rsidR="00187A46" w:rsidRDefault="002F5F8E" w:rsidP="00D50C45">
      <w:pPr>
        <w:spacing w:after="0" w:line="20" w:lineRule="atLeast"/>
        <w:ind w:firstLine="567"/>
        <w:jc w:val="both"/>
        <w:rPr>
          <w:rFonts w:eastAsia="Times New Roman" w:cstheme="minorHAnsi"/>
        </w:rPr>
      </w:pPr>
      <w:r w:rsidRPr="0037691C">
        <w:rPr>
          <w:rFonts w:cstheme="minorHAnsi"/>
        </w:rPr>
        <w:t>1.4</w:t>
      </w:r>
      <w:r w:rsidR="00187A46">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2133350A" w14:textId="77777777" w:rsidR="00187A46" w:rsidRDefault="00C447D2" w:rsidP="00D50C45">
      <w:pPr>
        <w:spacing w:after="0" w:line="20" w:lineRule="atLeast"/>
        <w:ind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1ABD8267" w14:textId="4223C34F" w:rsidR="00E54EEE" w:rsidRPr="00E54EEE" w:rsidRDefault="00187A46" w:rsidP="00D50C45">
      <w:pPr>
        <w:spacing w:after="0" w:line="20" w:lineRule="atLeast"/>
        <w:ind w:firstLine="567"/>
        <w:jc w:val="both"/>
        <w:rPr>
          <w:rFonts w:cstheme="minorHAnsi"/>
          <w:i/>
          <w:iCs/>
          <w:color w:val="7030A0"/>
        </w:rPr>
      </w:pPr>
      <w:r>
        <w:rPr>
          <w:rFonts w:cstheme="minorHAnsi"/>
        </w:rPr>
        <w:t xml:space="preserve">1.6. </w:t>
      </w:r>
      <w:r w:rsidR="005E62F0" w:rsidRPr="2A093867">
        <w:t xml:space="preserve">Atliekamas žaliasis pirkimas. Pirkimas vykdomas vadovaujantis </w:t>
      </w:r>
      <w:hyperlink r:id="rId12" w:history="1">
        <w:r w:rsidR="005E62F0" w:rsidRPr="2A093867">
          <w:rPr>
            <w:rStyle w:val="Hipersaitas"/>
          </w:rPr>
          <w:t>Lietuvos Respublikos aplinkos ministro 2011 m. birželio 28 d. įsakymo Nr. D1-508 „</w:t>
        </w:r>
        <w:bookmarkStart w:id="4" w:name="_Hlk173955077"/>
        <w:r w:rsidR="00E54EEE" w:rsidRPr="00E54EEE">
          <w:rPr>
            <w:rStyle w:val="Hipersaitas"/>
          </w:rPr>
          <w:t>Dėl Aplinkos apsaugos kriterijų taikymo, vykdant žaliuosius pirkimus, tvarkos aprašo patvirtinimo</w:t>
        </w:r>
        <w:bookmarkEnd w:id="4"/>
      </w:hyperlink>
      <w:r w:rsidR="005E62F0" w:rsidRPr="2A093867">
        <w:t xml:space="preserve">“ </w:t>
      </w:r>
      <w:r w:rsidRPr="00D50C45">
        <w:rPr>
          <w:i/>
          <w:iCs/>
        </w:rPr>
        <w:t>4.4.1.</w:t>
      </w:r>
      <w:r w:rsidR="005E62F0" w:rsidRPr="00D50C45">
        <w:rPr>
          <w:i/>
        </w:rPr>
        <w:t xml:space="preserve"> </w:t>
      </w:r>
      <w:r w:rsidR="005E62F0" w:rsidRPr="00D50C45">
        <w:t xml:space="preserve"> punktu</w:t>
      </w:r>
      <w:r w:rsidR="005E62F0" w:rsidRPr="2A093867">
        <w:t>. Aplinkos apaugos kriterijai nustatyti</w:t>
      </w:r>
      <w:r>
        <w:t xml:space="preserve"> </w:t>
      </w:r>
      <w:r w:rsidR="00E028C6">
        <w:t xml:space="preserve">Specialiųjų pirkimo sąlygų priede </w:t>
      </w:r>
      <w:r>
        <w:t>„Sutarties projektas“</w:t>
      </w:r>
      <w:r w:rsidR="005E62F0" w:rsidRPr="2A093867">
        <w:t xml:space="preserve"> </w:t>
      </w:r>
    </w:p>
    <w:p w14:paraId="3F12B64B" w14:textId="23F2E771" w:rsidR="00A97B47" w:rsidRPr="00474B8A" w:rsidRDefault="00A97B47" w:rsidP="00D50C45">
      <w:pPr>
        <w:pStyle w:val="Sraopastraipa"/>
        <w:numPr>
          <w:ilvl w:val="1"/>
          <w:numId w:val="33"/>
        </w:numPr>
        <w:tabs>
          <w:tab w:val="left" w:pos="993"/>
        </w:tabs>
        <w:spacing w:after="0" w:line="20" w:lineRule="atLeast"/>
        <w:ind w:left="0" w:firstLine="540"/>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D50C45">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462D83B" w14:textId="77777777" w:rsidR="00187A46" w:rsidRPr="00187A46" w:rsidRDefault="007466F8" w:rsidP="00D50C45">
      <w:pPr>
        <w:pStyle w:val="Sraopastraipa"/>
        <w:numPr>
          <w:ilvl w:val="1"/>
          <w:numId w:val="33"/>
        </w:numPr>
        <w:tabs>
          <w:tab w:val="left" w:pos="851"/>
          <w:tab w:val="left" w:pos="993"/>
        </w:tabs>
        <w:spacing w:after="0" w:line="20" w:lineRule="atLeast"/>
        <w:ind w:left="0" w:firstLine="567"/>
        <w:jc w:val="both"/>
        <w:rPr>
          <w:rFonts w:cstheme="minorHAnsi"/>
          <w:i/>
          <w:color w:val="FF0000"/>
        </w:rPr>
      </w:pPr>
      <w:r w:rsidRPr="00187A46">
        <w:rPr>
          <w:rFonts w:cstheme="minorHAnsi"/>
        </w:rPr>
        <w:t>Pirkime neleidžia</w:t>
      </w:r>
      <w:r w:rsidR="00216820" w:rsidRPr="00187A46">
        <w:rPr>
          <w:rFonts w:cstheme="minorHAnsi"/>
        </w:rPr>
        <w:t>ma</w:t>
      </w:r>
      <w:r w:rsidRPr="00187A46">
        <w:rPr>
          <w:rFonts w:cstheme="minorHAnsi"/>
        </w:rPr>
        <w:t xml:space="preserve"> pateikti alternatyvių </w:t>
      </w:r>
      <w:r w:rsidR="00D27E76" w:rsidRPr="00187A46">
        <w:rPr>
          <w:rFonts w:cstheme="minorHAnsi"/>
        </w:rPr>
        <w:t>p</w:t>
      </w:r>
      <w:r w:rsidRPr="00187A46">
        <w:rPr>
          <w:rFonts w:cstheme="minorHAnsi"/>
        </w:rPr>
        <w:t xml:space="preserve">asiūlymų. </w:t>
      </w:r>
      <w:r w:rsidR="002934C9" w:rsidRPr="00187A46">
        <w:rPr>
          <w:rFonts w:cstheme="minorHAnsi"/>
        </w:rPr>
        <w:t xml:space="preserve">Tiekėjui pateikus alternatyvų pasiūlymą, jo pasiūlymas ir alternatyvus pasiūlymas bus atmesti. </w:t>
      </w:r>
    </w:p>
    <w:p w14:paraId="207730CD" w14:textId="77777777" w:rsidR="00D50C45" w:rsidRDefault="00527308" w:rsidP="00D50C45">
      <w:pPr>
        <w:tabs>
          <w:tab w:val="left" w:pos="851"/>
          <w:tab w:val="left" w:pos="993"/>
        </w:tabs>
        <w:spacing w:after="0" w:line="20" w:lineRule="atLeast"/>
        <w:ind w:firstLine="567"/>
        <w:jc w:val="both"/>
        <w:rPr>
          <w:rFonts w:cstheme="minorHAnsi"/>
        </w:rPr>
      </w:pPr>
      <w:r w:rsidRPr="0067404D">
        <w:rPr>
          <w:rFonts w:cstheme="minorHAnsi"/>
        </w:rPr>
        <w:t>1.10. CPO LT, atlikdama šį pirkimą, netaiko pagreitintos pirkimo procedūros.</w:t>
      </w:r>
    </w:p>
    <w:p w14:paraId="6A3673B2" w14:textId="37F1EA0B" w:rsidR="006C2282" w:rsidRPr="0038075D" w:rsidRDefault="00527308" w:rsidP="00D50C45">
      <w:pPr>
        <w:tabs>
          <w:tab w:val="left" w:pos="851"/>
          <w:tab w:val="left" w:pos="993"/>
        </w:tabs>
        <w:spacing w:after="0" w:line="20" w:lineRule="atLeast"/>
        <w:ind w:firstLine="567"/>
        <w:jc w:val="both"/>
        <w:rPr>
          <w:rFonts w:eastAsia="Arial" w:cstheme="minorHAnsi"/>
        </w:rPr>
      </w:pPr>
      <w:r w:rsidRPr="0038075D">
        <w:rPr>
          <w:rFonts w:cstheme="minorHAnsi"/>
        </w:rPr>
        <w:t>1.1</w:t>
      </w:r>
      <w:r w:rsidR="00D50C45">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4F164EA0" w:rsidR="00264026" w:rsidRPr="0038075D" w:rsidRDefault="00264026" w:rsidP="00D50C45">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D50C45">
        <w:rPr>
          <w:rFonts w:eastAsia="Arial" w:cstheme="minorHAnsi"/>
        </w:rPr>
        <w:t>1</w:t>
      </w:r>
      <w:r w:rsidRPr="0038075D">
        <w:rPr>
          <w:rFonts w:eastAsia="Arial" w:cstheme="minorHAnsi"/>
        </w:rPr>
        <w:t xml:space="preserve">.1. </w:t>
      </w:r>
      <w:r w:rsidR="0029735F" w:rsidRPr="0038075D">
        <w:rPr>
          <w:rFonts w:eastAsia="Arial" w:cstheme="minorHAnsi"/>
        </w:rPr>
        <w:t>„Terminai“</w:t>
      </w:r>
      <w:r w:rsidR="001E0723">
        <w:rPr>
          <w:rFonts w:eastAsia="Arial" w:cstheme="minorHAnsi"/>
        </w:rPr>
        <w:t xml:space="preserve"> (1 priedas)</w:t>
      </w:r>
      <w:r w:rsidR="0029735F" w:rsidRPr="0038075D">
        <w:rPr>
          <w:rFonts w:eastAsia="Arial" w:cstheme="minorHAnsi"/>
        </w:rPr>
        <w:t>.</w:t>
      </w:r>
    </w:p>
    <w:p w14:paraId="46015D63" w14:textId="2CDED89F"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D50C45">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001E0723">
        <w:rPr>
          <w:rFonts w:eastAsia="Arial" w:cstheme="minorHAnsi"/>
        </w:rPr>
        <w:t xml:space="preserve"> (2 priedas)</w:t>
      </w:r>
      <w:r w:rsidRPr="0038075D">
        <w:rPr>
          <w:rFonts w:eastAsia="Arial" w:cstheme="minorHAnsi"/>
        </w:rPr>
        <w:t>.</w:t>
      </w:r>
      <w:r w:rsidRPr="0038075D">
        <w:rPr>
          <w:rFonts w:eastAsia="Arial" w:cstheme="minorHAnsi"/>
        </w:rPr>
        <w:tab/>
      </w:r>
    </w:p>
    <w:p w14:paraId="6DA154FA" w14:textId="70727001"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D50C45">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001E0723">
        <w:rPr>
          <w:rFonts w:eastAsia="Arial" w:cstheme="minorHAnsi"/>
        </w:rPr>
        <w:t xml:space="preserve"> (3 priedas)</w:t>
      </w:r>
      <w:r w:rsidRPr="0038075D">
        <w:rPr>
          <w:rFonts w:eastAsia="Arial" w:cstheme="minorHAnsi"/>
        </w:rPr>
        <w:t xml:space="preserve">. </w:t>
      </w:r>
    </w:p>
    <w:p w14:paraId="01DB3D0E" w14:textId="38070CC3"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D50C45">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5" w:name="_Hlk135208144"/>
      <w:r w:rsidR="00C35249">
        <w:rPr>
          <w:rFonts w:eastAsia="Arial" w:cstheme="minorHAnsi"/>
        </w:rPr>
        <w:t>„</w:t>
      </w:r>
      <w:r w:rsidRPr="0038075D">
        <w:rPr>
          <w:rFonts w:eastAsia="Arial" w:cstheme="minorHAnsi"/>
        </w:rPr>
        <w:t>Tiekėjų pašalinimo pagrindai</w:t>
      </w:r>
      <w:r w:rsidR="00C35249">
        <w:rPr>
          <w:rFonts w:eastAsia="Arial" w:cstheme="minorHAnsi"/>
        </w:rPr>
        <w:t>“</w:t>
      </w:r>
      <w:bookmarkEnd w:id="5"/>
      <w:r w:rsidR="001E0723">
        <w:rPr>
          <w:rFonts w:eastAsia="Arial" w:cstheme="minorHAnsi"/>
        </w:rPr>
        <w:t xml:space="preserve"> (4 priedas)</w:t>
      </w:r>
      <w:r w:rsidRPr="0038075D">
        <w:rPr>
          <w:rFonts w:eastAsia="Arial" w:cstheme="minorHAnsi"/>
        </w:rPr>
        <w:t>.</w:t>
      </w:r>
    </w:p>
    <w:p w14:paraId="5B42AC60" w14:textId="3FFB7DFC"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D50C45">
        <w:rPr>
          <w:rFonts w:eastAsia="Arial" w:cstheme="minorHAnsi"/>
        </w:rPr>
        <w:t>1</w:t>
      </w:r>
      <w:r w:rsidRPr="0038075D">
        <w:rPr>
          <w:rFonts w:eastAsia="Arial" w:cstheme="minorHAnsi"/>
        </w:rPr>
        <w:t>.</w:t>
      </w:r>
      <w:r w:rsidR="00D50C45">
        <w:rPr>
          <w:rFonts w:eastAsia="Arial" w:cstheme="minorHAnsi"/>
        </w:rPr>
        <w:t>5</w:t>
      </w:r>
      <w:r w:rsidRPr="0038075D">
        <w:rPr>
          <w:rFonts w:eastAsia="Arial" w:cstheme="minorHAnsi"/>
        </w:rPr>
        <w:t>. Europos bendrasis viešųjų pirkimų dokumentas (EBVPD)</w:t>
      </w:r>
      <w:r w:rsidR="001E0723">
        <w:rPr>
          <w:rFonts w:eastAsia="Arial" w:cstheme="minorHAnsi"/>
        </w:rPr>
        <w:t xml:space="preserve"> (5 priedas)</w:t>
      </w:r>
      <w:r w:rsidRPr="0038075D">
        <w:rPr>
          <w:rFonts w:eastAsia="Arial" w:cstheme="minorHAnsi"/>
        </w:rPr>
        <w:t>.</w:t>
      </w:r>
      <w:r w:rsidRPr="0038075D">
        <w:rPr>
          <w:rFonts w:eastAsia="Arial" w:cstheme="minorHAnsi"/>
        </w:rPr>
        <w:tab/>
      </w:r>
    </w:p>
    <w:p w14:paraId="24BB62F7" w14:textId="49555930"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D50C45">
        <w:rPr>
          <w:rFonts w:eastAsia="Arial" w:cstheme="minorHAnsi"/>
        </w:rPr>
        <w:t>1</w:t>
      </w:r>
      <w:r w:rsidRPr="0038075D">
        <w:rPr>
          <w:rFonts w:eastAsia="Arial" w:cstheme="minorHAnsi"/>
        </w:rPr>
        <w:t>.</w:t>
      </w:r>
      <w:r w:rsidR="001E0723">
        <w:rPr>
          <w:rFonts w:eastAsia="Arial" w:cstheme="minorHAnsi"/>
        </w:rPr>
        <w:t>6</w:t>
      </w:r>
      <w:r w:rsidRPr="0038075D">
        <w:rPr>
          <w:rFonts w:eastAsia="Arial" w:cstheme="minorHAnsi"/>
        </w:rPr>
        <w:t>. Sutarties projektas</w:t>
      </w:r>
      <w:r w:rsidR="001E0723">
        <w:rPr>
          <w:rFonts w:eastAsia="Arial" w:cstheme="minorHAnsi"/>
        </w:rPr>
        <w:t xml:space="preserve"> (6 priedas)</w:t>
      </w:r>
      <w:r w:rsidRPr="0038075D">
        <w:rPr>
          <w:rFonts w:eastAsia="Arial" w:cstheme="minorHAnsi"/>
        </w:rPr>
        <w:t>.</w:t>
      </w:r>
    </w:p>
    <w:p w14:paraId="43D07698" w14:textId="095C0B72"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D50C45">
        <w:rPr>
          <w:rFonts w:eastAsia="Arial" w:cstheme="minorHAnsi"/>
        </w:rPr>
        <w:t>1</w:t>
      </w:r>
      <w:r w:rsidRPr="0038075D">
        <w:rPr>
          <w:rFonts w:eastAsia="Arial" w:cstheme="minorHAnsi"/>
        </w:rPr>
        <w:t>.</w:t>
      </w:r>
      <w:r w:rsidR="001E0723">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001E0723">
        <w:rPr>
          <w:rFonts w:eastAsia="Arial" w:cstheme="minorHAnsi"/>
        </w:rPr>
        <w:t xml:space="preserve"> (7 priedas)</w:t>
      </w:r>
      <w:r w:rsidRPr="0038075D">
        <w:rPr>
          <w:rFonts w:eastAsia="Arial" w:cstheme="minorHAnsi"/>
        </w:rPr>
        <w:t>.</w:t>
      </w:r>
    </w:p>
    <w:p w14:paraId="03EFA432" w14:textId="4D3ED48D" w:rsidR="00CD04E3" w:rsidRPr="0038075D" w:rsidRDefault="00CD04E3" w:rsidP="00B56528">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D50C45">
        <w:rPr>
          <w:rFonts w:eastAsia="Arial" w:cstheme="minorHAnsi"/>
        </w:rPr>
        <w:t>1</w:t>
      </w:r>
      <w:r w:rsidRPr="0038075D">
        <w:rPr>
          <w:rFonts w:eastAsia="Arial" w:cstheme="minorHAnsi"/>
        </w:rPr>
        <w:t>.</w:t>
      </w:r>
      <w:r w:rsidR="001E0723">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r w:rsidR="001E0723">
        <w:rPr>
          <w:rFonts w:eastAsia="Arial" w:cstheme="minorHAnsi"/>
        </w:rPr>
        <w:t xml:space="preserve"> (8 priedas)</w:t>
      </w:r>
      <w:r w:rsidR="006D0BFE" w:rsidRPr="0038075D">
        <w:rPr>
          <w:rFonts w:eastAsia="Arial" w:cstheme="minorHAnsi"/>
        </w:rPr>
        <w:t>.</w:t>
      </w:r>
    </w:p>
    <w:p w14:paraId="63AB4BCA" w14:textId="31AE6F04" w:rsidR="00D04849" w:rsidRDefault="00D04849" w:rsidP="00D04849">
      <w:pPr>
        <w:pStyle w:val="Sraopastraipa"/>
        <w:tabs>
          <w:tab w:val="left" w:pos="993"/>
        </w:tabs>
        <w:spacing w:after="0" w:line="20" w:lineRule="atLeast"/>
        <w:ind w:left="0" w:firstLine="567"/>
        <w:jc w:val="both"/>
        <w:rPr>
          <w:rFonts w:cstheme="minorHAnsi"/>
          <w:b/>
          <w:bCs/>
          <w:i/>
          <w:iCs/>
          <w:sz w:val="22"/>
          <w:szCs w:val="22"/>
        </w:rPr>
      </w:pPr>
      <w:bookmarkStart w:id="6" w:name="_Ref39426332"/>
      <w:bookmarkStart w:id="7" w:name="_Ref39426338"/>
      <w:bookmarkStart w:id="8" w:name="_Toc126333929"/>
      <w:bookmarkEnd w:id="1"/>
      <w:r>
        <w:rPr>
          <w:rFonts w:eastAsia="Arial" w:cstheme="minorHAnsi"/>
        </w:rPr>
        <w:t>1.1</w:t>
      </w:r>
      <w:r w:rsidR="00D50C45">
        <w:rPr>
          <w:rFonts w:eastAsia="Arial" w:cstheme="minorHAnsi"/>
        </w:rPr>
        <w:t>2</w:t>
      </w:r>
      <w:r>
        <w:rPr>
          <w:rFonts w:eastAsia="Arial" w:cstheme="minorHAnsi"/>
        </w:rPr>
        <w:t xml:space="preserve">. Prieš paskelbiant apie pirkimą buvo vykdyta rinkos konsultacija. Rinkos konsultacijos dokumentai skelbiami CVP IS, adresu: </w:t>
      </w:r>
      <w:r w:rsidR="00786EC9" w:rsidRPr="00786EC9">
        <w:rPr>
          <w:rFonts w:eastAsia="Arial" w:cstheme="minorHAnsi"/>
        </w:rPr>
        <w:t>https://viesiejipirkimai.lt/epps/pmc/viewPmc.do?resourceId=4576853</w:t>
      </w:r>
      <w:r>
        <w:rPr>
          <w:rFonts w:cstheme="minorHAnsi"/>
          <w:color w:val="00B050"/>
          <w:sz w:val="22"/>
          <w:szCs w:val="22"/>
        </w:rPr>
        <w:t xml:space="preserve">. </w:t>
      </w:r>
      <w:r>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Antrat1"/>
        <w:spacing w:line="20" w:lineRule="atLeast"/>
        <w:contextualSpacing/>
      </w:pPr>
      <w:bookmarkStart w:id="9" w:name="_Toc211580767"/>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bookmarkEnd w:id="9"/>
    </w:p>
    <w:p w14:paraId="0B7B0A50" w14:textId="46560A0C" w:rsidR="00B41C66" w:rsidRPr="00DC1957" w:rsidRDefault="0089676B" w:rsidP="00105452">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786EC9">
        <w:rPr>
          <w:rFonts w:eastAsia="Calibri"/>
          <w:noProof/>
          <w:color w:val="000000" w:themeColor="text1"/>
        </w:rPr>
        <w:t>medžio skiedrą (kurą) (toliau – Prekės).</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1EADE4EC" w14:textId="084518F0" w:rsidR="00786EC9" w:rsidRDefault="005E472C" w:rsidP="00105452">
      <w:pPr>
        <w:pStyle w:val="Sraopastraipa"/>
        <w:spacing w:after="0" w:line="20" w:lineRule="atLeast"/>
        <w:ind w:left="0" w:firstLine="567"/>
        <w:jc w:val="both"/>
        <w:rPr>
          <w:rFonts w:cstheme="minorHAnsi"/>
        </w:rPr>
      </w:pPr>
      <w:r>
        <w:rPr>
          <w:rFonts w:cstheme="minorHAnsi"/>
        </w:rPr>
        <w:t xml:space="preserve">2.2. </w:t>
      </w:r>
      <w:r w:rsidR="00B41C66" w:rsidRPr="00DC1957">
        <w:rPr>
          <w:rFonts w:cstheme="minorHAnsi"/>
        </w:rPr>
        <w:t>Pirkimo objektas į dalis neskaidomas</w:t>
      </w:r>
      <w:r w:rsidR="00786EC9">
        <w:rPr>
          <w:rFonts w:cstheme="minorHAnsi"/>
        </w:rPr>
        <w:t>, nes perkamos Prekės yra vienarūšės</w:t>
      </w:r>
      <w:r w:rsidR="005B11AD">
        <w:rPr>
          <w:rFonts w:cstheme="minorHAnsi"/>
        </w:rPr>
        <w:t>,</w:t>
      </w:r>
      <w:r w:rsidR="00786EC9">
        <w:rPr>
          <w:rFonts w:cstheme="minorHAnsi"/>
        </w:rPr>
        <w:t xml:space="preserve"> t. </w:t>
      </w:r>
      <w:r w:rsidR="00786EC9" w:rsidRPr="00786EC9">
        <w:rPr>
          <w:rFonts w:cstheme="minorHAnsi"/>
        </w:rPr>
        <w:t>y. prekės pasižymi tomis pačiomis pagrindinėmis techninėmis ir funkcinėmis savybėmis</w:t>
      </w:r>
      <w:r w:rsidR="00786EC9">
        <w:rPr>
          <w:rFonts w:cstheme="minorHAnsi"/>
        </w:rPr>
        <w:t>,</w:t>
      </w:r>
      <w:r w:rsidR="00786EC9" w:rsidRPr="00786EC9">
        <w:t xml:space="preserve"> </w:t>
      </w:r>
      <w:r w:rsidR="00786EC9" w:rsidRPr="00786EC9">
        <w:rPr>
          <w:rFonts w:cstheme="minorHAnsi"/>
        </w:rPr>
        <w:t>todėl nėra objektyvaus pagrindo skaidyti pirkimo į atskiras dalis. Vis</w:t>
      </w:r>
      <w:r w:rsidR="00786EC9">
        <w:rPr>
          <w:rFonts w:cstheme="minorHAnsi"/>
        </w:rPr>
        <w:t>os</w:t>
      </w:r>
      <w:r w:rsidR="00786EC9" w:rsidRPr="00786EC9">
        <w:rPr>
          <w:rFonts w:cstheme="minorHAnsi"/>
        </w:rPr>
        <w:t xml:space="preserve"> perkam</w:t>
      </w:r>
      <w:r w:rsidR="00786EC9">
        <w:rPr>
          <w:rFonts w:cstheme="minorHAnsi"/>
        </w:rPr>
        <w:t>os</w:t>
      </w:r>
      <w:r w:rsidR="00786EC9" w:rsidRPr="00786EC9">
        <w:rPr>
          <w:rFonts w:cstheme="minorHAnsi"/>
        </w:rPr>
        <w:t xml:space="preserve"> </w:t>
      </w:r>
      <w:r w:rsidR="00786EC9">
        <w:rPr>
          <w:rFonts w:cstheme="minorHAnsi"/>
        </w:rPr>
        <w:t>Prekės</w:t>
      </w:r>
      <w:r w:rsidR="00786EC9" w:rsidRPr="00786EC9">
        <w:rPr>
          <w:rFonts w:cstheme="minorHAnsi"/>
        </w:rPr>
        <w:t xml:space="preserve"> skirtos vienodam naudojimui / toms pačioms funkcijoms atlikti, todėl atskirų </w:t>
      </w:r>
      <w:r w:rsidR="00786EC9" w:rsidRPr="00786EC9">
        <w:rPr>
          <w:rFonts w:cstheme="minorHAnsi"/>
        </w:rPr>
        <w:lastRenderedPageBreak/>
        <w:t>dalių formavimas būtų dirbtinis ir ekonomiškai nepagrįstas.</w:t>
      </w:r>
      <w:r w:rsidR="00786EC9">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p>
    <w:p w14:paraId="0CA81FB8" w14:textId="0F963DDC"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0E1D15">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A70F26" w:rsidR="00004521" w:rsidRDefault="00004521" w:rsidP="00105452">
      <w:pPr>
        <w:pStyle w:val="Sraopastraipa"/>
        <w:spacing w:after="0" w:line="20" w:lineRule="atLeast"/>
        <w:ind w:left="0" w:firstLine="567"/>
        <w:jc w:val="both"/>
        <w:rPr>
          <w:rFonts w:cstheme="minorHAnsi"/>
        </w:rPr>
      </w:pPr>
      <w:r>
        <w:rPr>
          <w:rFonts w:cstheme="minorHAnsi"/>
        </w:rPr>
        <w:t>2.</w:t>
      </w:r>
      <w:r w:rsidR="000E1D15">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4F70A7DA" w:rsidR="00B176FD" w:rsidRPr="00F0499F" w:rsidRDefault="00940B64" w:rsidP="00105452">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0E1D15">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bookmarkStart w:id="14" w:name="_Toc211580768"/>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bookmarkEnd w:id="14"/>
    </w:p>
    <w:p w14:paraId="1D85D3A9" w14:textId="2D32D128" w:rsidR="00430638" w:rsidRDefault="00EE127C" w:rsidP="00EA782F">
      <w:pPr>
        <w:pStyle w:val="Sraopastraipa"/>
        <w:spacing w:after="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EA782F">
      <w:pPr>
        <w:pStyle w:val="Sraopastraipa"/>
        <w:spacing w:after="0" w:line="20" w:lineRule="atLeast"/>
        <w:ind w:left="0" w:firstLine="567"/>
        <w:jc w:val="both"/>
      </w:pPr>
      <w:r w:rsidRPr="00F574AD">
        <w:t>3.2. Perkančioji organizacija netaiko kvalifikacijos reikalavimų tiekėjams.</w:t>
      </w:r>
    </w:p>
    <w:p w14:paraId="3C117911" w14:textId="1E122E7E" w:rsidR="003B3840" w:rsidRPr="003B3840" w:rsidRDefault="003B3840" w:rsidP="003B3840">
      <w:pPr>
        <w:pStyle w:val="Sraopastraipa"/>
        <w:numPr>
          <w:ilvl w:val="1"/>
          <w:numId w:val="72"/>
        </w:numPr>
        <w:tabs>
          <w:tab w:val="left" w:pos="990"/>
        </w:tabs>
        <w:spacing w:after="0" w:line="20" w:lineRule="atLeast"/>
        <w:ind w:left="0" w:firstLine="540"/>
        <w:jc w:val="both"/>
      </w:pPr>
      <w:r w:rsidRPr="003B3840">
        <w:rPr>
          <w:bCs/>
          <w:iCs/>
        </w:rPr>
        <w:t>Dokumentų, patvirtinančių pašalinimo pagrindų nebuvimą, perkančioji organizacija reikalaus pateikti tik iš to tiekėjo, kurio pasiūlymas pagal pasiūlymų vertinimo rezultatus galės būti pripažintas laimėjusiu.</w:t>
      </w:r>
    </w:p>
    <w:p w14:paraId="1F1F1FAB" w14:textId="0512EC97" w:rsidR="003C637B" w:rsidRDefault="00C66D2A" w:rsidP="005B11AD">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sidR="003B3840">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5D50271D" w:rsidR="00F01343" w:rsidRPr="00F01343" w:rsidRDefault="00F01343" w:rsidP="00EE0601">
      <w:pPr>
        <w:spacing w:after="0" w:line="20" w:lineRule="atLeast"/>
        <w:ind w:firstLine="567"/>
        <w:jc w:val="both"/>
        <w:rPr>
          <w:rFonts w:cstheme="minorHAnsi"/>
          <w:color w:val="000000" w:themeColor="text1"/>
        </w:rPr>
      </w:pPr>
      <w:r w:rsidRPr="00EA782F">
        <w:rPr>
          <w:rFonts w:cstheme="minorHAnsi"/>
          <w:color w:val="000000" w:themeColor="text1"/>
        </w:rPr>
        <w:t>3.</w:t>
      </w:r>
      <w:r w:rsidR="003B3840">
        <w:rPr>
          <w:rFonts w:cstheme="minorHAnsi"/>
          <w:color w:val="000000" w:themeColor="text1"/>
        </w:rPr>
        <w:t>4</w:t>
      </w:r>
      <w:r w:rsidRPr="00EA782F">
        <w:rPr>
          <w:rFonts w:cstheme="minorHAnsi"/>
          <w:color w:val="000000" w:themeColor="text1"/>
        </w:rPr>
        <w:t>.1.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66F95DF9"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w:t>
      </w:r>
      <w:r w:rsidR="003B3840">
        <w:rPr>
          <w:rFonts w:cstheme="minorHAnsi"/>
          <w:color w:val="000000" w:themeColor="text1"/>
        </w:rPr>
        <w:t>4</w:t>
      </w:r>
      <w:r w:rsidRPr="00F01343">
        <w:rPr>
          <w:rFonts w:cstheme="minorHAnsi"/>
          <w:color w:val="000000" w:themeColor="text1"/>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28B2DDBE"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w:t>
      </w:r>
      <w:r w:rsidR="003B3840">
        <w:rPr>
          <w:rFonts w:cstheme="minorHAnsi"/>
          <w:color w:val="000000" w:themeColor="text1"/>
        </w:rPr>
        <w:t>4</w:t>
      </w:r>
      <w:r w:rsidRPr="00F01343">
        <w:rPr>
          <w:rFonts w:cstheme="minorHAnsi"/>
          <w:color w:val="000000" w:themeColor="text1"/>
        </w:rPr>
        <w:t xml:space="preserve">.3.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5A8B06D1"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w:t>
      </w:r>
      <w:r w:rsidR="003B3840">
        <w:rPr>
          <w:rFonts w:cstheme="minorHAnsi"/>
          <w:color w:val="000000" w:themeColor="text1"/>
        </w:rPr>
        <w:t>4</w:t>
      </w:r>
      <w:r w:rsidRPr="005B5FA5">
        <w:rPr>
          <w:rFonts w:cstheme="minorHAnsi"/>
          <w:color w:val="000000" w:themeColor="text1"/>
        </w:rPr>
        <w:t>.4. kitus VPĮ 51 straipsnio 12 dalyje nurodytus duomenis, tiek, kiek (ir tada, kai) tai reikalinga perkančiajai organizacijai siekiant tinkamai įgyvendinti Reglamentu nustatytus draudimus;</w:t>
      </w:r>
    </w:p>
    <w:p w14:paraId="2C14DF39" w14:textId="22915858"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w:t>
      </w:r>
      <w:r w:rsidR="003B3840">
        <w:rPr>
          <w:rFonts w:cstheme="minorHAnsi"/>
          <w:color w:val="000000" w:themeColor="text1"/>
        </w:rPr>
        <w:t>4</w:t>
      </w:r>
      <w:r w:rsidRPr="00F01343">
        <w:rPr>
          <w:rFonts w:cstheme="minorHAnsi"/>
          <w:color w:val="000000" w:themeColor="text1"/>
        </w:rPr>
        <w:t>.</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4D851B2B"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sidR="003B3840">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bookmarkStart w:id="19" w:name="_Toc211580769"/>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bookmarkEnd w:id="19"/>
    </w:p>
    <w:p w14:paraId="12E6CEC2" w14:textId="77777777" w:rsidR="00F435BA" w:rsidRPr="00F17C5B" w:rsidRDefault="00922A25" w:rsidP="00EE0601">
      <w:pPr>
        <w:spacing w:after="0" w:line="20" w:lineRule="atLeast"/>
        <w:ind w:firstLine="567"/>
        <w:jc w:val="both"/>
        <w:rPr>
          <w:rFonts w:cstheme="minorHAnsi"/>
        </w:rPr>
      </w:pPr>
      <w:bookmarkStart w:id="20" w:name="_Hlk58833772"/>
      <w:r w:rsidRPr="00F17C5B">
        <w:rPr>
          <w:rFonts w:cstheme="minorHAnsi"/>
        </w:rPr>
        <w:t>4.1. Pasiūlymą sudaro pateiktų dokumentų visuma. Tiekėjas turi pateikti:</w:t>
      </w:r>
      <w:r w:rsidRPr="00F17C5B">
        <w:rPr>
          <w:rFonts w:cstheme="minorHAnsi"/>
        </w:rPr>
        <w:tab/>
      </w:r>
    </w:p>
    <w:p w14:paraId="414F8868" w14:textId="647AC37B"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1"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1"/>
      <w:r w:rsidRPr="00F17C5B">
        <w:rPr>
          <w:rFonts w:cstheme="minorHAnsi"/>
        </w:rPr>
        <w:t>priedą „Pasiūlymo forma“</w:t>
      </w:r>
      <w:r w:rsidR="005B11AD">
        <w:rPr>
          <w:rFonts w:cstheme="minorHAnsi"/>
        </w:rPr>
        <w:t>)</w:t>
      </w:r>
      <w:r w:rsidR="00E76ED5" w:rsidRPr="00F17C5B">
        <w:rPr>
          <w:rFonts w:cstheme="minorHAnsi"/>
        </w:rPr>
        <w:t>;</w:t>
      </w:r>
    </w:p>
    <w:p w14:paraId="2330D4ED" w14:textId="4DA35621"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20"/>
    <w:p w14:paraId="6602056D" w14:textId="50E6EF20" w:rsidR="0096678C" w:rsidRPr="00F02495" w:rsidRDefault="00B96957" w:rsidP="00EE0601">
      <w:pPr>
        <w:pStyle w:val="Sraopastraipa"/>
        <w:spacing w:line="20" w:lineRule="atLeast"/>
        <w:ind w:left="0" w:firstLine="567"/>
        <w:jc w:val="both"/>
        <w:rPr>
          <w:rFonts w:cstheme="minorHAnsi"/>
        </w:rPr>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w:t>
      </w:r>
      <w:r w:rsidR="008C0E60" w:rsidRPr="00F02495">
        <w:rPr>
          <w:rFonts w:cstheme="minorHAnsi"/>
        </w:rPr>
        <w:t xml:space="preserve">arba) aplinkos apsaugos vadybos sistemos standartų reikalavimams patvirtinantys sertifikatai, pažymos, informacija iš institucijų, registrų, informacinių sistemų apie užsienio tiekėją </w:t>
      </w:r>
      <w:r w:rsidR="00E476E8" w:rsidRPr="00F02495">
        <w:rPr>
          <w:rFonts w:cstheme="minorHAnsi"/>
        </w:rPr>
        <w:t>gali būti pateikiami ir anglų kalba (</w:t>
      </w:r>
      <w:r w:rsidR="0037369F" w:rsidRPr="00F02495">
        <w:rPr>
          <w:rFonts w:cstheme="minorHAnsi"/>
        </w:rPr>
        <w:t>perkančiajai organizacijai, kilus neaiškumams dėl minėtų dokumentų, pateiktų anglų kalba, atitikties nustatytiems reikalavimams, pasilieka teisę prašyti dokumentų vertimo į lietuvių kalbą)</w:t>
      </w:r>
      <w:r w:rsidR="00E476E8" w:rsidRPr="00F02495">
        <w:rPr>
          <w:rFonts w:cstheme="minorHAnsi"/>
        </w:rPr>
        <w:t xml:space="preserve">. </w:t>
      </w:r>
      <w:r w:rsidR="008D5545" w:rsidRPr="00F02495">
        <w:rPr>
          <w:rFonts w:cstheme="minorHAnsi"/>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025681D7" w:rsidR="00380B99" w:rsidRPr="00F02495" w:rsidRDefault="00B96957" w:rsidP="00EE0601">
      <w:pPr>
        <w:pStyle w:val="Sraopastraipa"/>
        <w:spacing w:line="20" w:lineRule="atLeast"/>
        <w:ind w:left="0" w:firstLine="567"/>
        <w:jc w:val="both"/>
        <w:rPr>
          <w:rFonts w:cstheme="minorHAnsi"/>
        </w:rPr>
      </w:pPr>
      <w:r w:rsidRPr="00F02495">
        <w:rPr>
          <w:rFonts w:eastAsia="Arial" w:cstheme="minorHAnsi"/>
        </w:rPr>
        <w:t>4.</w:t>
      </w:r>
      <w:r w:rsidR="00680ECD" w:rsidRPr="00F02495">
        <w:rPr>
          <w:rFonts w:eastAsia="Arial" w:cstheme="minorHAnsi"/>
        </w:rPr>
        <w:t>3</w:t>
      </w:r>
      <w:r w:rsidRPr="00F02495">
        <w:rPr>
          <w:rFonts w:eastAsia="Arial" w:cstheme="minorHAnsi"/>
        </w:rPr>
        <w:t xml:space="preserve">. </w:t>
      </w:r>
      <w:r w:rsidR="00F02495" w:rsidRPr="00F02495">
        <w:rPr>
          <w:rFonts w:eastAsia="Arial" w:cstheme="minorHAnsi"/>
        </w:rPr>
        <w:t>Visos pasiūlyme nurodytos kainos/įkainiai arba sąnaudos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tūkstantųjų bus 3,12.</w:t>
      </w:r>
    </w:p>
    <w:p w14:paraId="22059CDA" w14:textId="75257C66" w:rsidR="003A0EC0" w:rsidRPr="00F02495" w:rsidRDefault="00B96957" w:rsidP="00EE0601">
      <w:pPr>
        <w:pStyle w:val="Sraopastraipa"/>
        <w:spacing w:line="20" w:lineRule="atLeast"/>
        <w:ind w:left="0" w:firstLine="567"/>
        <w:jc w:val="both"/>
        <w:rPr>
          <w:rFonts w:cstheme="minorHAnsi"/>
        </w:rPr>
      </w:pPr>
      <w:r w:rsidRPr="00F02495">
        <w:rPr>
          <w:rFonts w:eastAsia="Arial" w:cstheme="minorHAnsi"/>
        </w:rPr>
        <w:t>4.</w:t>
      </w:r>
      <w:r w:rsidR="00A1496A" w:rsidRPr="00F02495">
        <w:rPr>
          <w:rFonts w:eastAsia="Arial" w:cstheme="minorHAnsi"/>
        </w:rPr>
        <w:t>4</w:t>
      </w:r>
      <w:r w:rsidRPr="00F02495">
        <w:rPr>
          <w:rFonts w:eastAsia="Arial" w:cstheme="minorHAnsi"/>
        </w:rPr>
        <w:t xml:space="preserve">. </w:t>
      </w:r>
      <w:r w:rsidR="003A0EC0" w:rsidRPr="00F02495">
        <w:rPr>
          <w:rFonts w:eastAsia="Arial" w:cstheme="minorHAnsi"/>
        </w:rPr>
        <w:t xml:space="preserve">Tiekėjų </w:t>
      </w:r>
      <w:r w:rsidR="00A217B2" w:rsidRPr="00F02495">
        <w:rPr>
          <w:rFonts w:eastAsia="Arial" w:cstheme="minorHAnsi"/>
        </w:rPr>
        <w:t>p</w:t>
      </w:r>
      <w:r w:rsidR="003A0EC0" w:rsidRPr="00F02495">
        <w:rPr>
          <w:rFonts w:eastAsia="Arial" w:cstheme="minorHAnsi"/>
        </w:rPr>
        <w:t xml:space="preserve">asiūlymuose nurodytos kainos bus vertinamos </w:t>
      </w:r>
      <w:r w:rsidR="003A0EC0" w:rsidRPr="00F02495">
        <w:rPr>
          <w:rFonts w:cstheme="minorHAnsi"/>
        </w:rPr>
        <w:t xml:space="preserve">ir lyginamos </w:t>
      </w:r>
      <w:r w:rsidR="005B5FA5" w:rsidRPr="00F02495">
        <w:rPr>
          <w:rFonts w:cstheme="minorHAnsi"/>
        </w:rPr>
        <w:t xml:space="preserve">eurais </w:t>
      </w:r>
      <w:r w:rsidR="003A0EC0" w:rsidRPr="00F02495">
        <w:rPr>
          <w:rFonts w:cstheme="minorHAnsi"/>
        </w:rPr>
        <w:t>su visais mokesčiais, įskaitant PVM</w:t>
      </w:r>
      <w:r w:rsidR="006E3394" w:rsidRPr="00F02495">
        <w:rPr>
          <w:rFonts w:cstheme="minorHAnsi"/>
        </w:rPr>
        <w:t>.</w:t>
      </w:r>
      <w:r w:rsidR="003A0EC0" w:rsidRPr="00F02495">
        <w:rPr>
          <w:rFonts w:cstheme="minorHAnsi"/>
        </w:rPr>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211580770"/>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642BFD55" w14:textId="6FAD8BE3" w:rsidR="00DF11D7" w:rsidRPr="00F02495" w:rsidRDefault="00FB5348" w:rsidP="00F02495">
      <w:pPr>
        <w:pStyle w:val="Sraopastraipa"/>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Start w:id="38" w:name="_Toc211580771"/>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8"/>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bookmarkStart w:id="42" w:name="_Toc211580772"/>
      <w:r w:rsidRPr="00B47B85">
        <w:rPr>
          <w:rFonts w:asciiTheme="minorHAnsi" w:hAnsiTheme="minorHAnsi" w:cstheme="minorHAnsi"/>
        </w:rPr>
        <w:t>P</w:t>
      </w:r>
      <w:r w:rsidR="00014A61" w:rsidRPr="00B47B85">
        <w:rPr>
          <w:rFonts w:asciiTheme="minorHAnsi" w:hAnsiTheme="minorHAnsi" w:cstheme="minorHAnsi"/>
        </w:rPr>
        <w:t>asiūlymų vertinimas</w:t>
      </w:r>
      <w:bookmarkEnd w:id="36"/>
      <w:bookmarkEnd w:id="37"/>
      <w:bookmarkEnd w:id="39"/>
      <w:bookmarkEnd w:id="40"/>
      <w:bookmarkEnd w:id="41"/>
      <w:bookmarkEnd w:id="42"/>
    </w:p>
    <w:p w14:paraId="46E1A60B" w14:textId="3278C908" w:rsidR="004E71CB" w:rsidRDefault="00A96BD8" w:rsidP="006D0631">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3"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3"/>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03DEE031" w:rsidR="00D734C6" w:rsidRPr="00F0499F" w:rsidRDefault="00DE65A1" w:rsidP="00D2047F">
      <w:pPr>
        <w:spacing w:after="0" w:line="20" w:lineRule="atLeast"/>
        <w:ind w:firstLine="567"/>
        <w:jc w:val="both"/>
        <w:rPr>
          <w:rFonts w:eastAsiaTheme="minorHAnsi" w:cstheme="minorHAnsi"/>
          <w:bCs/>
          <w:iCs/>
        </w:rPr>
      </w:pPr>
      <w:r w:rsidRPr="007B32B4">
        <w:rPr>
          <w:rFonts w:eastAsiaTheme="minorHAnsi" w:cstheme="minorHAnsi"/>
          <w:bCs/>
          <w:iCs/>
        </w:rPr>
        <w:t>7</w:t>
      </w:r>
      <w:r w:rsidR="00D2047F">
        <w:rPr>
          <w:rFonts w:eastAsiaTheme="minorHAnsi" w:cstheme="minorHAnsi"/>
          <w:bCs/>
          <w:iCs/>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Antrat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6333937"/>
      <w:bookmarkStart w:id="47" w:name="_Toc211580773"/>
      <w:r>
        <w:rPr>
          <w:rFonts w:asciiTheme="minorHAnsi" w:hAnsiTheme="minorHAnsi" w:cstheme="minorHAnsi"/>
        </w:rPr>
        <w:lastRenderedPageBreak/>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4"/>
      <w:bookmarkEnd w:id="45"/>
      <w:bookmarkEnd w:id="46"/>
      <w:r w:rsidR="00F848E0">
        <w:rPr>
          <w:rFonts w:asciiTheme="minorHAnsi" w:hAnsiTheme="minorHAnsi" w:cstheme="minorHAnsi"/>
        </w:rPr>
        <w:t>pasirašymas ir sąlygos</w:t>
      </w:r>
      <w:bookmarkEnd w:id="47"/>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DD1B" w14:textId="77777777" w:rsidR="0002432D" w:rsidRDefault="0002432D" w:rsidP="00D05666">
      <w:r>
        <w:separator/>
      </w:r>
    </w:p>
  </w:endnote>
  <w:endnote w:type="continuationSeparator" w:id="0">
    <w:p w14:paraId="112043A8" w14:textId="77777777" w:rsidR="0002432D" w:rsidRDefault="0002432D" w:rsidP="00D05666">
      <w:r>
        <w:continuationSeparator/>
      </w:r>
    </w:p>
  </w:endnote>
  <w:endnote w:type="continuationNotice" w:id="1">
    <w:p w14:paraId="57CBC973" w14:textId="77777777" w:rsidR="0002432D" w:rsidRDefault="00024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1FD0" w14:textId="77777777" w:rsidR="0002432D" w:rsidRDefault="0002432D" w:rsidP="00D05666">
      <w:r>
        <w:separator/>
      </w:r>
    </w:p>
  </w:footnote>
  <w:footnote w:type="continuationSeparator" w:id="0">
    <w:p w14:paraId="7838F825" w14:textId="77777777" w:rsidR="0002432D" w:rsidRDefault="0002432D" w:rsidP="00D05666">
      <w:r>
        <w:continuationSeparator/>
      </w:r>
    </w:p>
  </w:footnote>
  <w:footnote w:type="continuationNotice" w:id="1">
    <w:p w14:paraId="2CDB282D" w14:textId="77777777" w:rsidR="0002432D" w:rsidRDefault="00024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5F1071"/>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6FCE1298"/>
    <w:multiLevelType w:val="multilevel"/>
    <w:tmpl w:val="109444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46F1239"/>
    <w:multiLevelType w:val="multilevel"/>
    <w:tmpl w:val="BD0CF7DC"/>
    <w:lvl w:ilvl="0">
      <w:start w:val="1"/>
      <w:numFmt w:val="decimal"/>
      <w:lvlText w:val="%1."/>
      <w:lvlJc w:val="left"/>
      <w:pPr>
        <w:ind w:left="360" w:hanging="360"/>
      </w:pPr>
      <w:rPr>
        <w:rFonts w:hint="default"/>
        <w:color w:val="00B050"/>
      </w:rPr>
    </w:lvl>
    <w:lvl w:ilvl="1">
      <w:start w:val="7"/>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9"/>
  </w:num>
  <w:num w:numId="8" w16cid:durableId="993795571">
    <w:abstractNumId w:val="0"/>
  </w:num>
  <w:num w:numId="9" w16cid:durableId="921140231">
    <w:abstractNumId w:val="44"/>
  </w:num>
  <w:num w:numId="10" w16cid:durableId="1353803007">
    <w:abstractNumId w:val="67"/>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8"/>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3"/>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5"/>
  </w:num>
  <w:num w:numId="39" w16cid:durableId="1826389827">
    <w:abstractNumId w:val="30"/>
  </w:num>
  <w:num w:numId="40" w16cid:durableId="2125923423">
    <w:abstractNumId w:val="70"/>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4"/>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1"/>
  </w:num>
  <w:num w:numId="59" w16cid:durableId="2102338986">
    <w:abstractNumId w:val="8"/>
  </w:num>
  <w:num w:numId="60" w16cid:durableId="534345755">
    <w:abstractNumId w:val="32"/>
  </w:num>
  <w:num w:numId="61" w16cid:durableId="1482305889">
    <w:abstractNumId w:val="53"/>
  </w:num>
  <w:num w:numId="62" w16cid:durableId="1217424725">
    <w:abstractNumId w:val="66"/>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743915481">
    <w:abstractNumId w:val="50"/>
  </w:num>
  <w:num w:numId="70" w16cid:durableId="1434740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5302220">
    <w:abstractNumId w:val="22"/>
  </w:num>
  <w:num w:numId="72" w16cid:durableId="269747415">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32D"/>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1D15"/>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87A46"/>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0723"/>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64EA"/>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4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141"/>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08E"/>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1E3A"/>
    <w:rsid w:val="005A2704"/>
    <w:rsid w:val="005A2AC1"/>
    <w:rsid w:val="005A2B07"/>
    <w:rsid w:val="005A58E6"/>
    <w:rsid w:val="005A65C8"/>
    <w:rsid w:val="005A74E8"/>
    <w:rsid w:val="005B0449"/>
    <w:rsid w:val="005B0749"/>
    <w:rsid w:val="005B11AD"/>
    <w:rsid w:val="005B19E4"/>
    <w:rsid w:val="005B1D8D"/>
    <w:rsid w:val="005B24C3"/>
    <w:rsid w:val="005B2A1D"/>
    <w:rsid w:val="005B2C82"/>
    <w:rsid w:val="005B2D9B"/>
    <w:rsid w:val="005B2FD0"/>
    <w:rsid w:val="005B34A6"/>
    <w:rsid w:val="005B383F"/>
    <w:rsid w:val="005B3D70"/>
    <w:rsid w:val="005B41CC"/>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948"/>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696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6EC9"/>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8DC"/>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2B59"/>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3A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B6"/>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49"/>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47F"/>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C45"/>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8C6"/>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A782F"/>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495"/>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B3840"/>
    <w:pPr>
      <w:tabs>
        <w:tab w:val="left" w:pos="142"/>
        <w:tab w:val="right" w:leader="dot" w:pos="9962"/>
      </w:tabs>
      <w:spacing w:after="0"/>
      <w:ind w:left="90" w:firstLine="54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313669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18743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1894</Words>
  <Characters>10797</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5</cp:revision>
  <dcterms:created xsi:type="dcterms:W3CDTF">2025-10-15T04:39:00Z</dcterms:created>
  <dcterms:modified xsi:type="dcterms:W3CDTF">2025-10-17T05:15:00Z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