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0386" w14:textId="32C629D2" w:rsidR="00A46332" w:rsidRPr="006A36C9" w:rsidRDefault="009E7D1F" w:rsidP="009E7D1F">
      <w:pPr>
        <w:jc w:val="center"/>
        <w:rPr>
          <w:b/>
          <w:bCs/>
          <w:sz w:val="18"/>
          <w:szCs w:val="18"/>
        </w:rPr>
      </w:pPr>
      <w:r w:rsidRPr="006A36C9">
        <w:rPr>
          <w:b/>
          <w:bCs/>
          <w:sz w:val="18"/>
          <w:szCs w:val="18"/>
        </w:rPr>
        <w:t>TECHNINĖ SPECIFIKACIJA IR ĮKAINIAI</w:t>
      </w:r>
    </w:p>
    <w:p w14:paraId="4C9D9C68" w14:textId="77777777" w:rsidR="009E7D1F" w:rsidRPr="006A36C9" w:rsidRDefault="009E7D1F" w:rsidP="009E7D1F">
      <w:pPr>
        <w:jc w:val="center"/>
        <w:rPr>
          <w:b/>
          <w:bCs/>
          <w:sz w:val="18"/>
          <w:szCs w:val="18"/>
        </w:rPr>
      </w:pPr>
    </w:p>
    <w:p w14:paraId="131E089D" w14:textId="2BAD47A0" w:rsidR="009E7D1F" w:rsidRPr="000D1455" w:rsidRDefault="4957940A" w:rsidP="009E7D1F">
      <w:pPr>
        <w:rPr>
          <w:b/>
          <w:bCs/>
          <w:sz w:val="20"/>
          <w:szCs w:val="20"/>
        </w:rPr>
      </w:pPr>
      <w:r w:rsidRPr="000D1455">
        <w:rPr>
          <w:b/>
          <w:bCs/>
          <w:sz w:val="20"/>
          <w:szCs w:val="20"/>
        </w:rPr>
        <w:t>Bendrieji reikalavimai:</w:t>
      </w:r>
    </w:p>
    <w:p w14:paraId="312ED5A8" w14:textId="73B7F433" w:rsidR="00C908FF" w:rsidRPr="000D1455" w:rsidRDefault="3B9EA0E3" w:rsidP="00C908FF">
      <w:pPr>
        <w:rPr>
          <w:sz w:val="20"/>
          <w:szCs w:val="20"/>
        </w:rPr>
      </w:pPr>
      <w:r w:rsidRPr="000D1455">
        <w:rPr>
          <w:sz w:val="20"/>
          <w:szCs w:val="20"/>
        </w:rPr>
        <w:t>1.1. Visiems nurodytiems pavadinimams, standartams ir analogiškiems techniniams apibrėžimams taikoma sąlyga „arba lygiavertis</w:t>
      </w:r>
      <w:r w:rsidR="7DE37733" w:rsidRPr="000D1455">
        <w:rPr>
          <w:sz w:val="20"/>
          <w:szCs w:val="20"/>
        </w:rPr>
        <w:t>”.</w:t>
      </w:r>
    </w:p>
    <w:p w14:paraId="6CC74CBE" w14:textId="77777777" w:rsidR="00C908FF" w:rsidRPr="000D1455" w:rsidRDefault="00C908FF" w:rsidP="00C908FF">
      <w:pPr>
        <w:rPr>
          <w:sz w:val="20"/>
          <w:szCs w:val="20"/>
        </w:rPr>
      </w:pPr>
      <w:r w:rsidRPr="000D1455">
        <w:rPr>
          <w:sz w:val="20"/>
          <w:szCs w:val="20"/>
        </w:rPr>
        <w:t>1.2. Tiekėjas, siūlantis lygiavertę prekę ar paslaugą, privalo pateikti patikimus įrodymus, kad siūlomas sprendimas atitinka lygiavertiškumo kriterijus.</w:t>
      </w:r>
    </w:p>
    <w:p w14:paraId="34D81680" w14:textId="48ACB325" w:rsidR="00C908FF" w:rsidRPr="000D1455" w:rsidRDefault="00C908FF" w:rsidP="00C908FF">
      <w:pPr>
        <w:rPr>
          <w:sz w:val="20"/>
          <w:szCs w:val="20"/>
        </w:rPr>
      </w:pPr>
      <w:r w:rsidRPr="000D1455">
        <w:rPr>
          <w:sz w:val="20"/>
          <w:szCs w:val="20"/>
        </w:rPr>
        <w:t>1.3. Atliekamas</w:t>
      </w:r>
      <w:r w:rsidR="00E107FE" w:rsidRPr="000D1455">
        <w:rPr>
          <w:sz w:val="20"/>
          <w:szCs w:val="20"/>
        </w:rPr>
        <w:t xml:space="preserve"> įrangos</w:t>
      </w:r>
      <w:r w:rsidR="00046F6D" w:rsidRPr="000D1455">
        <w:rPr>
          <w:sz w:val="20"/>
          <w:szCs w:val="20"/>
        </w:rPr>
        <w:t xml:space="preserve"> </w:t>
      </w:r>
      <w:r w:rsidRPr="000D1455">
        <w:rPr>
          <w:sz w:val="20"/>
          <w:szCs w:val="20"/>
        </w:rPr>
        <w:t xml:space="preserve">kvalifikavimas </w:t>
      </w:r>
      <w:r w:rsidR="00E107FE" w:rsidRPr="000D1455">
        <w:rPr>
          <w:sz w:val="20"/>
          <w:szCs w:val="20"/>
        </w:rPr>
        <w:t xml:space="preserve">- </w:t>
      </w:r>
      <w:r w:rsidRPr="000D1455">
        <w:rPr>
          <w:sz w:val="20"/>
          <w:szCs w:val="20"/>
        </w:rPr>
        <w:t xml:space="preserve">ataskaita pateikiama per </w:t>
      </w:r>
      <w:r w:rsidR="00046F6D" w:rsidRPr="000D1455">
        <w:rPr>
          <w:sz w:val="20"/>
          <w:szCs w:val="20"/>
        </w:rPr>
        <w:t>(15</w:t>
      </w:r>
      <w:r w:rsidRPr="000D1455">
        <w:rPr>
          <w:sz w:val="20"/>
          <w:szCs w:val="20"/>
        </w:rPr>
        <w:t xml:space="preserve"> </w:t>
      </w:r>
      <w:r w:rsidR="00046F6D" w:rsidRPr="000D1455">
        <w:rPr>
          <w:sz w:val="20"/>
          <w:szCs w:val="20"/>
        </w:rPr>
        <w:t>penkiolika</w:t>
      </w:r>
      <w:r w:rsidRPr="000D1455">
        <w:rPr>
          <w:sz w:val="20"/>
          <w:szCs w:val="20"/>
        </w:rPr>
        <w:t>) kalendorinių dienų nuo paslaugos užsakymo. Kvalifikavimo apimtis detalizuota Lentelėje Nr. 2.</w:t>
      </w:r>
    </w:p>
    <w:p w14:paraId="60E4018B" w14:textId="4D739865" w:rsidR="00C908FF" w:rsidRPr="00A64250" w:rsidRDefault="00C908FF" w:rsidP="00C908FF">
      <w:pPr>
        <w:rPr>
          <w:sz w:val="20"/>
          <w:szCs w:val="20"/>
        </w:rPr>
      </w:pPr>
      <w:r w:rsidRPr="000D1455">
        <w:rPr>
          <w:sz w:val="20"/>
          <w:szCs w:val="20"/>
        </w:rPr>
        <w:t>1.5. Tiekėjas privalo turėti praktinės patirties</w:t>
      </w:r>
      <w:r w:rsidR="00445EAB" w:rsidRPr="000D1455">
        <w:rPr>
          <w:sz w:val="20"/>
          <w:szCs w:val="20"/>
        </w:rPr>
        <w:t xml:space="preserve">, </w:t>
      </w:r>
      <w:r w:rsidRPr="000D1455">
        <w:rPr>
          <w:sz w:val="20"/>
          <w:szCs w:val="20"/>
        </w:rPr>
        <w:t xml:space="preserve">kvalifikuojant </w:t>
      </w:r>
      <w:r w:rsidR="00046F6D" w:rsidRPr="000D1455">
        <w:rPr>
          <w:sz w:val="20"/>
          <w:szCs w:val="20"/>
        </w:rPr>
        <w:t xml:space="preserve"> </w:t>
      </w:r>
      <w:r w:rsidRPr="000D1455">
        <w:rPr>
          <w:sz w:val="20"/>
          <w:szCs w:val="20"/>
        </w:rPr>
        <w:t>įrangą, naudojamą biomedicinos, kraujo produktų, farmacijos ar</w:t>
      </w:r>
      <w:r w:rsidR="00445EAB" w:rsidRPr="000D1455">
        <w:rPr>
          <w:sz w:val="20"/>
          <w:szCs w:val="20"/>
        </w:rPr>
        <w:t xml:space="preserve"> </w:t>
      </w:r>
      <w:r w:rsidR="00445EAB" w:rsidRPr="00A64250">
        <w:rPr>
          <w:sz w:val="20"/>
          <w:szCs w:val="20"/>
        </w:rPr>
        <w:t xml:space="preserve">susijusios su </w:t>
      </w:r>
      <w:r w:rsidRPr="00A64250">
        <w:rPr>
          <w:sz w:val="20"/>
          <w:szCs w:val="20"/>
        </w:rPr>
        <w:t>GMP veikl</w:t>
      </w:r>
      <w:r w:rsidR="00445EAB" w:rsidRPr="00A64250">
        <w:rPr>
          <w:sz w:val="20"/>
          <w:szCs w:val="20"/>
        </w:rPr>
        <w:t>a</w:t>
      </w:r>
      <w:r w:rsidRPr="00A64250">
        <w:rPr>
          <w:sz w:val="20"/>
          <w:szCs w:val="20"/>
        </w:rPr>
        <w:t xml:space="preserve"> srityse. Tiekėjas turi pateikti įrodymus (pvz., užsakovų pažymas, sutartis ar priėmimo–perdavimo aktus), kad per pastaruosius 5 (penkerius) metus yra sėkmingai įvykdęs ne mažiau kaip 3 (tris) kvalifikacijos projektus GMP aplinkoje naudojamai šaldymo ar užšaldymo įrangai.</w:t>
      </w:r>
    </w:p>
    <w:p w14:paraId="275B673B" w14:textId="49ABA034" w:rsidR="000D1455" w:rsidRPr="00A64250" w:rsidRDefault="000D1455" w:rsidP="00C908FF">
      <w:pPr>
        <w:rPr>
          <w:sz w:val="20"/>
          <w:szCs w:val="20"/>
        </w:rPr>
      </w:pPr>
      <w:r w:rsidRPr="00A64250">
        <w:rPr>
          <w:sz w:val="20"/>
          <w:szCs w:val="20"/>
        </w:rPr>
        <w:t xml:space="preserve">1.6 </w:t>
      </w:r>
      <w:r w:rsidR="000C0F8F" w:rsidRPr="00A64250">
        <w:rPr>
          <w:sz w:val="20"/>
          <w:szCs w:val="20"/>
        </w:rPr>
        <w:t>Kvalifikavimo paslaugas teikiantis asmuo ar įmonė privalo turėti įrenginio gamintojo arba lygiavertį įgaliojimą, patvirtinantį, kad kvalifikavimo inžinierius turi reikiamas žinias ir prieigą prie informacijos, būtinos teisingai suprasti įrenginio veikimą ir ją tinkamai pritaikyti kvalifikavimo procese.</w:t>
      </w:r>
    </w:p>
    <w:p w14:paraId="261C118E" w14:textId="6DF41789" w:rsidR="00C908FF" w:rsidRPr="00A64250" w:rsidRDefault="3B9EA0E3" w:rsidP="00C908FF">
      <w:pPr>
        <w:rPr>
          <w:sz w:val="20"/>
          <w:szCs w:val="20"/>
        </w:rPr>
      </w:pPr>
      <w:r w:rsidRPr="00A64250">
        <w:rPr>
          <w:sz w:val="20"/>
          <w:szCs w:val="20"/>
        </w:rPr>
        <w:t>1.</w:t>
      </w:r>
      <w:r w:rsidR="000C0F8F" w:rsidRPr="00A64250">
        <w:rPr>
          <w:sz w:val="20"/>
          <w:szCs w:val="20"/>
        </w:rPr>
        <w:t>7</w:t>
      </w:r>
      <w:r w:rsidRPr="00A64250">
        <w:rPr>
          <w:sz w:val="20"/>
          <w:szCs w:val="20"/>
        </w:rPr>
        <w:t xml:space="preserve"> Kvalifikavimu</w:t>
      </w:r>
      <w:r w:rsidR="54C4D996" w:rsidRPr="00A64250">
        <w:rPr>
          <w:sz w:val="20"/>
          <w:szCs w:val="20"/>
        </w:rPr>
        <w:t>s</w:t>
      </w:r>
      <w:r w:rsidRPr="00A64250">
        <w:rPr>
          <w:sz w:val="20"/>
          <w:szCs w:val="20"/>
        </w:rPr>
        <w:t xml:space="preserve"> atliekantis tiekėjas turi užtikrinti darbų vykdymą taip, kad jie netrukdytų Kraujo centro įprastinei veiklai.</w:t>
      </w:r>
      <w:r w:rsidR="000C0F8F" w:rsidRPr="00A64250">
        <w:rPr>
          <w:sz w:val="20"/>
          <w:szCs w:val="20"/>
        </w:rPr>
        <w:t xml:space="preserve"> Kvalifikavimo veikla iš anksto privalo būti suderinta su įrangos vartotojais.</w:t>
      </w:r>
    </w:p>
    <w:p w14:paraId="1DDA492F" w14:textId="054040AA" w:rsidR="00C908FF" w:rsidRPr="00A64250" w:rsidRDefault="00C908FF" w:rsidP="00C908FF">
      <w:pPr>
        <w:rPr>
          <w:sz w:val="20"/>
          <w:szCs w:val="20"/>
        </w:rPr>
      </w:pPr>
      <w:r w:rsidRPr="00A64250">
        <w:rPr>
          <w:sz w:val="20"/>
          <w:szCs w:val="20"/>
        </w:rPr>
        <w:t>1.</w:t>
      </w:r>
      <w:r w:rsidR="000C0F8F" w:rsidRPr="00A64250">
        <w:rPr>
          <w:sz w:val="20"/>
          <w:szCs w:val="20"/>
        </w:rPr>
        <w:t>8</w:t>
      </w:r>
      <w:r w:rsidRPr="00A64250">
        <w:rPr>
          <w:sz w:val="20"/>
          <w:szCs w:val="20"/>
        </w:rPr>
        <w:t xml:space="preserve"> Visa kvalifikavimui reikalinga įranga, įrankiai ir apsaugos priemonės turi būti suteikiamos tiekėjo.</w:t>
      </w:r>
    </w:p>
    <w:p w14:paraId="5A364652" w14:textId="77777777" w:rsidR="00C908FF" w:rsidRPr="00A64250" w:rsidRDefault="00C908FF" w:rsidP="00C908FF">
      <w:pPr>
        <w:rPr>
          <w:sz w:val="20"/>
          <w:szCs w:val="20"/>
        </w:rPr>
      </w:pPr>
      <w:r w:rsidRPr="00A64250">
        <w:rPr>
          <w:sz w:val="20"/>
          <w:szCs w:val="20"/>
        </w:rPr>
        <w:t>2. Norminiai dokumentai ir metodika.</w:t>
      </w:r>
    </w:p>
    <w:p w14:paraId="6F34A51B" w14:textId="77777777" w:rsidR="00C908FF" w:rsidRPr="00A64250" w:rsidRDefault="00C908FF" w:rsidP="00C908FF">
      <w:pPr>
        <w:rPr>
          <w:sz w:val="20"/>
          <w:szCs w:val="20"/>
        </w:rPr>
      </w:pPr>
      <w:r w:rsidRPr="00A64250">
        <w:rPr>
          <w:sz w:val="20"/>
          <w:szCs w:val="20"/>
        </w:rPr>
        <w:t>2.1. Visi kvalifikavimo darbai turi būti atliekami vadovaujantis Geros gamybos praktikos (GMP) gairėmis – EudraLex Volume 4, Annex 15: Qualification and Validation.</w:t>
      </w:r>
    </w:p>
    <w:p w14:paraId="51AEFD89" w14:textId="77777777" w:rsidR="00C908FF" w:rsidRPr="00A64250" w:rsidRDefault="00C908FF" w:rsidP="00C908FF">
      <w:pPr>
        <w:rPr>
          <w:sz w:val="20"/>
          <w:szCs w:val="20"/>
        </w:rPr>
      </w:pPr>
      <w:r w:rsidRPr="00A64250">
        <w:rPr>
          <w:sz w:val="20"/>
          <w:szCs w:val="20"/>
        </w:rPr>
        <w:t>2.2. Kvalifikavimo procesas turi būti vykdomas nuosekliai, užtikrinant darbų atsekamumą ir dokumentacijos vientisumą. Visi bandymai ir jų įrašai turi būti atsekami – nurodant, kas ir kada atliko bandymą, kokia sąlyga buvo tikrinama ir kokie gauti rezultatai. Po kiekvieno bandymo turi būti suformuluota testavimo išvada.</w:t>
      </w:r>
    </w:p>
    <w:p w14:paraId="41414D02" w14:textId="77777777" w:rsidR="00C908FF" w:rsidRPr="00A64250" w:rsidRDefault="00C908FF" w:rsidP="00C908FF">
      <w:pPr>
        <w:rPr>
          <w:sz w:val="20"/>
          <w:szCs w:val="20"/>
        </w:rPr>
      </w:pPr>
      <w:r w:rsidRPr="00A64250">
        <w:rPr>
          <w:sz w:val="20"/>
          <w:szCs w:val="20"/>
        </w:rPr>
        <w:t>3. Kvalifikavimo protokolai ir dokumentacija</w:t>
      </w:r>
    </w:p>
    <w:p w14:paraId="01341036" w14:textId="77777777" w:rsidR="00C908FF" w:rsidRPr="00A64250" w:rsidRDefault="00C908FF" w:rsidP="00C908FF">
      <w:pPr>
        <w:rPr>
          <w:sz w:val="20"/>
          <w:szCs w:val="20"/>
        </w:rPr>
      </w:pPr>
      <w:r w:rsidRPr="00A64250">
        <w:rPr>
          <w:sz w:val="20"/>
          <w:szCs w:val="20"/>
        </w:rPr>
        <w:t>3.1. Kvalifikavimo protokolas privalo būti: parengtas ir patvirtintas prieš kvalifikacijos pradžią; pasirašytas ir patvirtintas po darbų užbaigimo; suderintas su užsakovu iš anksto.</w:t>
      </w:r>
    </w:p>
    <w:p w14:paraId="455E89DC" w14:textId="77777777" w:rsidR="00C908FF" w:rsidRPr="00A64250" w:rsidRDefault="00C908FF" w:rsidP="00C908FF">
      <w:pPr>
        <w:rPr>
          <w:sz w:val="20"/>
          <w:szCs w:val="20"/>
        </w:rPr>
      </w:pPr>
      <w:r w:rsidRPr="00A64250">
        <w:rPr>
          <w:sz w:val="20"/>
          <w:szCs w:val="20"/>
        </w:rPr>
        <w:t>3.2. Prieš atliekant matavimus kvalifikavimo atlikimo protokolai (šablonas, pildymas, tvirtinimas) yra derinami ir patvirtinami užsakovo paskirto atsakingo asmens, ir yra vertinami pagal perkančiosios organizacijos nustatomus priimtinumo kriterijus remiantis GxP reikalavimais ir vidinėmis organizacijos procedūromis.</w:t>
      </w:r>
    </w:p>
    <w:p w14:paraId="56DB9723" w14:textId="7C267D48" w:rsidR="00C908FF" w:rsidRPr="00A64250" w:rsidRDefault="00C908FF" w:rsidP="00C908FF">
      <w:pPr>
        <w:rPr>
          <w:sz w:val="20"/>
          <w:szCs w:val="20"/>
        </w:rPr>
      </w:pPr>
      <w:r w:rsidRPr="00A64250">
        <w:rPr>
          <w:sz w:val="20"/>
          <w:szCs w:val="20"/>
        </w:rPr>
        <w:t>3.4. Kvalifikavimo protokolai turi būti pateikiami anglų kalba.</w:t>
      </w:r>
    </w:p>
    <w:p w14:paraId="4141F354" w14:textId="05338F8E" w:rsidR="00C908FF" w:rsidRPr="00A64250" w:rsidRDefault="00C908FF" w:rsidP="00C908FF">
      <w:pPr>
        <w:rPr>
          <w:sz w:val="20"/>
          <w:szCs w:val="20"/>
        </w:rPr>
      </w:pPr>
      <w:r w:rsidRPr="00A64250">
        <w:rPr>
          <w:sz w:val="20"/>
          <w:szCs w:val="20"/>
        </w:rPr>
        <w:t xml:space="preserve">3.5. Protokolo turinys turi apimti (bet neapsiriboti): kvalifikavimo </w:t>
      </w:r>
      <w:r w:rsidR="00445EAB" w:rsidRPr="00A64250">
        <w:rPr>
          <w:sz w:val="20"/>
          <w:szCs w:val="20"/>
        </w:rPr>
        <w:t>tikslą ir apimtį</w:t>
      </w:r>
      <w:r w:rsidRPr="00A64250">
        <w:rPr>
          <w:sz w:val="20"/>
          <w:szCs w:val="20"/>
        </w:rPr>
        <w:t>, trumpinių žodynėlį, vaidmenų paskirstymą, įrangos veiklos priimtinumo kriterijus, PQ protokolus, kvalifikavimo išvadas, nuokrypių sąrašą ir priedus.</w:t>
      </w:r>
    </w:p>
    <w:p w14:paraId="1A20C0A6" w14:textId="77777777" w:rsidR="00C908FF" w:rsidRPr="00A64250" w:rsidRDefault="00C908FF" w:rsidP="00C908FF">
      <w:pPr>
        <w:rPr>
          <w:sz w:val="20"/>
          <w:szCs w:val="20"/>
        </w:rPr>
      </w:pPr>
      <w:r w:rsidRPr="00A64250">
        <w:rPr>
          <w:sz w:val="20"/>
          <w:szCs w:val="20"/>
        </w:rPr>
        <w:t>3.6. Visi įrašai (įskaitant priedus) pildomi gyvu laiku, ranka, įrašą patvirtinant atlikusio asmens parašu ar inicialais ir data.</w:t>
      </w:r>
    </w:p>
    <w:p w14:paraId="758B5FB1" w14:textId="77777777" w:rsidR="00C908FF" w:rsidRPr="00A64250" w:rsidRDefault="00C908FF" w:rsidP="00C908FF">
      <w:pPr>
        <w:rPr>
          <w:sz w:val="20"/>
          <w:szCs w:val="20"/>
        </w:rPr>
      </w:pPr>
      <w:r w:rsidRPr="00A64250">
        <w:rPr>
          <w:sz w:val="20"/>
          <w:szCs w:val="20"/>
        </w:rPr>
        <w:t>4. Nuokrypių valdymas</w:t>
      </w:r>
    </w:p>
    <w:p w14:paraId="7EE2FCC3" w14:textId="58787054" w:rsidR="00C908FF" w:rsidRPr="00A64250" w:rsidRDefault="00C908FF" w:rsidP="00C908FF">
      <w:pPr>
        <w:rPr>
          <w:sz w:val="20"/>
          <w:szCs w:val="20"/>
        </w:rPr>
      </w:pPr>
      <w:r w:rsidRPr="00A64250">
        <w:rPr>
          <w:sz w:val="20"/>
          <w:szCs w:val="20"/>
        </w:rPr>
        <w:t>4.1. Kvalifikavimo metu nustatyti nuokrypiai turi būti registruojami ir įvertinami pagal reikšmingumą (kritiniai / nekritiniai).</w:t>
      </w:r>
    </w:p>
    <w:p w14:paraId="6507C198" w14:textId="77777777" w:rsidR="00C908FF" w:rsidRPr="00A64250" w:rsidRDefault="00C908FF" w:rsidP="00C908FF">
      <w:pPr>
        <w:rPr>
          <w:sz w:val="20"/>
          <w:szCs w:val="20"/>
        </w:rPr>
      </w:pPr>
      <w:r w:rsidRPr="00A64250">
        <w:rPr>
          <w:sz w:val="20"/>
          <w:szCs w:val="20"/>
        </w:rPr>
        <w:t>4.2. Kritiniai nuokrypiai – privalo būti uždaryti iki kito kvalifikavimo etapo pradžios.</w:t>
      </w:r>
    </w:p>
    <w:p w14:paraId="759ACEB0" w14:textId="77777777" w:rsidR="00C908FF" w:rsidRPr="00A64250" w:rsidRDefault="00C908FF" w:rsidP="00C908FF">
      <w:pPr>
        <w:rPr>
          <w:sz w:val="20"/>
          <w:szCs w:val="20"/>
        </w:rPr>
      </w:pPr>
      <w:r w:rsidRPr="00A64250">
        <w:rPr>
          <w:sz w:val="20"/>
          <w:szCs w:val="20"/>
        </w:rPr>
        <w:t>4.3. Nekritiniai nuokrypiai – turi būti uždaryti iki visų etapų pabaigos.</w:t>
      </w:r>
    </w:p>
    <w:p w14:paraId="4EF83A69" w14:textId="77777777" w:rsidR="00C908FF" w:rsidRPr="00A64250" w:rsidRDefault="00C908FF" w:rsidP="00C908FF">
      <w:pPr>
        <w:rPr>
          <w:sz w:val="20"/>
          <w:szCs w:val="20"/>
        </w:rPr>
      </w:pPr>
      <w:r w:rsidRPr="00A64250">
        <w:rPr>
          <w:sz w:val="20"/>
          <w:szCs w:val="20"/>
        </w:rPr>
        <w:t>4.4. Kiekvienas nuokrypis turi būti išanalizuotas, išspręstas ir uždarytas iki galutinio protokolo patvirtinimo.</w:t>
      </w:r>
    </w:p>
    <w:p w14:paraId="23E5AD61" w14:textId="5A689588" w:rsidR="00C908FF" w:rsidRPr="00A64250" w:rsidRDefault="00C908FF" w:rsidP="00C908FF">
      <w:pPr>
        <w:rPr>
          <w:sz w:val="20"/>
          <w:szCs w:val="20"/>
        </w:rPr>
      </w:pPr>
      <w:r w:rsidRPr="00A64250">
        <w:rPr>
          <w:sz w:val="20"/>
          <w:szCs w:val="20"/>
        </w:rPr>
        <w:t>4.5. Visi nuokrypiai tiekėjo dokumentuojami protokole arba jo priede, nurodant priežastį, įvertinimą, siūlomus korekcinius veiksmus (CAPA), uždarymo datą, atsakingą asmenį.</w:t>
      </w:r>
    </w:p>
    <w:p w14:paraId="3D3936E8" w14:textId="77777777" w:rsidR="00C908FF" w:rsidRPr="00A64250" w:rsidRDefault="00C908FF" w:rsidP="00C908FF">
      <w:pPr>
        <w:rPr>
          <w:sz w:val="20"/>
          <w:szCs w:val="20"/>
        </w:rPr>
      </w:pPr>
      <w:r w:rsidRPr="00A64250">
        <w:rPr>
          <w:sz w:val="20"/>
          <w:szCs w:val="20"/>
        </w:rPr>
        <w:t>4.6. Kvalifikacijos protokolas negali būti laikomas užbaigtu ar patvirtintu, jei yra neuždarytų nuokrypių.</w:t>
      </w:r>
    </w:p>
    <w:p w14:paraId="56FC45DC" w14:textId="77777777" w:rsidR="00C908FF" w:rsidRPr="00A64250" w:rsidRDefault="00C908FF" w:rsidP="00C908FF">
      <w:pPr>
        <w:rPr>
          <w:sz w:val="20"/>
          <w:szCs w:val="20"/>
        </w:rPr>
      </w:pPr>
      <w:r w:rsidRPr="00A64250">
        <w:rPr>
          <w:sz w:val="20"/>
          <w:szCs w:val="20"/>
        </w:rPr>
        <w:t>5. Priedai</w:t>
      </w:r>
    </w:p>
    <w:p w14:paraId="2710F21F" w14:textId="77777777" w:rsidR="00C908FF" w:rsidRPr="00A64250" w:rsidRDefault="00C908FF" w:rsidP="00C908FF">
      <w:pPr>
        <w:rPr>
          <w:sz w:val="20"/>
          <w:szCs w:val="20"/>
        </w:rPr>
      </w:pPr>
      <w:r w:rsidRPr="00A64250">
        <w:rPr>
          <w:sz w:val="20"/>
          <w:szCs w:val="20"/>
        </w:rPr>
        <w:t>5.1. Prie kvalifikacijos protokolo turi būti prisegti visi priedai, pagrindžiantys atliktus bandymus ir rezultatus.</w:t>
      </w:r>
    </w:p>
    <w:p w14:paraId="50256A00" w14:textId="77777777" w:rsidR="00C908FF" w:rsidRPr="00A64250" w:rsidRDefault="00C908FF" w:rsidP="00C908FF">
      <w:pPr>
        <w:rPr>
          <w:sz w:val="20"/>
          <w:szCs w:val="20"/>
        </w:rPr>
      </w:pPr>
      <w:r w:rsidRPr="00A64250">
        <w:rPr>
          <w:sz w:val="20"/>
          <w:szCs w:val="20"/>
        </w:rPr>
        <w:t>5.2. Visi priedai turi būti: aiškiai sunumeruoti, turėti nuorodą į atitinkamą protokolo skyrių ar testą, pasirašyti atsakingo asmens (vardas, pavardė, parašas, data), įskaitomi, patvirtinti ir patikrinti.</w:t>
      </w:r>
    </w:p>
    <w:p w14:paraId="46605A91" w14:textId="77777777" w:rsidR="00C908FF" w:rsidRPr="00A64250" w:rsidRDefault="00C908FF" w:rsidP="00C908FF">
      <w:pPr>
        <w:rPr>
          <w:sz w:val="20"/>
          <w:szCs w:val="20"/>
        </w:rPr>
      </w:pPr>
      <w:r w:rsidRPr="00A64250">
        <w:rPr>
          <w:sz w:val="20"/>
          <w:szCs w:val="20"/>
        </w:rPr>
        <w:t>5.3. Aktualūs duomenys (pvz., neatitiktys, ribinės vertės, patvirtinimai) turi būti aiškiai pažymėti (paryškinimu ar kitu būdu).</w:t>
      </w:r>
    </w:p>
    <w:p w14:paraId="797F3AF9" w14:textId="77777777" w:rsidR="00C908FF" w:rsidRPr="00A64250" w:rsidRDefault="00C908FF" w:rsidP="00C908FF">
      <w:pPr>
        <w:rPr>
          <w:sz w:val="20"/>
          <w:szCs w:val="20"/>
        </w:rPr>
      </w:pPr>
      <w:r w:rsidRPr="00A64250">
        <w:rPr>
          <w:sz w:val="20"/>
          <w:szCs w:val="20"/>
        </w:rPr>
        <w:t>6. Matavimo įranga ir produkto ekvivalentas</w:t>
      </w:r>
    </w:p>
    <w:p w14:paraId="21065B8B" w14:textId="58DE243D" w:rsidR="00C908FF" w:rsidRPr="00A64250" w:rsidRDefault="00C908FF" w:rsidP="00C908FF">
      <w:pPr>
        <w:rPr>
          <w:sz w:val="20"/>
          <w:szCs w:val="20"/>
        </w:rPr>
      </w:pPr>
      <w:r w:rsidRPr="00A64250">
        <w:rPr>
          <w:sz w:val="20"/>
          <w:szCs w:val="20"/>
        </w:rPr>
        <w:lastRenderedPageBreak/>
        <w:t xml:space="preserve">6.1 Kvalifikavimo metu temperatūros matavimui turi būti naudojama kalibruota įranga ir metrologiškai patikrinti jutikliai (termoporos), turintys galiojančius akredituotos organizacijos sertifikatus. Kalibravimo ir metrologinės patikros dokumentai turi būti išduoti ne seniau kaip prieš 90 dienų iki matavimų pradžios. Jutikliai kalibruojami trijuose užsakovo nustatytuose taškuose LST EN ISO/IEC 17025 akredituotoje laboratorijoje. Jeigu dėl įrangos specifikos kalibravimas atliekamas organizacijos viduje, tiekėjas turi pateikti aprašytą procedūrą su kalibravimo metodika, priimtinumo kriterijais ir </w:t>
      </w:r>
      <w:r w:rsidR="00445EAB" w:rsidRPr="00A64250">
        <w:rPr>
          <w:sz w:val="20"/>
          <w:szCs w:val="20"/>
        </w:rPr>
        <w:t xml:space="preserve">susidarančios </w:t>
      </w:r>
      <w:r w:rsidRPr="00A64250">
        <w:rPr>
          <w:sz w:val="20"/>
          <w:szCs w:val="20"/>
        </w:rPr>
        <w:t xml:space="preserve">paklaidos įvertinimu. </w:t>
      </w:r>
    </w:p>
    <w:p w14:paraId="44FEF5D6" w14:textId="5932365E" w:rsidR="00C908FF" w:rsidRPr="00A64250" w:rsidRDefault="00445EAB" w:rsidP="00C908FF">
      <w:pPr>
        <w:rPr>
          <w:sz w:val="20"/>
          <w:szCs w:val="20"/>
        </w:rPr>
      </w:pPr>
      <w:r w:rsidRPr="00A64250">
        <w:rPr>
          <w:sz w:val="20"/>
          <w:szCs w:val="20"/>
        </w:rPr>
        <w:t>7</w:t>
      </w:r>
      <w:r w:rsidR="00C908FF" w:rsidRPr="00A64250">
        <w:rPr>
          <w:sz w:val="20"/>
          <w:szCs w:val="20"/>
        </w:rPr>
        <w:t>. Konfidencialumas ir duomenų apsauga</w:t>
      </w:r>
    </w:p>
    <w:p w14:paraId="0429FAAC" w14:textId="3295360A" w:rsidR="00C908FF" w:rsidRPr="00A64250" w:rsidRDefault="00445EAB" w:rsidP="00C908FF">
      <w:pPr>
        <w:rPr>
          <w:sz w:val="20"/>
          <w:szCs w:val="20"/>
        </w:rPr>
      </w:pPr>
      <w:r w:rsidRPr="00A64250">
        <w:rPr>
          <w:sz w:val="20"/>
          <w:szCs w:val="20"/>
        </w:rPr>
        <w:t>7</w:t>
      </w:r>
      <w:r w:rsidR="00C908FF" w:rsidRPr="00A64250">
        <w:rPr>
          <w:sz w:val="20"/>
          <w:szCs w:val="20"/>
        </w:rPr>
        <w:t>.1. Visa informacija, susijusi su kvalifikavimo procesu, yra konfidenciali ir negali būti naudojama kitiems tikslams.</w:t>
      </w:r>
    </w:p>
    <w:p w14:paraId="5982497C" w14:textId="3B03A975" w:rsidR="00C908FF" w:rsidRPr="00A64250" w:rsidRDefault="00445EAB" w:rsidP="00C908FF">
      <w:pPr>
        <w:rPr>
          <w:sz w:val="20"/>
          <w:szCs w:val="20"/>
        </w:rPr>
      </w:pPr>
      <w:r w:rsidRPr="00A64250">
        <w:rPr>
          <w:sz w:val="20"/>
          <w:szCs w:val="20"/>
        </w:rPr>
        <w:t>7</w:t>
      </w:r>
      <w:r w:rsidR="00C908FF" w:rsidRPr="00A64250">
        <w:rPr>
          <w:sz w:val="20"/>
          <w:szCs w:val="20"/>
        </w:rPr>
        <w:t>.2. Visa Kvalifikavimo metu gauta ir perduodama informacija yra konfidenciali ir tiekėjas įsipareigoja laikytis duomenų apsaugos reikalavimų pagal ISO 27001 ir ES BDAR (GDPR) reglamentą.</w:t>
      </w:r>
    </w:p>
    <w:p w14:paraId="764A124E" w14:textId="168E2114" w:rsidR="00C908FF" w:rsidRPr="00A64250" w:rsidRDefault="00445EAB" w:rsidP="00C908FF">
      <w:pPr>
        <w:rPr>
          <w:sz w:val="20"/>
          <w:szCs w:val="20"/>
        </w:rPr>
      </w:pPr>
      <w:r w:rsidRPr="00A64250">
        <w:rPr>
          <w:sz w:val="20"/>
          <w:szCs w:val="20"/>
        </w:rPr>
        <w:t>7</w:t>
      </w:r>
      <w:r w:rsidR="00C908FF" w:rsidRPr="00A64250">
        <w:rPr>
          <w:sz w:val="20"/>
          <w:szCs w:val="20"/>
        </w:rPr>
        <w:t>.3. Konfidencialumo įsipareigojimai turi būti aiškiai apibrėžti sutartyje.</w:t>
      </w:r>
    </w:p>
    <w:p w14:paraId="12AD28A2" w14:textId="07046049" w:rsidR="00C908FF" w:rsidRPr="00A64250" w:rsidRDefault="00445EAB" w:rsidP="00C908FF">
      <w:pPr>
        <w:rPr>
          <w:sz w:val="20"/>
          <w:szCs w:val="20"/>
        </w:rPr>
      </w:pPr>
      <w:r w:rsidRPr="00A64250">
        <w:rPr>
          <w:sz w:val="20"/>
          <w:szCs w:val="20"/>
        </w:rPr>
        <w:t>8</w:t>
      </w:r>
      <w:r w:rsidR="00C908FF" w:rsidRPr="00A64250">
        <w:rPr>
          <w:sz w:val="20"/>
          <w:szCs w:val="20"/>
        </w:rPr>
        <w:t>. Draudimas</w:t>
      </w:r>
    </w:p>
    <w:p w14:paraId="17FC90B7" w14:textId="08899A5D" w:rsidR="00C908FF" w:rsidRPr="00A64250" w:rsidRDefault="00445EAB" w:rsidP="00C908FF">
      <w:pPr>
        <w:rPr>
          <w:sz w:val="20"/>
          <w:szCs w:val="20"/>
        </w:rPr>
      </w:pPr>
      <w:r w:rsidRPr="00A64250">
        <w:rPr>
          <w:sz w:val="20"/>
          <w:szCs w:val="20"/>
        </w:rPr>
        <w:t>8</w:t>
      </w:r>
      <w:r w:rsidR="00C908FF" w:rsidRPr="00A64250">
        <w:rPr>
          <w:sz w:val="20"/>
          <w:szCs w:val="20"/>
        </w:rPr>
        <w:t>.1. Tiekėjas privalo pateikti galiojantį verslo civilinės atsakomybės draudimo liudijimą. Šis draudimas turi užtikrinti, kad bet kokia žala, padaryta kvalifikavimo darbų atlikimo metu tretiesiems asmenims, užsakovui ar jo turtui, bus atlyginta.</w:t>
      </w:r>
    </w:p>
    <w:p w14:paraId="4F48895B" w14:textId="19757438" w:rsidR="00C908FF" w:rsidRPr="00A64250" w:rsidRDefault="4CCE5A94" w:rsidP="00C908FF">
      <w:pPr>
        <w:rPr>
          <w:sz w:val="20"/>
          <w:szCs w:val="20"/>
        </w:rPr>
      </w:pPr>
      <w:r w:rsidRPr="00A64250">
        <w:rPr>
          <w:sz w:val="20"/>
          <w:szCs w:val="20"/>
        </w:rPr>
        <w:t>9</w:t>
      </w:r>
      <w:r w:rsidR="3B9EA0E3" w:rsidRPr="00A64250">
        <w:rPr>
          <w:sz w:val="20"/>
          <w:szCs w:val="20"/>
        </w:rPr>
        <w:t>. Atsakomybė ir įsipareigojimai</w:t>
      </w:r>
    </w:p>
    <w:p w14:paraId="2CCA4FD6" w14:textId="2DD8547D" w:rsidR="00C908FF" w:rsidRPr="00A64250" w:rsidRDefault="00445EAB" w:rsidP="00C908FF">
      <w:pPr>
        <w:rPr>
          <w:sz w:val="20"/>
          <w:szCs w:val="20"/>
        </w:rPr>
      </w:pPr>
      <w:r w:rsidRPr="00A64250">
        <w:rPr>
          <w:sz w:val="20"/>
          <w:szCs w:val="20"/>
        </w:rPr>
        <w:t>9</w:t>
      </w:r>
      <w:r w:rsidR="00C908FF" w:rsidRPr="00A64250">
        <w:rPr>
          <w:sz w:val="20"/>
          <w:szCs w:val="20"/>
        </w:rPr>
        <w:t xml:space="preserve">.1. Vadovaujantis išankstiniu susitarimu, perkančioji organizacija perduoda kvalifikavimui reikalingus duomenis tiekėjui, atsakingam už kvalifikavimo atlikimą, tačiau kvalifikavimas vykdomas šio tiekėjo savarankiškai. </w:t>
      </w:r>
    </w:p>
    <w:p w14:paraId="68658E2B" w14:textId="1AA507AD" w:rsidR="00C908FF" w:rsidRPr="00A64250" w:rsidRDefault="00445EAB" w:rsidP="00C908FF">
      <w:pPr>
        <w:rPr>
          <w:sz w:val="20"/>
          <w:szCs w:val="20"/>
        </w:rPr>
      </w:pPr>
      <w:r w:rsidRPr="00A64250">
        <w:rPr>
          <w:sz w:val="20"/>
          <w:szCs w:val="20"/>
        </w:rPr>
        <w:t>9</w:t>
      </w:r>
      <w:r w:rsidR="00C908FF" w:rsidRPr="00A64250">
        <w:rPr>
          <w:sz w:val="20"/>
          <w:szCs w:val="20"/>
        </w:rPr>
        <w:t>.2. Nustačius, kad kvalifikavimas buvo atliktas nesilaikant techninės specifikacijos (ir pokytis  nebuvo suderintas su užsakovu), tiekėjas privalo savo sąskaita atlikti pakartotinius testavimus ir atlyginti perkančiajai organizacijai žalą, patirtą dėl kvalifikavimo termino pratęsimo. Jei pakartotiniai testavimai neįvykdomi arba nepavyksta, tiekėjo kvalifikavimas laikomas neįvykdytu.</w:t>
      </w:r>
    </w:p>
    <w:p w14:paraId="1B0C0820" w14:textId="6EA5C0BB" w:rsidR="00C908FF" w:rsidRPr="00A64250" w:rsidRDefault="00445EAB" w:rsidP="00C908FF">
      <w:pPr>
        <w:rPr>
          <w:sz w:val="20"/>
          <w:szCs w:val="20"/>
        </w:rPr>
      </w:pPr>
      <w:r w:rsidRPr="00A64250">
        <w:rPr>
          <w:sz w:val="20"/>
          <w:szCs w:val="20"/>
        </w:rPr>
        <w:t>9</w:t>
      </w:r>
      <w:r w:rsidR="00C908FF" w:rsidRPr="00A64250">
        <w:rPr>
          <w:sz w:val="20"/>
          <w:szCs w:val="20"/>
        </w:rPr>
        <w:t>.3. Tiekėjas privalo savarankiškai interpretuoti testavimo rezultatus ir pateikti išsamias, informatyvias išvadas, atitinkančias kvalifikavimo proceso ir dokumentacijos principus. Jeigu pateiktos išvados ir/ar dokumentai neatitinka GGP reikalavimų ar vidinių organizacijos kokybės procedūrų, kvalifikavimas laikomas nepriimtinu.</w:t>
      </w:r>
    </w:p>
    <w:p w14:paraId="7556C82C" w14:textId="2A57BD1A" w:rsidR="00CF4B52" w:rsidRPr="00A64250" w:rsidRDefault="00445EAB" w:rsidP="006A36C9">
      <w:pPr>
        <w:rPr>
          <w:sz w:val="20"/>
          <w:szCs w:val="20"/>
        </w:rPr>
      </w:pPr>
      <w:r w:rsidRPr="00A64250">
        <w:rPr>
          <w:sz w:val="20"/>
          <w:szCs w:val="20"/>
        </w:rPr>
        <w:t>9</w:t>
      </w:r>
      <w:r w:rsidR="00C908FF" w:rsidRPr="00A64250">
        <w:rPr>
          <w:sz w:val="20"/>
          <w:szCs w:val="20"/>
        </w:rPr>
        <w:t>.4. Tiekėjui nesutikus koreguoti kvalifikavimo protokolo pagal pateiktas pastabas, kai pastabos yra pagrįstos vidinėmis perkančiosios organizacijos procedūromis ar cGMP (angl. – „current Good Manufacturing Practice“ galiojantys gerosios gavybos praktikos reikalavimais  -) reikalavimais, protokolas gali būti nepriimtas ir kvalifikavimas laikomas neįvykdytu.</w:t>
      </w:r>
    </w:p>
    <w:p w14:paraId="5D970D24" w14:textId="57B59BD2" w:rsidR="000D1455" w:rsidRPr="00A64250" w:rsidRDefault="000D1455" w:rsidP="000D1455">
      <w:pPr>
        <w:rPr>
          <w:sz w:val="20"/>
          <w:szCs w:val="20"/>
        </w:rPr>
      </w:pPr>
      <w:r w:rsidRPr="00A64250">
        <w:rPr>
          <w:sz w:val="20"/>
          <w:szCs w:val="20"/>
        </w:rPr>
        <w:t xml:space="preserve">10. Dalyvavimas audituose </w:t>
      </w:r>
    </w:p>
    <w:p w14:paraId="06E00555" w14:textId="7EC302E9" w:rsidR="000D1455" w:rsidRPr="00A64250" w:rsidRDefault="000D1455" w:rsidP="000D1455">
      <w:pPr>
        <w:rPr>
          <w:sz w:val="20"/>
          <w:szCs w:val="20"/>
        </w:rPr>
      </w:pPr>
      <w:r w:rsidRPr="00A64250">
        <w:rPr>
          <w:sz w:val="20"/>
          <w:szCs w:val="20"/>
        </w:rPr>
        <w:t>10.1 Tiekėjas privalo dalyvauti paslaugos gavėjo numatytame audite, susijusiame su atliktu šaldymo patalpos kvalifikavimu, ir atstovauti savo atliktus kvalifikavimo darbus visais su jais susijusiais techniniais, metodologiniais ir normatyviniais klausimais.</w:t>
      </w:r>
    </w:p>
    <w:p w14:paraId="5B394CE4" w14:textId="5D95E944" w:rsidR="000D1455" w:rsidRPr="00A64250" w:rsidRDefault="000D1455" w:rsidP="000D1455">
      <w:pPr>
        <w:rPr>
          <w:sz w:val="20"/>
          <w:szCs w:val="20"/>
        </w:rPr>
      </w:pPr>
      <w:r w:rsidRPr="00A64250">
        <w:rPr>
          <w:sz w:val="20"/>
          <w:szCs w:val="20"/>
        </w:rPr>
        <w:t>10.2 Audite privalo dalyvauti ne mažiau kaip vienas tiekėjo atstovas, kuris:</w:t>
      </w:r>
    </w:p>
    <w:p w14:paraId="4047BDD1" w14:textId="509264AF" w:rsidR="000D1455" w:rsidRPr="00A64250" w:rsidRDefault="000D1455" w:rsidP="000D1455">
      <w:pPr>
        <w:rPr>
          <w:sz w:val="20"/>
          <w:szCs w:val="20"/>
        </w:rPr>
      </w:pPr>
      <w:r w:rsidRPr="00A64250">
        <w:rPr>
          <w:sz w:val="20"/>
          <w:szCs w:val="20"/>
        </w:rPr>
        <w:t>- atliko įrangos kvalifikavimą;</w:t>
      </w:r>
    </w:p>
    <w:p w14:paraId="1B49BF7D" w14:textId="4123D139" w:rsidR="000D1455" w:rsidRPr="00A64250" w:rsidRDefault="000D1455" w:rsidP="000D1455">
      <w:pPr>
        <w:rPr>
          <w:sz w:val="20"/>
          <w:szCs w:val="20"/>
        </w:rPr>
      </w:pPr>
      <w:r w:rsidRPr="00A64250">
        <w:rPr>
          <w:sz w:val="20"/>
          <w:szCs w:val="20"/>
        </w:rPr>
        <w:t>- turi ne mažesnę kaip 2 metų patirtį kvalifikavimo srityje;</w:t>
      </w:r>
    </w:p>
    <w:p w14:paraId="7743D99A" w14:textId="77777777" w:rsidR="000D1455" w:rsidRPr="00A64250" w:rsidRDefault="000D1455" w:rsidP="000D1455">
      <w:pPr>
        <w:rPr>
          <w:sz w:val="20"/>
          <w:szCs w:val="20"/>
        </w:rPr>
      </w:pPr>
      <w:r w:rsidRPr="00A64250">
        <w:rPr>
          <w:sz w:val="20"/>
          <w:szCs w:val="20"/>
        </w:rPr>
        <w:t>- turi darbo patirties darbe su taikomais standartais ir gairėmis (pvz., GDP, GMP, WHO, PIC/S, ISO 17025, GAMP 5 – pagal kvalifikavimo apimtį).</w:t>
      </w:r>
    </w:p>
    <w:p w14:paraId="00FFD5D2" w14:textId="59F1480E" w:rsidR="000D1455" w:rsidRPr="00A64250" w:rsidRDefault="000D1455" w:rsidP="000D1455">
      <w:pPr>
        <w:rPr>
          <w:sz w:val="20"/>
          <w:szCs w:val="20"/>
        </w:rPr>
      </w:pPr>
      <w:r w:rsidRPr="00A64250">
        <w:rPr>
          <w:sz w:val="20"/>
          <w:szCs w:val="20"/>
        </w:rPr>
        <w:t>10.3 Tiekėjas audito metu privalo pateikti ir paaiškinti kvalifikavimo dokumentaciją, tokią kaip kvalifikavimo protokolas ir matavimui naudotos įrangos kalibravimo dokumentai ir kvalifikavimo nuokrypiai.</w:t>
      </w:r>
    </w:p>
    <w:p w14:paraId="212C591C" w14:textId="309BC4F6" w:rsidR="000D1455" w:rsidRPr="00A64250" w:rsidRDefault="000D1455" w:rsidP="000D1455">
      <w:pPr>
        <w:rPr>
          <w:sz w:val="20"/>
          <w:szCs w:val="20"/>
        </w:rPr>
      </w:pPr>
      <w:r w:rsidRPr="00A64250">
        <w:rPr>
          <w:sz w:val="20"/>
          <w:szCs w:val="20"/>
        </w:rPr>
        <w:t>10.4 Tiekėjas audito metu privalo pagrįsti pasirinktą kvalifikavimo metodiką, bandymų apimtį ir priėmimo kriterijus;</w:t>
      </w:r>
    </w:p>
    <w:p w14:paraId="1C49D1CB" w14:textId="424FAE19" w:rsidR="000D1455" w:rsidRPr="00A64250" w:rsidRDefault="000D1455" w:rsidP="000D1455">
      <w:pPr>
        <w:rPr>
          <w:sz w:val="20"/>
          <w:szCs w:val="20"/>
        </w:rPr>
      </w:pPr>
      <w:r w:rsidRPr="00A64250">
        <w:rPr>
          <w:sz w:val="20"/>
          <w:szCs w:val="20"/>
        </w:rPr>
        <w:t>10.5 Tiekėjas audito metu privalo paaiškinti matavimų rezultatų vertinimą ir padarytas išvadas.</w:t>
      </w:r>
    </w:p>
    <w:p w14:paraId="57021A75" w14:textId="6A516D81" w:rsidR="000D1455" w:rsidRPr="00A64250" w:rsidRDefault="000D1455" w:rsidP="000D1455">
      <w:pPr>
        <w:rPr>
          <w:sz w:val="20"/>
          <w:szCs w:val="20"/>
        </w:rPr>
      </w:pPr>
      <w:r w:rsidRPr="00A64250">
        <w:rPr>
          <w:sz w:val="20"/>
          <w:szCs w:val="20"/>
        </w:rPr>
        <w:t xml:space="preserve">10.6 Audito pastabų ir klausimų nagrinėjimo metu tiekėjas privalo atsakyti į audito metu pateiktus klausimus ir pastabas, pateikti rašytinius paaiškinimus auditorių prašymu, per sutartyje nustatytą terminą pateikti korekcinius veiksmus (CAPA) ar papildomą informaciją, jei audito metu nustatomi trūkumai, susiję su tiekėjo atlikta kvalifikacija. </w:t>
      </w:r>
    </w:p>
    <w:p w14:paraId="06BDDFD0" w14:textId="09163ACF" w:rsidR="000D1455" w:rsidRPr="00A64250" w:rsidRDefault="000D1455" w:rsidP="000D1455">
      <w:pPr>
        <w:rPr>
          <w:sz w:val="20"/>
          <w:szCs w:val="20"/>
        </w:rPr>
      </w:pPr>
      <w:r w:rsidRPr="00A64250">
        <w:rPr>
          <w:sz w:val="20"/>
          <w:szCs w:val="20"/>
        </w:rPr>
        <w:t>10.7 Tiekėjas prisiima atsakomybę už atlikto kvalifikavimo atitiktį galiojantiems teisės aktams, standartams ir pirkimo specifikacijos reikalavimams bei privalo ginti kvalifikavimo rezultatus audito metu.</w:t>
      </w:r>
    </w:p>
    <w:p w14:paraId="3D3FD1DB" w14:textId="595BAEA2" w:rsidR="000D1455" w:rsidRPr="00A64250" w:rsidRDefault="000D1455" w:rsidP="000D1455">
      <w:pPr>
        <w:rPr>
          <w:sz w:val="20"/>
          <w:szCs w:val="20"/>
        </w:rPr>
      </w:pPr>
      <w:r w:rsidRPr="00A64250">
        <w:rPr>
          <w:sz w:val="20"/>
          <w:szCs w:val="20"/>
        </w:rPr>
        <w:t>10.8 Tiekėjo dalyvavimas audite, įskaitant pasirengimą, atstovavimą ir atsakymų pateikimą, turi būti įtrauktas į paslaugos kainą, nebent pirkimo sąlygose numatyta kitaip.</w:t>
      </w:r>
    </w:p>
    <w:p w14:paraId="4243CDF4" w14:textId="77777777" w:rsidR="000D1455" w:rsidRPr="00A64250" w:rsidRDefault="000D1455" w:rsidP="000D1455">
      <w:pPr>
        <w:rPr>
          <w:sz w:val="20"/>
          <w:szCs w:val="20"/>
        </w:rPr>
      </w:pPr>
    </w:p>
    <w:p w14:paraId="5A4418C7" w14:textId="77777777" w:rsidR="000D1455" w:rsidRPr="00A64250" w:rsidRDefault="000D1455" w:rsidP="000D1455">
      <w:pPr>
        <w:rPr>
          <w:sz w:val="20"/>
          <w:szCs w:val="20"/>
        </w:rPr>
      </w:pPr>
    </w:p>
    <w:p w14:paraId="5D4352C5" w14:textId="77777777" w:rsidR="000D1455" w:rsidRPr="00A64250" w:rsidRDefault="000D1455" w:rsidP="000D1455">
      <w:pPr>
        <w:rPr>
          <w:sz w:val="20"/>
          <w:szCs w:val="20"/>
        </w:rPr>
      </w:pPr>
    </w:p>
    <w:p w14:paraId="19689E8C" w14:textId="77777777" w:rsidR="000D1455" w:rsidRPr="00A64250" w:rsidRDefault="000D1455" w:rsidP="006A36C9">
      <w:pPr>
        <w:rPr>
          <w:sz w:val="18"/>
          <w:szCs w:val="18"/>
        </w:rPr>
      </w:pPr>
    </w:p>
    <w:p w14:paraId="6E4D174D" w14:textId="77777777" w:rsidR="00C57AA8" w:rsidRPr="00A64250" w:rsidRDefault="00C57AA8" w:rsidP="009E7D1F">
      <w:pPr>
        <w:pStyle w:val="ListParagraph"/>
        <w:rPr>
          <w:sz w:val="18"/>
          <w:szCs w:val="18"/>
        </w:rPr>
      </w:pPr>
    </w:p>
    <w:p w14:paraId="7490A077" w14:textId="4F656A8A" w:rsidR="00454348" w:rsidRPr="00A64250" w:rsidRDefault="00C908FF" w:rsidP="009E7D1F">
      <w:pPr>
        <w:pStyle w:val="ListParagraph"/>
        <w:rPr>
          <w:sz w:val="18"/>
          <w:szCs w:val="18"/>
        </w:rPr>
      </w:pPr>
      <w:r w:rsidRPr="00A64250">
        <w:rPr>
          <w:sz w:val="18"/>
          <w:szCs w:val="18"/>
        </w:rPr>
        <w:t>Lentelė</w:t>
      </w:r>
      <w:r w:rsidR="00EB5D0C" w:rsidRPr="00A64250">
        <w:rPr>
          <w:sz w:val="18"/>
          <w:szCs w:val="18"/>
        </w:rPr>
        <w:t xml:space="preserve"> </w:t>
      </w:r>
      <w:r w:rsidR="006A36C9" w:rsidRPr="00A64250">
        <w:rPr>
          <w:sz w:val="18"/>
          <w:szCs w:val="18"/>
        </w:rPr>
        <w:t>N</w:t>
      </w:r>
      <w:r w:rsidR="00EB5D0C" w:rsidRPr="00A64250">
        <w:rPr>
          <w:sz w:val="18"/>
          <w:szCs w:val="18"/>
        </w:rPr>
        <w:t xml:space="preserve">r. 1 </w:t>
      </w:r>
      <w:r w:rsidR="00E107FE" w:rsidRPr="00A64250">
        <w:rPr>
          <w:sz w:val="18"/>
          <w:szCs w:val="18"/>
        </w:rPr>
        <w:t>Perkamos p</w:t>
      </w:r>
      <w:r w:rsidR="00EB5D0C" w:rsidRPr="00A64250">
        <w:rPr>
          <w:sz w:val="18"/>
          <w:szCs w:val="18"/>
        </w:rPr>
        <w:t xml:space="preserve">aslaugos </w:t>
      </w:r>
    </w:p>
    <w:tbl>
      <w:tblPr>
        <w:tblStyle w:val="TableGrid"/>
        <w:tblW w:w="14454" w:type="dxa"/>
        <w:jc w:val="center"/>
        <w:tblLook w:val="04A0" w:firstRow="1" w:lastRow="0" w:firstColumn="1" w:lastColumn="0" w:noHBand="0" w:noVBand="1"/>
      </w:tblPr>
      <w:tblGrid>
        <w:gridCol w:w="711"/>
        <w:gridCol w:w="10057"/>
        <w:gridCol w:w="1369"/>
        <w:gridCol w:w="2317"/>
      </w:tblGrid>
      <w:tr w:rsidR="00CF4B52" w:rsidRPr="00A64250" w14:paraId="2714EAD1" w14:textId="77777777" w:rsidTr="001F6449">
        <w:trPr>
          <w:trHeight w:val="786"/>
          <w:jc w:val="center"/>
        </w:trPr>
        <w:tc>
          <w:tcPr>
            <w:tcW w:w="711" w:type="dxa"/>
            <w:vAlign w:val="center"/>
          </w:tcPr>
          <w:p w14:paraId="69A73AC6" w14:textId="3A3B2540" w:rsidR="00CF4B52" w:rsidRPr="00A64250" w:rsidRDefault="00CF4B52" w:rsidP="00CF4B52">
            <w:pPr>
              <w:pStyle w:val="ListParagraph"/>
              <w:ind w:left="0"/>
              <w:jc w:val="center"/>
              <w:rPr>
                <w:b/>
                <w:bCs/>
                <w:sz w:val="18"/>
                <w:szCs w:val="18"/>
              </w:rPr>
            </w:pPr>
            <w:r w:rsidRPr="00A64250">
              <w:rPr>
                <w:b/>
                <w:bCs/>
                <w:sz w:val="18"/>
                <w:szCs w:val="18"/>
              </w:rPr>
              <w:t>Eilės Nr.</w:t>
            </w:r>
          </w:p>
        </w:tc>
        <w:tc>
          <w:tcPr>
            <w:tcW w:w="10057" w:type="dxa"/>
            <w:vAlign w:val="center"/>
          </w:tcPr>
          <w:p w14:paraId="4F86A9D3" w14:textId="2977A3DF" w:rsidR="00CF4B52" w:rsidRPr="00A64250" w:rsidRDefault="00CF4B52" w:rsidP="00CF4B52">
            <w:pPr>
              <w:pStyle w:val="ListParagraph"/>
              <w:ind w:left="0"/>
              <w:jc w:val="center"/>
              <w:rPr>
                <w:b/>
                <w:bCs/>
                <w:sz w:val="18"/>
                <w:szCs w:val="18"/>
              </w:rPr>
            </w:pPr>
            <w:r w:rsidRPr="00A64250">
              <w:rPr>
                <w:b/>
                <w:bCs/>
                <w:sz w:val="18"/>
                <w:szCs w:val="18"/>
              </w:rPr>
              <w:t>Pavadinimas</w:t>
            </w:r>
          </w:p>
        </w:tc>
        <w:tc>
          <w:tcPr>
            <w:tcW w:w="1369" w:type="dxa"/>
            <w:vAlign w:val="center"/>
          </w:tcPr>
          <w:p w14:paraId="7C2DF311" w14:textId="49A4EF6D" w:rsidR="00CF4B52" w:rsidRPr="00A64250" w:rsidRDefault="00CF4B52" w:rsidP="00CF4B52">
            <w:pPr>
              <w:jc w:val="center"/>
              <w:rPr>
                <w:b/>
                <w:bCs/>
                <w:sz w:val="18"/>
                <w:szCs w:val="18"/>
              </w:rPr>
            </w:pPr>
            <w:r w:rsidRPr="00A64250">
              <w:rPr>
                <w:b/>
                <w:bCs/>
                <w:sz w:val="18"/>
                <w:szCs w:val="18"/>
              </w:rPr>
              <w:t>Mato vnt.</w:t>
            </w:r>
          </w:p>
        </w:tc>
        <w:tc>
          <w:tcPr>
            <w:tcW w:w="2317" w:type="dxa"/>
            <w:vAlign w:val="center"/>
          </w:tcPr>
          <w:p w14:paraId="1551CB93" w14:textId="578214F1" w:rsidR="00CF4B52" w:rsidRPr="00A64250" w:rsidRDefault="00CF4B52" w:rsidP="00CF4B52">
            <w:pPr>
              <w:pStyle w:val="ListParagraph"/>
              <w:ind w:left="0"/>
              <w:jc w:val="center"/>
              <w:rPr>
                <w:b/>
                <w:bCs/>
                <w:sz w:val="18"/>
                <w:szCs w:val="18"/>
              </w:rPr>
            </w:pPr>
            <w:r w:rsidRPr="00A64250">
              <w:rPr>
                <w:b/>
                <w:bCs/>
                <w:sz w:val="18"/>
                <w:szCs w:val="18"/>
              </w:rPr>
              <w:t>Kiekis</w:t>
            </w:r>
          </w:p>
        </w:tc>
      </w:tr>
      <w:tr w:rsidR="00CF4B52" w:rsidRPr="00A64250" w14:paraId="4DCC6A30" w14:textId="77777777" w:rsidTr="001F6449">
        <w:trPr>
          <w:trHeight w:val="165"/>
          <w:jc w:val="center"/>
        </w:trPr>
        <w:tc>
          <w:tcPr>
            <w:tcW w:w="711" w:type="dxa"/>
            <w:shd w:val="clear" w:color="auto" w:fill="E7E6E6" w:themeFill="background2"/>
            <w:vAlign w:val="center"/>
          </w:tcPr>
          <w:p w14:paraId="7EDAC0D8" w14:textId="0A10C851" w:rsidR="00CF4B52" w:rsidRPr="00A64250" w:rsidRDefault="00CF4B52" w:rsidP="00CF4B52">
            <w:pPr>
              <w:pStyle w:val="ListParagraph"/>
              <w:ind w:left="0"/>
              <w:jc w:val="center"/>
              <w:rPr>
                <w:b/>
                <w:bCs/>
                <w:sz w:val="18"/>
                <w:szCs w:val="18"/>
              </w:rPr>
            </w:pPr>
            <w:r w:rsidRPr="00A64250">
              <w:rPr>
                <w:b/>
                <w:bCs/>
                <w:sz w:val="18"/>
                <w:szCs w:val="18"/>
              </w:rPr>
              <w:t>1</w:t>
            </w:r>
          </w:p>
        </w:tc>
        <w:tc>
          <w:tcPr>
            <w:tcW w:w="10057" w:type="dxa"/>
            <w:shd w:val="clear" w:color="auto" w:fill="E7E6E6" w:themeFill="background2"/>
            <w:vAlign w:val="center"/>
          </w:tcPr>
          <w:p w14:paraId="29252D35" w14:textId="5957FA47" w:rsidR="00CF4B52" w:rsidRPr="00A64250" w:rsidRDefault="00CF4B52" w:rsidP="00CF4B52">
            <w:pPr>
              <w:pStyle w:val="ListParagraph"/>
              <w:ind w:left="0"/>
              <w:jc w:val="center"/>
              <w:rPr>
                <w:b/>
                <w:bCs/>
                <w:sz w:val="18"/>
                <w:szCs w:val="18"/>
              </w:rPr>
            </w:pPr>
            <w:r w:rsidRPr="00A64250">
              <w:rPr>
                <w:b/>
                <w:bCs/>
                <w:sz w:val="18"/>
                <w:szCs w:val="18"/>
              </w:rPr>
              <w:t>2</w:t>
            </w:r>
          </w:p>
        </w:tc>
        <w:tc>
          <w:tcPr>
            <w:tcW w:w="1369" w:type="dxa"/>
            <w:shd w:val="clear" w:color="auto" w:fill="E7E6E6" w:themeFill="background2"/>
            <w:vAlign w:val="center"/>
          </w:tcPr>
          <w:p w14:paraId="12442525" w14:textId="2D1F542E" w:rsidR="00CF4B52" w:rsidRPr="00A64250" w:rsidRDefault="00CF4B52" w:rsidP="00CF4B52">
            <w:pPr>
              <w:pStyle w:val="ListParagraph"/>
              <w:ind w:left="0"/>
              <w:jc w:val="center"/>
              <w:rPr>
                <w:b/>
                <w:bCs/>
                <w:sz w:val="18"/>
                <w:szCs w:val="18"/>
              </w:rPr>
            </w:pPr>
            <w:r w:rsidRPr="00A64250">
              <w:rPr>
                <w:b/>
                <w:bCs/>
                <w:sz w:val="18"/>
                <w:szCs w:val="18"/>
              </w:rPr>
              <w:t>3</w:t>
            </w:r>
          </w:p>
        </w:tc>
        <w:tc>
          <w:tcPr>
            <w:tcW w:w="2317" w:type="dxa"/>
            <w:shd w:val="clear" w:color="auto" w:fill="E7E6E6" w:themeFill="background2"/>
            <w:vAlign w:val="center"/>
          </w:tcPr>
          <w:p w14:paraId="3F1D6CF9" w14:textId="40E18A84" w:rsidR="00CF4B52" w:rsidRPr="00A64250" w:rsidRDefault="00CF4B52" w:rsidP="00CF4B52">
            <w:pPr>
              <w:pStyle w:val="ListParagraph"/>
              <w:ind w:left="0"/>
              <w:jc w:val="center"/>
              <w:rPr>
                <w:b/>
                <w:bCs/>
                <w:sz w:val="18"/>
                <w:szCs w:val="18"/>
              </w:rPr>
            </w:pPr>
            <w:r w:rsidRPr="00A64250">
              <w:rPr>
                <w:b/>
                <w:bCs/>
                <w:sz w:val="18"/>
                <w:szCs w:val="18"/>
              </w:rPr>
              <w:t>4</w:t>
            </w:r>
          </w:p>
        </w:tc>
      </w:tr>
      <w:tr w:rsidR="00CF4B52" w:rsidRPr="00A64250" w14:paraId="708EBCBD" w14:textId="77777777" w:rsidTr="001F6449">
        <w:trPr>
          <w:trHeight w:val="70"/>
          <w:jc w:val="center"/>
        </w:trPr>
        <w:tc>
          <w:tcPr>
            <w:tcW w:w="711" w:type="dxa"/>
            <w:vAlign w:val="center"/>
          </w:tcPr>
          <w:p w14:paraId="27E510E5" w14:textId="1A6249B0" w:rsidR="00CF4B52" w:rsidRPr="00A64250" w:rsidRDefault="00E107FE" w:rsidP="00CF4B52">
            <w:pPr>
              <w:pStyle w:val="ListParagraph"/>
              <w:ind w:left="0"/>
              <w:jc w:val="center"/>
              <w:rPr>
                <w:sz w:val="18"/>
                <w:szCs w:val="18"/>
              </w:rPr>
            </w:pPr>
            <w:r w:rsidRPr="00A64250">
              <w:rPr>
                <w:sz w:val="18"/>
                <w:szCs w:val="18"/>
              </w:rPr>
              <w:t>1</w:t>
            </w:r>
          </w:p>
        </w:tc>
        <w:tc>
          <w:tcPr>
            <w:tcW w:w="10057" w:type="dxa"/>
            <w:vAlign w:val="center"/>
          </w:tcPr>
          <w:p w14:paraId="19C5ECDF" w14:textId="75155D10" w:rsidR="00CF4B52" w:rsidRPr="00A64250" w:rsidRDefault="00133D23" w:rsidP="00E107FE">
            <w:pPr>
              <w:rPr>
                <w:sz w:val="18"/>
                <w:szCs w:val="18"/>
              </w:rPr>
            </w:pPr>
            <w:r w:rsidRPr="00A64250">
              <w:rPr>
                <w:sz w:val="18"/>
                <w:szCs w:val="18"/>
              </w:rPr>
              <w:t>Kraujo ląstelių separatoriaus TRIMA ACCEL</w:t>
            </w:r>
            <w:r w:rsidR="00E107FE" w:rsidRPr="00A64250">
              <w:rPr>
                <w:sz w:val="18"/>
                <w:szCs w:val="18"/>
              </w:rPr>
              <w:t xml:space="preserve"> </w:t>
            </w:r>
            <w:r w:rsidRPr="00A64250">
              <w:rPr>
                <w:sz w:val="18"/>
                <w:szCs w:val="18"/>
              </w:rPr>
              <w:t xml:space="preserve">periodinis veikimo ir našumo </w:t>
            </w:r>
            <w:r w:rsidR="00E107FE" w:rsidRPr="00A64250">
              <w:rPr>
                <w:sz w:val="18"/>
                <w:szCs w:val="18"/>
              </w:rPr>
              <w:t>kvalifikavimas (OPQ)</w:t>
            </w:r>
          </w:p>
        </w:tc>
        <w:tc>
          <w:tcPr>
            <w:tcW w:w="1369" w:type="dxa"/>
            <w:vAlign w:val="center"/>
          </w:tcPr>
          <w:p w14:paraId="591CEC05" w14:textId="627045FD" w:rsidR="00CF4B52" w:rsidRPr="00A64250" w:rsidRDefault="00CF4B52" w:rsidP="00CF4B52">
            <w:pPr>
              <w:jc w:val="center"/>
              <w:rPr>
                <w:sz w:val="18"/>
                <w:szCs w:val="18"/>
              </w:rPr>
            </w:pPr>
            <w:r w:rsidRPr="00A64250">
              <w:rPr>
                <w:sz w:val="18"/>
                <w:szCs w:val="18"/>
              </w:rPr>
              <w:t>vnt.</w:t>
            </w:r>
          </w:p>
        </w:tc>
        <w:tc>
          <w:tcPr>
            <w:tcW w:w="2317" w:type="dxa"/>
            <w:vAlign w:val="center"/>
          </w:tcPr>
          <w:p w14:paraId="257429B9" w14:textId="1B61192E" w:rsidR="00CF4B52" w:rsidRPr="00A64250" w:rsidRDefault="00DF7EC0" w:rsidP="00CF4B52">
            <w:pPr>
              <w:jc w:val="center"/>
              <w:rPr>
                <w:sz w:val="18"/>
                <w:szCs w:val="18"/>
              </w:rPr>
            </w:pPr>
            <w:r w:rsidRPr="00A64250">
              <w:rPr>
                <w:sz w:val="18"/>
                <w:szCs w:val="18"/>
              </w:rPr>
              <w:t>8</w:t>
            </w:r>
          </w:p>
        </w:tc>
      </w:tr>
      <w:tr w:rsidR="000D1455" w:rsidRPr="00A64250" w14:paraId="50A52987" w14:textId="77777777" w:rsidTr="001F6449">
        <w:trPr>
          <w:trHeight w:val="70"/>
          <w:jc w:val="center"/>
        </w:trPr>
        <w:tc>
          <w:tcPr>
            <w:tcW w:w="711" w:type="dxa"/>
            <w:vAlign w:val="center"/>
          </w:tcPr>
          <w:p w14:paraId="052C02FB" w14:textId="7ACB420E" w:rsidR="000D1455" w:rsidRPr="00A64250" w:rsidRDefault="000D1455" w:rsidP="00CF4B52">
            <w:pPr>
              <w:pStyle w:val="ListParagraph"/>
              <w:ind w:left="0"/>
              <w:jc w:val="center"/>
              <w:rPr>
                <w:sz w:val="18"/>
                <w:szCs w:val="18"/>
              </w:rPr>
            </w:pPr>
            <w:r w:rsidRPr="00A64250">
              <w:rPr>
                <w:sz w:val="18"/>
                <w:szCs w:val="18"/>
              </w:rPr>
              <w:t>2</w:t>
            </w:r>
          </w:p>
        </w:tc>
        <w:tc>
          <w:tcPr>
            <w:tcW w:w="10057" w:type="dxa"/>
            <w:vAlign w:val="center"/>
          </w:tcPr>
          <w:p w14:paraId="047B10CF" w14:textId="5027B3B5" w:rsidR="000D1455" w:rsidRPr="00A64250" w:rsidRDefault="000D1455" w:rsidP="00E107FE">
            <w:pPr>
              <w:rPr>
                <w:sz w:val="18"/>
                <w:szCs w:val="18"/>
              </w:rPr>
            </w:pPr>
            <w:r w:rsidRPr="00A64250">
              <w:rPr>
                <w:sz w:val="18"/>
                <w:szCs w:val="18"/>
              </w:rPr>
              <w:t xml:space="preserve">Dalyvavimas audituose </w:t>
            </w:r>
          </w:p>
        </w:tc>
        <w:tc>
          <w:tcPr>
            <w:tcW w:w="1369" w:type="dxa"/>
            <w:vAlign w:val="center"/>
          </w:tcPr>
          <w:p w14:paraId="00407C77" w14:textId="12F0FA89" w:rsidR="000D1455" w:rsidRPr="00A64250" w:rsidRDefault="000D1455" w:rsidP="00CF4B52">
            <w:pPr>
              <w:jc w:val="center"/>
              <w:rPr>
                <w:sz w:val="18"/>
                <w:szCs w:val="18"/>
              </w:rPr>
            </w:pPr>
            <w:r w:rsidRPr="00A64250">
              <w:rPr>
                <w:sz w:val="18"/>
                <w:szCs w:val="18"/>
              </w:rPr>
              <w:t>vnt.</w:t>
            </w:r>
          </w:p>
        </w:tc>
        <w:tc>
          <w:tcPr>
            <w:tcW w:w="2317" w:type="dxa"/>
            <w:vAlign w:val="center"/>
          </w:tcPr>
          <w:p w14:paraId="44F39B9A" w14:textId="41C80886" w:rsidR="000D1455" w:rsidRPr="00A64250" w:rsidRDefault="000D1455" w:rsidP="00CF4B52">
            <w:pPr>
              <w:jc w:val="center"/>
              <w:rPr>
                <w:sz w:val="18"/>
                <w:szCs w:val="18"/>
              </w:rPr>
            </w:pPr>
            <w:r w:rsidRPr="00A64250">
              <w:rPr>
                <w:sz w:val="18"/>
                <w:szCs w:val="18"/>
              </w:rPr>
              <w:t>4</w:t>
            </w:r>
          </w:p>
        </w:tc>
      </w:tr>
    </w:tbl>
    <w:p w14:paraId="065EE96B" w14:textId="77777777" w:rsidR="006A36C9" w:rsidRPr="00A64250" w:rsidRDefault="006A36C9" w:rsidP="00B82DC5">
      <w:pPr>
        <w:rPr>
          <w:sz w:val="18"/>
          <w:szCs w:val="18"/>
        </w:rPr>
      </w:pPr>
    </w:p>
    <w:p w14:paraId="0AA2D27A" w14:textId="618C389C" w:rsidR="00C908FF" w:rsidRPr="00A64250" w:rsidRDefault="00C908FF" w:rsidP="00C57AA8">
      <w:pPr>
        <w:pStyle w:val="ListParagraph"/>
        <w:rPr>
          <w:sz w:val="18"/>
          <w:szCs w:val="18"/>
        </w:rPr>
      </w:pPr>
      <w:r w:rsidRPr="00A64250">
        <w:rPr>
          <w:sz w:val="18"/>
          <w:szCs w:val="18"/>
        </w:rPr>
        <w:t xml:space="preserve">Lentelė </w:t>
      </w:r>
      <w:r w:rsidR="00B30B9B" w:rsidRPr="00A64250">
        <w:rPr>
          <w:sz w:val="18"/>
          <w:szCs w:val="18"/>
        </w:rPr>
        <w:t>N</w:t>
      </w:r>
      <w:r w:rsidRPr="00A64250">
        <w:rPr>
          <w:sz w:val="18"/>
          <w:szCs w:val="18"/>
        </w:rPr>
        <w:t xml:space="preserve">r. 2 Paslaugos specifikacija </w:t>
      </w:r>
    </w:p>
    <w:tbl>
      <w:tblPr>
        <w:tblStyle w:val="TableGrid"/>
        <w:tblW w:w="14463" w:type="dxa"/>
        <w:jc w:val="center"/>
        <w:tblLayout w:type="fixed"/>
        <w:tblLook w:val="04A0" w:firstRow="1" w:lastRow="0" w:firstColumn="1" w:lastColumn="0" w:noHBand="0" w:noVBand="1"/>
      </w:tblPr>
      <w:tblGrid>
        <w:gridCol w:w="1345"/>
        <w:gridCol w:w="1353"/>
        <w:gridCol w:w="11765"/>
      </w:tblGrid>
      <w:tr w:rsidR="00B30B9B" w:rsidRPr="00A64250" w14:paraId="13D7C890" w14:textId="77777777" w:rsidTr="006B52CF">
        <w:trPr>
          <w:trHeight w:val="70"/>
          <w:jc w:val="center"/>
        </w:trPr>
        <w:tc>
          <w:tcPr>
            <w:tcW w:w="1345" w:type="dxa"/>
            <w:shd w:val="clear" w:color="auto" w:fill="D9D9D9" w:themeFill="background1" w:themeFillShade="D9"/>
            <w:vAlign w:val="center"/>
          </w:tcPr>
          <w:p w14:paraId="7808B0B6" w14:textId="01BF5828" w:rsidR="00B30B9B" w:rsidRPr="00A64250" w:rsidRDefault="00B30B9B" w:rsidP="00B30B9B">
            <w:pPr>
              <w:pStyle w:val="ListParagraph"/>
              <w:ind w:left="0"/>
              <w:jc w:val="center"/>
              <w:rPr>
                <w:b/>
                <w:bCs/>
                <w:sz w:val="18"/>
                <w:szCs w:val="18"/>
              </w:rPr>
            </w:pPr>
            <w:r w:rsidRPr="00A64250">
              <w:rPr>
                <w:b/>
                <w:bCs/>
                <w:sz w:val="18"/>
                <w:szCs w:val="18"/>
              </w:rPr>
              <w:t>Pavadinimas</w:t>
            </w:r>
          </w:p>
        </w:tc>
        <w:tc>
          <w:tcPr>
            <w:tcW w:w="1353" w:type="dxa"/>
            <w:shd w:val="clear" w:color="auto" w:fill="D9D9D9" w:themeFill="background1" w:themeFillShade="D9"/>
            <w:vAlign w:val="center"/>
          </w:tcPr>
          <w:p w14:paraId="00703F2A" w14:textId="6023ED97" w:rsidR="00B30B9B" w:rsidRPr="00A64250" w:rsidRDefault="00B30B9B" w:rsidP="00B30B9B">
            <w:pPr>
              <w:jc w:val="center"/>
              <w:rPr>
                <w:b/>
                <w:bCs/>
                <w:sz w:val="18"/>
                <w:szCs w:val="18"/>
              </w:rPr>
            </w:pPr>
            <w:r w:rsidRPr="00A64250">
              <w:rPr>
                <w:b/>
                <w:bCs/>
                <w:sz w:val="18"/>
                <w:szCs w:val="18"/>
              </w:rPr>
              <w:t>Detalizavimas</w:t>
            </w:r>
          </w:p>
        </w:tc>
        <w:tc>
          <w:tcPr>
            <w:tcW w:w="11765" w:type="dxa"/>
            <w:shd w:val="clear" w:color="auto" w:fill="D9D9D9" w:themeFill="background1" w:themeFillShade="D9"/>
            <w:vAlign w:val="center"/>
          </w:tcPr>
          <w:p w14:paraId="7BAF6C39" w14:textId="361B3669" w:rsidR="00B30B9B" w:rsidRPr="00A64250" w:rsidRDefault="006A36C9" w:rsidP="00B30B9B">
            <w:pPr>
              <w:tabs>
                <w:tab w:val="left" w:pos="426"/>
              </w:tabs>
              <w:autoSpaceDN w:val="0"/>
              <w:jc w:val="center"/>
              <w:textAlignment w:val="baseline"/>
              <w:rPr>
                <w:b/>
                <w:bCs/>
                <w:sz w:val="18"/>
                <w:szCs w:val="18"/>
              </w:rPr>
            </w:pPr>
            <w:r w:rsidRPr="00A64250">
              <w:rPr>
                <w:b/>
                <w:bCs/>
                <w:sz w:val="18"/>
                <w:szCs w:val="18"/>
              </w:rPr>
              <w:t xml:space="preserve">Detalus aprašymas </w:t>
            </w:r>
          </w:p>
        </w:tc>
      </w:tr>
      <w:tr w:rsidR="001F6449" w:rsidRPr="006A36C9" w14:paraId="701A5A05" w14:textId="77777777" w:rsidTr="006B52CF">
        <w:trPr>
          <w:trHeight w:val="132"/>
          <w:jc w:val="center"/>
        </w:trPr>
        <w:tc>
          <w:tcPr>
            <w:tcW w:w="1345" w:type="dxa"/>
            <w:vAlign w:val="center"/>
          </w:tcPr>
          <w:p w14:paraId="061D6D9A" w14:textId="3C2CB764" w:rsidR="001F6449" w:rsidRPr="00A64250" w:rsidRDefault="001F6449" w:rsidP="00BA1ED6">
            <w:pPr>
              <w:pStyle w:val="ListParagraph"/>
              <w:ind w:left="0"/>
              <w:jc w:val="center"/>
              <w:rPr>
                <w:sz w:val="18"/>
                <w:szCs w:val="18"/>
              </w:rPr>
            </w:pPr>
            <w:r w:rsidRPr="00A64250">
              <w:rPr>
                <w:sz w:val="18"/>
                <w:szCs w:val="18"/>
              </w:rPr>
              <w:t>Kraujo ląstelių separatoriaus TRIMA ACCEL periodinis veikimo ir našumo kvalifikavimas (OPQ)</w:t>
            </w:r>
          </w:p>
        </w:tc>
        <w:tc>
          <w:tcPr>
            <w:tcW w:w="1353" w:type="dxa"/>
            <w:vAlign w:val="center"/>
          </w:tcPr>
          <w:p w14:paraId="601D3BA8" w14:textId="3A6C20F9" w:rsidR="001F6449" w:rsidRPr="00A64250" w:rsidRDefault="001F6449" w:rsidP="00BA1ED6">
            <w:pPr>
              <w:tabs>
                <w:tab w:val="left" w:pos="426"/>
              </w:tabs>
              <w:autoSpaceDN w:val="0"/>
              <w:jc w:val="center"/>
              <w:textAlignment w:val="baseline"/>
              <w:rPr>
                <w:b/>
                <w:sz w:val="18"/>
                <w:szCs w:val="18"/>
              </w:rPr>
            </w:pPr>
            <w:r w:rsidRPr="00A64250">
              <w:rPr>
                <w:b/>
                <w:sz w:val="18"/>
                <w:szCs w:val="18"/>
              </w:rPr>
              <w:t>Veikimo ir našumo kvalifikavimas (OPQ)</w:t>
            </w:r>
          </w:p>
          <w:p w14:paraId="3202533C" w14:textId="62A60BD6" w:rsidR="001F6449" w:rsidRPr="00A64250" w:rsidRDefault="001F6449" w:rsidP="00BA1ED6">
            <w:pPr>
              <w:jc w:val="center"/>
              <w:rPr>
                <w:color w:val="EE0000"/>
                <w:sz w:val="18"/>
                <w:szCs w:val="18"/>
              </w:rPr>
            </w:pPr>
            <w:r w:rsidRPr="00A64250">
              <w:rPr>
                <w:bCs/>
                <w:sz w:val="18"/>
                <w:szCs w:val="18"/>
              </w:rPr>
              <w:t>Tikslas – nustatyti, ar įrenginys atitinka funkcinius reikalavimus ir pasiekia nustatytus našumo rodiklius.</w:t>
            </w:r>
          </w:p>
        </w:tc>
        <w:tc>
          <w:tcPr>
            <w:tcW w:w="11765" w:type="dxa"/>
            <w:vAlign w:val="center"/>
          </w:tcPr>
          <w:p w14:paraId="2ECEED64" w14:textId="54E762B2" w:rsidR="001F6449" w:rsidRPr="00A64250" w:rsidRDefault="001F6449" w:rsidP="00B30B9B">
            <w:pPr>
              <w:tabs>
                <w:tab w:val="left" w:pos="426"/>
              </w:tabs>
              <w:autoSpaceDN w:val="0"/>
              <w:textAlignment w:val="baseline"/>
              <w:rPr>
                <w:bCs/>
                <w:sz w:val="18"/>
                <w:szCs w:val="18"/>
              </w:rPr>
            </w:pPr>
            <w:r w:rsidRPr="00A64250">
              <w:rPr>
                <w:bCs/>
                <w:sz w:val="18"/>
                <w:szCs w:val="18"/>
              </w:rPr>
              <w:t>Veikimo  ir našumo kvalifikavimo (</w:t>
            </w:r>
            <w:proofErr w:type="spellStart"/>
            <w:r w:rsidRPr="00A64250">
              <w:rPr>
                <w:bCs/>
                <w:sz w:val="18"/>
                <w:szCs w:val="18"/>
              </w:rPr>
              <w:t>Operational</w:t>
            </w:r>
            <w:proofErr w:type="spellEnd"/>
            <w:r w:rsidRPr="00A64250">
              <w:rPr>
                <w:bCs/>
                <w:sz w:val="18"/>
                <w:szCs w:val="18"/>
              </w:rPr>
              <w:t xml:space="preserve"> </w:t>
            </w:r>
            <w:proofErr w:type="spellStart"/>
            <w:r w:rsidRPr="00A64250">
              <w:rPr>
                <w:bCs/>
                <w:sz w:val="18"/>
                <w:szCs w:val="18"/>
              </w:rPr>
              <w:t>and</w:t>
            </w:r>
            <w:proofErr w:type="spellEnd"/>
            <w:r w:rsidRPr="00A64250">
              <w:rPr>
                <w:bCs/>
                <w:sz w:val="18"/>
                <w:szCs w:val="18"/>
              </w:rPr>
              <w:t xml:space="preserve"> </w:t>
            </w:r>
            <w:proofErr w:type="spellStart"/>
            <w:r w:rsidRPr="00A64250">
              <w:rPr>
                <w:bCs/>
                <w:sz w:val="18"/>
                <w:szCs w:val="18"/>
              </w:rPr>
              <w:t>Performance</w:t>
            </w:r>
            <w:proofErr w:type="spellEnd"/>
            <w:r w:rsidRPr="00A64250">
              <w:rPr>
                <w:bCs/>
                <w:sz w:val="18"/>
                <w:szCs w:val="18"/>
              </w:rPr>
              <w:t xml:space="preserve"> Qualification - OPQ) apimtis ne mažesnė nei:</w:t>
            </w:r>
          </w:p>
          <w:p w14:paraId="6D10E3F9" w14:textId="3257DA1C" w:rsidR="001F6449" w:rsidRPr="00A64250" w:rsidRDefault="001F6449" w:rsidP="00B30B9B">
            <w:pPr>
              <w:tabs>
                <w:tab w:val="left" w:pos="426"/>
              </w:tabs>
              <w:autoSpaceDN w:val="0"/>
              <w:textAlignment w:val="baseline"/>
              <w:rPr>
                <w:bCs/>
                <w:sz w:val="18"/>
                <w:szCs w:val="18"/>
              </w:rPr>
            </w:pPr>
            <w:r w:rsidRPr="00A64250">
              <w:rPr>
                <w:bCs/>
                <w:sz w:val="18"/>
                <w:szCs w:val="18"/>
              </w:rPr>
              <w:t xml:space="preserve">1) Atliekamas vizualinis įvertinimas kurio metu tikrinami mechaniniai pažeidimai, įrenginio ir jo dalių būklė, aktualūs aliarmai (sistemoje neturi būti aliarmų testavimo metu). Fiksuojama programinės įrangos pavadinimas, versija ir įrenginio darbo laikas ir atliktų procedūrų kiekis. </w:t>
            </w:r>
          </w:p>
          <w:p w14:paraId="48E02351" w14:textId="77777777" w:rsidR="001F6449" w:rsidRPr="00A64250" w:rsidRDefault="001F6449" w:rsidP="00B30B9B">
            <w:pPr>
              <w:tabs>
                <w:tab w:val="left" w:pos="426"/>
              </w:tabs>
              <w:autoSpaceDN w:val="0"/>
              <w:textAlignment w:val="baseline"/>
              <w:rPr>
                <w:bCs/>
                <w:sz w:val="18"/>
                <w:szCs w:val="18"/>
              </w:rPr>
            </w:pPr>
            <w:r w:rsidRPr="00A64250">
              <w:rPr>
                <w:bCs/>
                <w:sz w:val="18"/>
                <w:szCs w:val="18"/>
              </w:rPr>
              <w:t xml:space="preserve">2) Atliekamas funkciniai testai – „STOP“ ir „PAUSE“ mygtukų veikimas, aliarmų indikatoriaus veikimas, kasetės nuleidimo testas, rezervuaro skysčio lygio jutiklių veikimo vertinimas. </w:t>
            </w:r>
          </w:p>
          <w:p w14:paraId="1A114341" w14:textId="59B7B41D" w:rsidR="001F6449" w:rsidRPr="00A64250" w:rsidRDefault="001F6449" w:rsidP="00B30B9B">
            <w:pPr>
              <w:tabs>
                <w:tab w:val="left" w:pos="426"/>
              </w:tabs>
              <w:autoSpaceDN w:val="0"/>
              <w:textAlignment w:val="baseline"/>
              <w:rPr>
                <w:bCs/>
                <w:sz w:val="18"/>
                <w:szCs w:val="18"/>
              </w:rPr>
            </w:pPr>
            <w:r w:rsidRPr="00A64250">
              <w:rPr>
                <w:bCs/>
                <w:sz w:val="18"/>
                <w:szCs w:val="18"/>
              </w:rPr>
              <w:t>3) Atliekama aliarmų veikimo patikra.</w:t>
            </w:r>
          </w:p>
          <w:p w14:paraId="234DC6BE" w14:textId="77777777" w:rsidR="001F6449" w:rsidRPr="00A64250" w:rsidRDefault="001F6449" w:rsidP="00B30B9B">
            <w:pPr>
              <w:tabs>
                <w:tab w:val="left" w:pos="426"/>
              </w:tabs>
              <w:autoSpaceDN w:val="0"/>
              <w:textAlignment w:val="baseline"/>
              <w:rPr>
                <w:bCs/>
                <w:sz w:val="18"/>
                <w:szCs w:val="18"/>
              </w:rPr>
            </w:pPr>
            <w:r w:rsidRPr="00A64250">
              <w:rPr>
                <w:bCs/>
                <w:sz w:val="18"/>
                <w:szCs w:val="18"/>
              </w:rPr>
              <w:t>Sugeneruoti ir patikrinti įrangos aliarmus. Suformuoti aliarmų ataskaitas. Aliarmų patikra turi apimti ne mažiau kaip šiuos aliarmus:</w:t>
            </w:r>
          </w:p>
          <w:p w14:paraId="79CE2E5A" w14:textId="7C71F822" w:rsidR="001F6449" w:rsidRPr="00A64250" w:rsidRDefault="001F6449" w:rsidP="00B30B9B">
            <w:pPr>
              <w:tabs>
                <w:tab w:val="left" w:pos="426"/>
              </w:tabs>
              <w:autoSpaceDN w:val="0"/>
              <w:textAlignment w:val="baseline"/>
              <w:rPr>
                <w:bCs/>
                <w:sz w:val="18"/>
                <w:szCs w:val="18"/>
                <w:lang w:val="en-US"/>
              </w:rPr>
            </w:pPr>
            <w:r w:rsidRPr="00A64250">
              <w:rPr>
                <w:bCs/>
                <w:sz w:val="18"/>
                <w:szCs w:val="18"/>
              </w:rPr>
              <w:t>3.1) „</w:t>
            </w:r>
            <w:r w:rsidRPr="00A64250">
              <w:rPr>
                <w:bCs/>
                <w:sz w:val="18"/>
                <w:szCs w:val="18"/>
                <w:lang w:val="en-US"/>
              </w:rPr>
              <w:t>Draw Pressure Too Low“;</w:t>
            </w:r>
          </w:p>
          <w:p w14:paraId="75D52FE6" w14:textId="5443348E" w:rsidR="001F6449" w:rsidRPr="00A64250" w:rsidRDefault="001F6449" w:rsidP="00B30B9B">
            <w:pPr>
              <w:tabs>
                <w:tab w:val="left" w:pos="426"/>
              </w:tabs>
              <w:autoSpaceDN w:val="0"/>
              <w:textAlignment w:val="baseline"/>
              <w:rPr>
                <w:bCs/>
                <w:sz w:val="18"/>
                <w:szCs w:val="18"/>
                <w:lang w:val="en-US"/>
              </w:rPr>
            </w:pPr>
            <w:proofErr w:type="gramStart"/>
            <w:r w:rsidRPr="00A64250">
              <w:rPr>
                <w:bCs/>
                <w:sz w:val="18"/>
                <w:szCs w:val="18"/>
                <w:lang w:val="en-US"/>
              </w:rPr>
              <w:t>3.2) „</w:t>
            </w:r>
            <w:proofErr w:type="gramEnd"/>
            <w:r w:rsidRPr="00A64250">
              <w:rPr>
                <w:bCs/>
                <w:sz w:val="18"/>
                <w:szCs w:val="18"/>
                <w:lang w:val="en-US"/>
              </w:rPr>
              <w:t xml:space="preserve">Return Pressure Too </w:t>
            </w:r>
            <w:proofErr w:type="gramStart"/>
            <w:r w:rsidRPr="00A64250">
              <w:rPr>
                <w:bCs/>
                <w:sz w:val="18"/>
                <w:szCs w:val="18"/>
                <w:lang w:val="en-US"/>
              </w:rPr>
              <w:t>High“</w:t>
            </w:r>
            <w:proofErr w:type="gramEnd"/>
            <w:r w:rsidRPr="00A64250">
              <w:rPr>
                <w:bCs/>
                <w:sz w:val="18"/>
                <w:szCs w:val="18"/>
                <w:lang w:val="en-US"/>
              </w:rPr>
              <w:t>;</w:t>
            </w:r>
          </w:p>
          <w:p w14:paraId="12F75B15" w14:textId="4932DCC0" w:rsidR="001F6449" w:rsidRPr="00A64250" w:rsidRDefault="001F6449" w:rsidP="00871173">
            <w:pPr>
              <w:tabs>
                <w:tab w:val="left" w:pos="426"/>
              </w:tabs>
              <w:autoSpaceDN w:val="0"/>
              <w:textAlignment w:val="baseline"/>
              <w:rPr>
                <w:bCs/>
                <w:sz w:val="18"/>
                <w:szCs w:val="18"/>
                <w:lang w:val="en-US"/>
              </w:rPr>
            </w:pPr>
            <w:r w:rsidRPr="00A64250">
              <w:rPr>
                <w:bCs/>
                <w:sz w:val="18"/>
                <w:szCs w:val="18"/>
                <w:lang w:val="en-US"/>
              </w:rPr>
              <w:t xml:space="preserve">3.3) „Centrifuge Pressure </w:t>
            </w:r>
            <w:proofErr w:type="gramStart"/>
            <w:r w:rsidRPr="00A64250">
              <w:rPr>
                <w:bCs/>
                <w:sz w:val="18"/>
                <w:szCs w:val="18"/>
                <w:lang w:val="en-US"/>
              </w:rPr>
              <w:t>High“</w:t>
            </w:r>
            <w:proofErr w:type="gramEnd"/>
            <w:r w:rsidRPr="00A64250">
              <w:rPr>
                <w:bCs/>
                <w:sz w:val="18"/>
                <w:szCs w:val="18"/>
                <w:lang w:val="en-US"/>
              </w:rPr>
              <w:t>;</w:t>
            </w:r>
          </w:p>
          <w:p w14:paraId="4FA5EC72" w14:textId="1C40340B" w:rsidR="001F6449" w:rsidRPr="00A64250" w:rsidRDefault="001F6449" w:rsidP="00871173">
            <w:pPr>
              <w:tabs>
                <w:tab w:val="left" w:pos="426"/>
              </w:tabs>
              <w:autoSpaceDN w:val="0"/>
              <w:textAlignment w:val="baseline"/>
              <w:rPr>
                <w:bCs/>
                <w:sz w:val="18"/>
                <w:szCs w:val="18"/>
                <w:lang w:val="en-US"/>
              </w:rPr>
            </w:pPr>
            <w:proofErr w:type="gramStart"/>
            <w:r w:rsidRPr="00A64250">
              <w:rPr>
                <w:bCs/>
                <w:sz w:val="18"/>
                <w:szCs w:val="18"/>
                <w:lang w:val="en-US"/>
              </w:rPr>
              <w:t>3.3) „</w:t>
            </w:r>
            <w:proofErr w:type="gramEnd"/>
            <w:r w:rsidRPr="00A64250">
              <w:rPr>
                <w:bCs/>
                <w:sz w:val="18"/>
                <w:szCs w:val="18"/>
                <w:lang w:val="en-US"/>
              </w:rPr>
              <w:t xml:space="preserve">Power </w:t>
            </w:r>
            <w:proofErr w:type="gramStart"/>
            <w:r w:rsidRPr="00A64250">
              <w:rPr>
                <w:bCs/>
                <w:sz w:val="18"/>
                <w:szCs w:val="18"/>
                <w:lang w:val="en-US"/>
              </w:rPr>
              <w:t>Interrupted“</w:t>
            </w:r>
            <w:proofErr w:type="gramEnd"/>
            <w:r w:rsidRPr="00A64250">
              <w:rPr>
                <w:bCs/>
                <w:sz w:val="18"/>
                <w:szCs w:val="18"/>
                <w:lang w:val="en-US"/>
              </w:rPr>
              <w:t>;</w:t>
            </w:r>
          </w:p>
          <w:p w14:paraId="2C8FB4A3" w14:textId="3F1539EC" w:rsidR="001F6449" w:rsidRPr="00A64250" w:rsidRDefault="001F6449" w:rsidP="00871173">
            <w:pPr>
              <w:tabs>
                <w:tab w:val="left" w:pos="426"/>
              </w:tabs>
              <w:autoSpaceDN w:val="0"/>
              <w:textAlignment w:val="baseline"/>
              <w:rPr>
                <w:bCs/>
                <w:sz w:val="18"/>
                <w:szCs w:val="18"/>
              </w:rPr>
            </w:pPr>
            <w:proofErr w:type="spellStart"/>
            <w:r w:rsidRPr="00A64250">
              <w:rPr>
                <w:bCs/>
                <w:sz w:val="18"/>
                <w:szCs w:val="18"/>
              </w:rPr>
              <w:t>Patikrinana</w:t>
            </w:r>
            <w:proofErr w:type="spellEnd"/>
            <w:r w:rsidRPr="00A64250">
              <w:rPr>
                <w:bCs/>
                <w:sz w:val="18"/>
                <w:szCs w:val="18"/>
              </w:rPr>
              <w:t xml:space="preserve">, ar kraujo ląstelių separatorius TRIMA ACCEL aliarmo arba klaidos atsiradimo metu automatiškai sugeneruoja Data </w:t>
            </w:r>
            <w:proofErr w:type="spellStart"/>
            <w:r w:rsidRPr="00A64250">
              <w:rPr>
                <w:bCs/>
                <w:sz w:val="18"/>
                <w:szCs w:val="18"/>
              </w:rPr>
              <w:t>Log</w:t>
            </w:r>
            <w:proofErr w:type="spellEnd"/>
            <w:r w:rsidRPr="00A64250">
              <w:rPr>
                <w:bCs/>
                <w:sz w:val="18"/>
                <w:szCs w:val="18"/>
              </w:rPr>
              <w:t xml:space="preserve"> (</w:t>
            </w:r>
            <w:proofErr w:type="spellStart"/>
            <w:r w:rsidRPr="00A64250">
              <w:rPr>
                <w:bCs/>
                <w:sz w:val="18"/>
                <w:szCs w:val="18"/>
              </w:rPr>
              <w:t>DLog</w:t>
            </w:r>
            <w:proofErr w:type="spellEnd"/>
            <w:r w:rsidRPr="00A64250">
              <w:rPr>
                <w:bCs/>
                <w:sz w:val="18"/>
                <w:szCs w:val="18"/>
              </w:rPr>
              <w:t>) failą, kuriame teisingai užfiksuojama sistemos būsena ir su aliarmu susijusi techninė (aparatinė) informacija, ir ar ši informacija yra pakankama aliarmo ar klaidos priežasčiai nustatyti, palyginus ją su gamintojo pateikta dokumentacija.</w:t>
            </w:r>
          </w:p>
          <w:p w14:paraId="6F9DF1ED" w14:textId="7C99175F" w:rsidR="001F6449" w:rsidRPr="00A64250" w:rsidRDefault="001F6449" w:rsidP="003B5C63">
            <w:pPr>
              <w:tabs>
                <w:tab w:val="left" w:pos="426"/>
              </w:tabs>
              <w:autoSpaceDN w:val="0"/>
              <w:textAlignment w:val="baseline"/>
              <w:rPr>
                <w:bCs/>
                <w:sz w:val="18"/>
                <w:szCs w:val="18"/>
              </w:rPr>
            </w:pPr>
            <w:r w:rsidRPr="00A64250">
              <w:rPr>
                <w:bCs/>
                <w:sz w:val="18"/>
                <w:szCs w:val="18"/>
                <w:lang w:val="en-US"/>
              </w:rPr>
              <w:t>4)</w:t>
            </w:r>
            <w:r w:rsidRPr="00A64250">
              <w:rPr>
                <w:rFonts w:eastAsia="Times New Roman" w:cs="Times New Roman"/>
                <w:kern w:val="0"/>
                <w:szCs w:val="24"/>
                <w:lang w:eastAsia="lt-LT"/>
                <w14:ligatures w14:val="none"/>
              </w:rPr>
              <w:t xml:space="preserve"> </w:t>
            </w:r>
            <w:r w:rsidRPr="00A64250">
              <w:rPr>
                <w:bCs/>
                <w:sz w:val="18"/>
                <w:szCs w:val="18"/>
              </w:rPr>
              <w:t xml:space="preserve">Atliekamas imitacinis veiklos </w:t>
            </w:r>
            <w:proofErr w:type="gramStart"/>
            <w:r w:rsidRPr="00A64250">
              <w:rPr>
                <w:bCs/>
                <w:sz w:val="18"/>
                <w:szCs w:val="18"/>
              </w:rPr>
              <w:t>ciklas („</w:t>
            </w:r>
            <w:proofErr w:type="spellStart"/>
            <w:r w:rsidRPr="00A64250">
              <w:rPr>
                <w:bCs/>
                <w:sz w:val="18"/>
                <w:szCs w:val="18"/>
              </w:rPr>
              <w:t>run</w:t>
            </w:r>
            <w:proofErr w:type="spellEnd"/>
            <w:r w:rsidRPr="00A64250">
              <w:rPr>
                <w:bCs/>
                <w:sz w:val="18"/>
                <w:szCs w:val="18"/>
              </w:rPr>
              <w:t>“</w:t>
            </w:r>
            <w:proofErr w:type="gramEnd"/>
            <w:r w:rsidRPr="00A64250">
              <w:rPr>
                <w:bCs/>
                <w:sz w:val="18"/>
                <w:szCs w:val="18"/>
              </w:rPr>
              <w:t>). Nuosekliai fiksuojant visus vykdomus veiksmus ir sistemos atliekamus procesus. Testavimo metu įvertinti, ar sistema veikia pagal nustatytus funkcinius ir kokybinius reikalavimus, ar visi procesai vykdomi korektiškai bei ar nesuveikia nenumatyti aliarmai.</w:t>
            </w:r>
          </w:p>
          <w:p w14:paraId="1956FA73" w14:textId="77777777" w:rsidR="001F6449" w:rsidRPr="00A64250" w:rsidRDefault="001F6449" w:rsidP="003B5C63">
            <w:pPr>
              <w:tabs>
                <w:tab w:val="left" w:pos="426"/>
              </w:tabs>
              <w:autoSpaceDN w:val="0"/>
              <w:textAlignment w:val="baseline"/>
              <w:rPr>
                <w:bCs/>
                <w:sz w:val="18"/>
                <w:szCs w:val="18"/>
              </w:rPr>
            </w:pPr>
            <w:r w:rsidRPr="00A64250">
              <w:rPr>
                <w:bCs/>
                <w:sz w:val="18"/>
                <w:szCs w:val="18"/>
              </w:rPr>
              <w:t>Testavimo metu tikrinami šie komponentai:</w:t>
            </w:r>
          </w:p>
          <w:p w14:paraId="38D2D03D" w14:textId="77777777" w:rsidR="001F6449" w:rsidRPr="00A64250" w:rsidRDefault="001F6449" w:rsidP="003B5C63">
            <w:pPr>
              <w:numPr>
                <w:ilvl w:val="0"/>
                <w:numId w:val="22"/>
              </w:numPr>
              <w:tabs>
                <w:tab w:val="left" w:pos="426"/>
              </w:tabs>
              <w:autoSpaceDN w:val="0"/>
              <w:textAlignment w:val="baseline"/>
              <w:rPr>
                <w:bCs/>
                <w:sz w:val="18"/>
                <w:szCs w:val="18"/>
              </w:rPr>
            </w:pPr>
            <w:r w:rsidRPr="00A64250">
              <w:rPr>
                <w:bCs/>
                <w:sz w:val="18"/>
                <w:szCs w:val="18"/>
              </w:rPr>
              <w:t>Eritrocitai ir leukocitai pridėtiniame tirpale, gauti aferezės būdu.</w:t>
            </w:r>
          </w:p>
          <w:p w14:paraId="0A8B926C" w14:textId="77777777" w:rsidR="001F6449" w:rsidRPr="00A64250" w:rsidRDefault="001F6449" w:rsidP="003B5C63">
            <w:pPr>
              <w:numPr>
                <w:ilvl w:val="0"/>
                <w:numId w:val="22"/>
              </w:numPr>
              <w:tabs>
                <w:tab w:val="left" w:pos="426"/>
              </w:tabs>
              <w:autoSpaceDN w:val="0"/>
              <w:textAlignment w:val="baseline"/>
              <w:rPr>
                <w:bCs/>
                <w:sz w:val="18"/>
                <w:szCs w:val="18"/>
              </w:rPr>
            </w:pPr>
            <w:r w:rsidRPr="00A64250">
              <w:rPr>
                <w:bCs/>
                <w:sz w:val="18"/>
                <w:szCs w:val="18"/>
              </w:rPr>
              <w:t>Trombocitai, gauti aferezės būdu, be leukocitų.</w:t>
            </w:r>
          </w:p>
          <w:p w14:paraId="277D000B" w14:textId="77777777" w:rsidR="001F6449" w:rsidRPr="00A64250" w:rsidRDefault="001F6449" w:rsidP="003B5C63">
            <w:pPr>
              <w:numPr>
                <w:ilvl w:val="0"/>
                <w:numId w:val="22"/>
              </w:numPr>
              <w:tabs>
                <w:tab w:val="left" w:pos="426"/>
              </w:tabs>
              <w:autoSpaceDN w:val="0"/>
              <w:textAlignment w:val="baseline"/>
              <w:rPr>
                <w:bCs/>
                <w:sz w:val="18"/>
                <w:szCs w:val="18"/>
              </w:rPr>
            </w:pPr>
            <w:r w:rsidRPr="00A64250">
              <w:rPr>
                <w:bCs/>
                <w:sz w:val="18"/>
                <w:szCs w:val="18"/>
              </w:rPr>
              <w:t>Trombocitai, gauti aferezės būdu, be leukocitų, pridėtiniame tirpale.</w:t>
            </w:r>
          </w:p>
          <w:p w14:paraId="0177726D" w14:textId="77777777" w:rsidR="001F6449" w:rsidRPr="00A64250" w:rsidRDefault="001F6449" w:rsidP="003B5C63">
            <w:pPr>
              <w:numPr>
                <w:ilvl w:val="0"/>
                <w:numId w:val="22"/>
              </w:numPr>
              <w:tabs>
                <w:tab w:val="left" w:pos="426"/>
              </w:tabs>
              <w:autoSpaceDN w:val="0"/>
              <w:textAlignment w:val="baseline"/>
              <w:rPr>
                <w:bCs/>
                <w:sz w:val="18"/>
                <w:szCs w:val="18"/>
              </w:rPr>
            </w:pPr>
            <w:r w:rsidRPr="00A64250">
              <w:rPr>
                <w:bCs/>
                <w:sz w:val="18"/>
                <w:szCs w:val="18"/>
              </w:rPr>
              <w:t>Šviežiai šaldoma plazma frakcionavimui, surinkta aferezės būdu.</w:t>
            </w:r>
          </w:p>
          <w:p w14:paraId="5E6D7D90" w14:textId="77777777" w:rsidR="001F6449" w:rsidRPr="00A64250" w:rsidRDefault="001F6449" w:rsidP="003B5C63">
            <w:pPr>
              <w:tabs>
                <w:tab w:val="left" w:pos="426"/>
              </w:tabs>
              <w:autoSpaceDN w:val="0"/>
              <w:textAlignment w:val="baseline"/>
              <w:rPr>
                <w:bCs/>
                <w:sz w:val="18"/>
                <w:szCs w:val="18"/>
              </w:rPr>
            </w:pPr>
            <w:r w:rsidRPr="00A64250">
              <w:rPr>
                <w:bCs/>
                <w:sz w:val="18"/>
                <w:szCs w:val="18"/>
              </w:rPr>
              <w:t>Testavimo rezultatai turi būti dokumentuojami, įskaitant visų žingsnių aprašymą, sistemos reakcijas, aliarmų buvimą ar nebuvimą bei bet kokius nustatytus nukrypimus nuo numatyto veikimo.</w:t>
            </w:r>
          </w:p>
          <w:p w14:paraId="5AD234A1" w14:textId="3A740D1D" w:rsidR="001F6449" w:rsidRPr="00A64250" w:rsidRDefault="001F6449" w:rsidP="003B5C63">
            <w:pPr>
              <w:tabs>
                <w:tab w:val="left" w:pos="426"/>
              </w:tabs>
              <w:autoSpaceDN w:val="0"/>
              <w:textAlignment w:val="baseline"/>
              <w:rPr>
                <w:bCs/>
                <w:sz w:val="18"/>
                <w:szCs w:val="18"/>
              </w:rPr>
            </w:pPr>
            <w:r w:rsidRPr="00A64250">
              <w:rPr>
                <w:bCs/>
                <w:sz w:val="18"/>
                <w:szCs w:val="18"/>
              </w:rPr>
              <w:t>5)</w:t>
            </w:r>
            <w:r w:rsidRPr="00A64250">
              <w:t xml:space="preserve"> </w:t>
            </w:r>
            <w:r w:rsidRPr="00A64250">
              <w:rPr>
                <w:bCs/>
                <w:sz w:val="18"/>
                <w:szCs w:val="18"/>
              </w:rPr>
              <w:t xml:space="preserve">Patikrinamas Datos ir laiko registravimo teisingumas – įvertinama ar kraujo ląstelių separatorius </w:t>
            </w:r>
            <w:r w:rsidRPr="00A64250">
              <w:rPr>
                <w:b/>
                <w:bCs/>
                <w:sz w:val="18"/>
                <w:szCs w:val="18"/>
              </w:rPr>
              <w:t>TRIMA ACCEL</w:t>
            </w:r>
            <w:r w:rsidRPr="00A64250">
              <w:rPr>
                <w:bCs/>
                <w:sz w:val="18"/>
                <w:szCs w:val="18"/>
              </w:rPr>
              <w:t xml:space="preserve"> teisingai registruoja ir išsaugo </w:t>
            </w:r>
            <w:r w:rsidRPr="00A64250">
              <w:rPr>
                <w:b/>
                <w:bCs/>
                <w:sz w:val="18"/>
                <w:szCs w:val="18"/>
              </w:rPr>
              <w:t>datą ir laiką</w:t>
            </w:r>
            <w:r w:rsidRPr="00A64250">
              <w:rPr>
                <w:bCs/>
                <w:sz w:val="18"/>
                <w:szCs w:val="18"/>
              </w:rPr>
              <w:t xml:space="preserve"> visų procedūrų, įvykių ir aliarmų metu bei ar šie duomenys yra nuoseklūs sistemos įrašuose, ataskaitose ir duomenų žurnaluose.</w:t>
            </w:r>
          </w:p>
          <w:p w14:paraId="756D5FC8" w14:textId="4B681BE5" w:rsidR="001F6449" w:rsidRPr="00A64250" w:rsidRDefault="001F6449" w:rsidP="003B5C63">
            <w:pPr>
              <w:tabs>
                <w:tab w:val="left" w:pos="426"/>
              </w:tabs>
              <w:autoSpaceDN w:val="0"/>
              <w:textAlignment w:val="baseline"/>
              <w:rPr>
                <w:bCs/>
                <w:sz w:val="18"/>
                <w:szCs w:val="18"/>
              </w:rPr>
            </w:pPr>
            <w:r w:rsidRPr="00A64250">
              <w:rPr>
                <w:bCs/>
                <w:sz w:val="18"/>
                <w:szCs w:val="18"/>
              </w:rPr>
              <w:t xml:space="preserve">6) </w:t>
            </w:r>
            <w:proofErr w:type="spellStart"/>
            <w:r w:rsidRPr="00A64250">
              <w:rPr>
                <w:bCs/>
                <w:sz w:val="18"/>
                <w:szCs w:val="18"/>
              </w:rPr>
              <w:t>Barkodo</w:t>
            </w:r>
            <w:proofErr w:type="spellEnd"/>
            <w:r w:rsidRPr="00A64250">
              <w:rPr>
                <w:bCs/>
                <w:sz w:val="18"/>
                <w:szCs w:val="18"/>
              </w:rPr>
              <w:t xml:space="preserve"> skaitytuvo tikrinimas - įvertinama, ar </w:t>
            </w:r>
            <w:proofErr w:type="spellStart"/>
            <w:r w:rsidRPr="00A64250">
              <w:rPr>
                <w:bCs/>
                <w:sz w:val="18"/>
                <w:szCs w:val="18"/>
              </w:rPr>
              <w:t>barkodo</w:t>
            </w:r>
            <w:proofErr w:type="spellEnd"/>
            <w:r w:rsidRPr="00A64250">
              <w:rPr>
                <w:bCs/>
                <w:sz w:val="18"/>
                <w:szCs w:val="18"/>
              </w:rPr>
              <w:t xml:space="preserve"> skaitytuvas teisingai nuskaito ir perduoda </w:t>
            </w:r>
            <w:proofErr w:type="spellStart"/>
            <w:r w:rsidRPr="00A64250">
              <w:rPr>
                <w:bCs/>
                <w:sz w:val="18"/>
                <w:szCs w:val="18"/>
              </w:rPr>
              <w:t>barkode</w:t>
            </w:r>
            <w:proofErr w:type="spellEnd"/>
            <w:r w:rsidRPr="00A64250">
              <w:rPr>
                <w:bCs/>
                <w:sz w:val="18"/>
                <w:szCs w:val="18"/>
              </w:rPr>
              <w:t xml:space="preserve"> užkoduotą informaciją į sistemą, taip pat patikrinama sistemos elgseną nuskenavus neteisingą arba negaliojantį </w:t>
            </w:r>
            <w:proofErr w:type="spellStart"/>
            <w:r w:rsidRPr="00A64250">
              <w:rPr>
                <w:bCs/>
                <w:sz w:val="18"/>
                <w:szCs w:val="18"/>
              </w:rPr>
              <w:t>barkodą</w:t>
            </w:r>
            <w:proofErr w:type="spellEnd"/>
            <w:r w:rsidRPr="00A64250">
              <w:rPr>
                <w:bCs/>
                <w:sz w:val="18"/>
                <w:szCs w:val="18"/>
              </w:rPr>
              <w:t>.</w:t>
            </w:r>
          </w:p>
          <w:p w14:paraId="170D30EB" w14:textId="063547B7" w:rsidR="001F6449" w:rsidRPr="006A36C9" w:rsidRDefault="001F6449" w:rsidP="00B30B9B">
            <w:pPr>
              <w:tabs>
                <w:tab w:val="left" w:pos="426"/>
              </w:tabs>
              <w:autoSpaceDN w:val="0"/>
              <w:textAlignment w:val="baseline"/>
              <w:rPr>
                <w:bCs/>
                <w:sz w:val="18"/>
                <w:szCs w:val="18"/>
              </w:rPr>
            </w:pPr>
            <w:r w:rsidRPr="00A64250">
              <w:rPr>
                <w:bCs/>
                <w:sz w:val="18"/>
                <w:szCs w:val="18"/>
              </w:rPr>
              <w:t>7) Elektros dingimo testas - patikrinama, ar kraujo ląstelių separatorius elektros energijos tiekimo sutrikimo atveju veikia saugiai, teisingai reaguoja į elektros dingimą, išsaugo kritinius duomenis ir, atstačius elektros tiekimą, leidžia tęsti arba korektiškai užbaigti procedūrą pagal gamintojo specifikacijas.</w:t>
            </w:r>
          </w:p>
        </w:tc>
      </w:tr>
    </w:tbl>
    <w:p w14:paraId="5FFB9964" w14:textId="77777777" w:rsidR="004221C2" w:rsidRPr="006A36C9" w:rsidRDefault="004221C2" w:rsidP="00C57AA8">
      <w:pPr>
        <w:rPr>
          <w:sz w:val="18"/>
          <w:szCs w:val="18"/>
        </w:rPr>
      </w:pPr>
    </w:p>
    <w:p w14:paraId="60E9E863" w14:textId="77777777" w:rsidR="00D82E99" w:rsidRPr="006A36C9" w:rsidRDefault="00D82E99" w:rsidP="00C57AA8">
      <w:pPr>
        <w:rPr>
          <w:sz w:val="22"/>
        </w:rPr>
      </w:pPr>
    </w:p>
    <w:sectPr w:rsidR="00D82E99" w:rsidRPr="006A36C9" w:rsidSect="00AA36C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AC11" w14:textId="77777777" w:rsidR="006A134A" w:rsidRDefault="006A134A" w:rsidP="006A36C9">
      <w:r>
        <w:separator/>
      </w:r>
    </w:p>
  </w:endnote>
  <w:endnote w:type="continuationSeparator" w:id="0">
    <w:p w14:paraId="1EDD4D17" w14:textId="77777777" w:rsidR="006A134A" w:rsidRDefault="006A134A" w:rsidP="006A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8D8F" w14:textId="77777777" w:rsidR="006A134A" w:rsidRDefault="006A134A" w:rsidP="006A36C9">
      <w:r>
        <w:separator/>
      </w:r>
    </w:p>
  </w:footnote>
  <w:footnote w:type="continuationSeparator" w:id="0">
    <w:p w14:paraId="7C17EF2A" w14:textId="77777777" w:rsidR="006A134A" w:rsidRDefault="006A134A" w:rsidP="006A3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F2"/>
    <w:multiLevelType w:val="hybridMultilevel"/>
    <w:tmpl w:val="FF8095C8"/>
    <w:lvl w:ilvl="0" w:tplc="0427000F">
      <w:start w:val="1"/>
      <w:numFmt w:val="decimal"/>
      <w:lvlText w:val="%1."/>
      <w:lvlJc w:val="left"/>
      <w:pPr>
        <w:ind w:left="540"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02036584"/>
    <w:multiLevelType w:val="multilevel"/>
    <w:tmpl w:val="921C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92D84"/>
    <w:multiLevelType w:val="hybridMultilevel"/>
    <w:tmpl w:val="3E1E6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553AC"/>
    <w:multiLevelType w:val="hybridMultilevel"/>
    <w:tmpl w:val="80AE14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C507DA"/>
    <w:multiLevelType w:val="hybridMultilevel"/>
    <w:tmpl w:val="ABBCF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DB5AEC"/>
    <w:multiLevelType w:val="hybridMultilevel"/>
    <w:tmpl w:val="583ED5A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B4F4B"/>
    <w:multiLevelType w:val="hybridMultilevel"/>
    <w:tmpl w:val="B91E6A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F399A"/>
    <w:multiLevelType w:val="multilevel"/>
    <w:tmpl w:val="FE9A1E3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E46B05"/>
    <w:multiLevelType w:val="hybridMultilevel"/>
    <w:tmpl w:val="F79E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61F6B"/>
    <w:multiLevelType w:val="multilevel"/>
    <w:tmpl w:val="F9C8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7F4B30"/>
    <w:multiLevelType w:val="hybridMultilevel"/>
    <w:tmpl w:val="583ED5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D947E2"/>
    <w:multiLevelType w:val="hybridMultilevel"/>
    <w:tmpl w:val="AADEB2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7C089F"/>
    <w:multiLevelType w:val="hybridMultilevel"/>
    <w:tmpl w:val="B33A3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F545C"/>
    <w:multiLevelType w:val="hybridMultilevel"/>
    <w:tmpl w:val="F5D48A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609B5"/>
    <w:multiLevelType w:val="hybridMultilevel"/>
    <w:tmpl w:val="FF8C43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FC246B"/>
    <w:multiLevelType w:val="multilevel"/>
    <w:tmpl w:val="B4A0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D048EB"/>
    <w:multiLevelType w:val="hybridMultilevel"/>
    <w:tmpl w:val="E0607A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6F4EFE"/>
    <w:multiLevelType w:val="hybridMultilevel"/>
    <w:tmpl w:val="5F780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B34EC9"/>
    <w:multiLevelType w:val="hybridMultilevel"/>
    <w:tmpl w:val="B91E6A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480494"/>
    <w:multiLevelType w:val="multilevel"/>
    <w:tmpl w:val="985E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F000C"/>
    <w:multiLevelType w:val="hybridMultilevel"/>
    <w:tmpl w:val="0340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55848077">
    <w:abstractNumId w:val="4"/>
  </w:num>
  <w:num w:numId="2" w16cid:durableId="1350571472">
    <w:abstractNumId w:val="0"/>
  </w:num>
  <w:num w:numId="3" w16cid:durableId="330105984">
    <w:abstractNumId w:val="3"/>
  </w:num>
  <w:num w:numId="4" w16cid:durableId="220872493">
    <w:abstractNumId w:val="17"/>
  </w:num>
  <w:num w:numId="5" w16cid:durableId="925650170">
    <w:abstractNumId w:val="1"/>
  </w:num>
  <w:num w:numId="6" w16cid:durableId="2053534867">
    <w:abstractNumId w:val="15"/>
  </w:num>
  <w:num w:numId="7" w16cid:durableId="1476602967">
    <w:abstractNumId w:val="7"/>
  </w:num>
  <w:num w:numId="8" w16cid:durableId="897596699">
    <w:abstractNumId w:val="9"/>
  </w:num>
  <w:num w:numId="9" w16cid:durableId="1225531004">
    <w:abstractNumId w:val="5"/>
  </w:num>
  <w:num w:numId="10" w16cid:durableId="683479514">
    <w:abstractNumId w:val="10"/>
  </w:num>
  <w:num w:numId="11" w16cid:durableId="2134398384">
    <w:abstractNumId w:val="20"/>
  </w:num>
  <w:num w:numId="12" w16cid:durableId="884219101">
    <w:abstractNumId w:val="16"/>
  </w:num>
  <w:num w:numId="13" w16cid:durableId="513567477">
    <w:abstractNumId w:val="13"/>
  </w:num>
  <w:num w:numId="14" w16cid:durableId="412514072">
    <w:abstractNumId w:val="2"/>
  </w:num>
  <w:num w:numId="15" w16cid:durableId="995954895">
    <w:abstractNumId w:val="8"/>
  </w:num>
  <w:num w:numId="16" w16cid:durableId="1190290103">
    <w:abstractNumId w:val="12"/>
  </w:num>
  <w:num w:numId="17" w16cid:durableId="548498302">
    <w:abstractNumId w:val="14"/>
  </w:num>
  <w:num w:numId="18" w16cid:durableId="693505083">
    <w:abstractNumId w:val="6"/>
  </w:num>
  <w:num w:numId="19" w16cid:durableId="682704693">
    <w:abstractNumId w:val="18"/>
  </w:num>
  <w:num w:numId="20" w16cid:durableId="254441248">
    <w:abstractNumId w:val="21"/>
  </w:num>
  <w:num w:numId="21" w16cid:durableId="2077967266">
    <w:abstractNumId w:val="11"/>
  </w:num>
  <w:num w:numId="22" w16cid:durableId="1758553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1F"/>
    <w:rsid w:val="0002005E"/>
    <w:rsid w:val="00046F6D"/>
    <w:rsid w:val="0008115F"/>
    <w:rsid w:val="000C0F8F"/>
    <w:rsid w:val="000D1455"/>
    <w:rsid w:val="000F20A5"/>
    <w:rsid w:val="00133D23"/>
    <w:rsid w:val="001562E6"/>
    <w:rsid w:val="001A1360"/>
    <w:rsid w:val="001F5626"/>
    <w:rsid w:val="001F6449"/>
    <w:rsid w:val="002076C5"/>
    <w:rsid w:val="0024317B"/>
    <w:rsid w:val="002B2B43"/>
    <w:rsid w:val="003509FD"/>
    <w:rsid w:val="003B5C63"/>
    <w:rsid w:val="003C54DC"/>
    <w:rsid w:val="003F33D9"/>
    <w:rsid w:val="0041485D"/>
    <w:rsid w:val="004221C2"/>
    <w:rsid w:val="00430477"/>
    <w:rsid w:val="00445EAB"/>
    <w:rsid w:val="00450859"/>
    <w:rsid w:val="00454348"/>
    <w:rsid w:val="004B7F4E"/>
    <w:rsid w:val="004D2F6C"/>
    <w:rsid w:val="004D6BE5"/>
    <w:rsid w:val="004F5E2E"/>
    <w:rsid w:val="005104A5"/>
    <w:rsid w:val="00555DB2"/>
    <w:rsid w:val="005C2D23"/>
    <w:rsid w:val="005F1134"/>
    <w:rsid w:val="00621968"/>
    <w:rsid w:val="006564C6"/>
    <w:rsid w:val="006A134A"/>
    <w:rsid w:val="006A36C9"/>
    <w:rsid w:val="006B52CF"/>
    <w:rsid w:val="00705145"/>
    <w:rsid w:val="007373CB"/>
    <w:rsid w:val="00793944"/>
    <w:rsid w:val="007D3BE7"/>
    <w:rsid w:val="00855545"/>
    <w:rsid w:val="00871173"/>
    <w:rsid w:val="008779A8"/>
    <w:rsid w:val="00880552"/>
    <w:rsid w:val="00897E5E"/>
    <w:rsid w:val="008A4D7B"/>
    <w:rsid w:val="008D6E50"/>
    <w:rsid w:val="008E51AE"/>
    <w:rsid w:val="009602CB"/>
    <w:rsid w:val="00972B83"/>
    <w:rsid w:val="009E7D1F"/>
    <w:rsid w:val="009F1C79"/>
    <w:rsid w:val="009F778F"/>
    <w:rsid w:val="00A01475"/>
    <w:rsid w:val="00A46332"/>
    <w:rsid w:val="00A46970"/>
    <w:rsid w:val="00A64250"/>
    <w:rsid w:val="00AA36CD"/>
    <w:rsid w:val="00B30B9B"/>
    <w:rsid w:val="00B82DC5"/>
    <w:rsid w:val="00B87402"/>
    <w:rsid w:val="00B913A3"/>
    <w:rsid w:val="00BA1ED6"/>
    <w:rsid w:val="00BD4EA3"/>
    <w:rsid w:val="00BE074B"/>
    <w:rsid w:val="00C030EF"/>
    <w:rsid w:val="00C072EA"/>
    <w:rsid w:val="00C211D6"/>
    <w:rsid w:val="00C57AA8"/>
    <w:rsid w:val="00C70652"/>
    <w:rsid w:val="00C908FF"/>
    <w:rsid w:val="00C92750"/>
    <w:rsid w:val="00CD1828"/>
    <w:rsid w:val="00CD6F00"/>
    <w:rsid w:val="00CF4B52"/>
    <w:rsid w:val="00D21CE8"/>
    <w:rsid w:val="00D77D58"/>
    <w:rsid w:val="00D82E99"/>
    <w:rsid w:val="00D90558"/>
    <w:rsid w:val="00D95E3C"/>
    <w:rsid w:val="00DF7EC0"/>
    <w:rsid w:val="00E107FE"/>
    <w:rsid w:val="00E929CF"/>
    <w:rsid w:val="00EA085B"/>
    <w:rsid w:val="00EB5D0C"/>
    <w:rsid w:val="00ED79F1"/>
    <w:rsid w:val="00F03203"/>
    <w:rsid w:val="00F53DC8"/>
    <w:rsid w:val="00F66C48"/>
    <w:rsid w:val="00F7107D"/>
    <w:rsid w:val="00F806F4"/>
    <w:rsid w:val="00F90CB2"/>
    <w:rsid w:val="00F94513"/>
    <w:rsid w:val="00FF579F"/>
    <w:rsid w:val="0DF3ED6B"/>
    <w:rsid w:val="126F6DB4"/>
    <w:rsid w:val="1AD212C9"/>
    <w:rsid w:val="1FEA1F78"/>
    <w:rsid w:val="315FE374"/>
    <w:rsid w:val="3B9EA0E3"/>
    <w:rsid w:val="432DB798"/>
    <w:rsid w:val="4957940A"/>
    <w:rsid w:val="4CCE5A94"/>
    <w:rsid w:val="54C4D996"/>
    <w:rsid w:val="5BDDACC2"/>
    <w:rsid w:val="7DE37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6BBC"/>
  <w15:chartTrackingRefBased/>
  <w15:docId w15:val="{F88561A3-3482-4BCD-B87F-805033F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3DC8"/>
    <w:pPr>
      <w:keepNext/>
      <w:numPr>
        <w:numId w:val="20"/>
      </w:numPr>
      <w:spacing w:before="360" w:after="360"/>
      <w:jc w:val="center"/>
      <w:outlineLvl w:val="0"/>
    </w:pPr>
    <w:rPr>
      <w:rFonts w:eastAsia="Calibri" w:cs="Times New Roman"/>
      <w:kern w:val="0"/>
      <w:sz w:val="28"/>
      <w:lang w:eastAsia="lt-LT"/>
      <w14:ligatures w14:val="none"/>
    </w:rPr>
  </w:style>
  <w:style w:type="paragraph" w:styleId="Heading2">
    <w:name w:val="heading 2"/>
    <w:aliases w:val="Title Header2"/>
    <w:basedOn w:val="Normal"/>
    <w:next w:val="Normal"/>
    <w:link w:val="Heading2Char"/>
    <w:qFormat/>
    <w:rsid w:val="00F53DC8"/>
    <w:pPr>
      <w:numPr>
        <w:ilvl w:val="1"/>
        <w:numId w:val="20"/>
      </w:numPr>
      <w:jc w:val="both"/>
      <w:outlineLvl w:val="1"/>
    </w:pPr>
    <w:rPr>
      <w:rFonts w:eastAsia="Times New Roman" w:cs="Times New Roman"/>
      <w:kern w:val="0"/>
      <w:szCs w:val="20"/>
      <w:lang w:eastAsia="lt-LT"/>
      <w14:ligatures w14:val="none"/>
    </w:rPr>
  </w:style>
  <w:style w:type="paragraph" w:styleId="Heading3">
    <w:name w:val="heading 3"/>
    <w:aliases w:val="Section Header3,Sub-Clause Paragraph"/>
    <w:basedOn w:val="Normal"/>
    <w:next w:val="Normal"/>
    <w:link w:val="Heading3Char"/>
    <w:qFormat/>
    <w:rsid w:val="00F53DC8"/>
    <w:pPr>
      <w:keepNext/>
      <w:numPr>
        <w:ilvl w:val="2"/>
        <w:numId w:val="20"/>
      </w:numPr>
      <w:jc w:val="both"/>
      <w:outlineLvl w:val="2"/>
    </w:pPr>
    <w:rPr>
      <w:rFonts w:eastAsia="Times New Roman" w:cs="Times New Roman"/>
      <w:kern w:val="0"/>
      <w:szCs w:val="20"/>
      <w:lang w:eastAsia="lt-LT"/>
      <w14:ligatures w14:val="none"/>
    </w:rPr>
  </w:style>
  <w:style w:type="paragraph" w:styleId="Heading4">
    <w:name w:val="heading 4"/>
    <w:aliases w:val="Sub-Clause Sub-paragraph,Heading 4 Char Char Char Char, Sub-Clause Sub-paragraph"/>
    <w:basedOn w:val="Normal"/>
    <w:next w:val="Normal"/>
    <w:link w:val="Heading4Char"/>
    <w:qFormat/>
    <w:rsid w:val="00F53DC8"/>
    <w:pPr>
      <w:keepNext/>
      <w:numPr>
        <w:ilvl w:val="3"/>
        <w:numId w:val="20"/>
      </w:numPr>
      <w:outlineLvl w:val="3"/>
    </w:pPr>
    <w:rPr>
      <w:rFonts w:eastAsia="Times New Roman" w:cs="Times New Roman"/>
      <w:b/>
      <w:kern w:val="0"/>
      <w:sz w:val="44"/>
      <w:szCs w:val="20"/>
      <w:lang w:eastAsia="lt-LT"/>
      <w14:ligatures w14:val="none"/>
    </w:rPr>
  </w:style>
  <w:style w:type="paragraph" w:styleId="Heading5">
    <w:name w:val="heading 5"/>
    <w:basedOn w:val="Normal"/>
    <w:next w:val="Normal"/>
    <w:link w:val="Heading5Char"/>
    <w:qFormat/>
    <w:rsid w:val="00F53DC8"/>
    <w:pPr>
      <w:keepNext/>
      <w:numPr>
        <w:ilvl w:val="4"/>
        <w:numId w:val="20"/>
      </w:numPr>
      <w:outlineLvl w:val="4"/>
    </w:pPr>
    <w:rPr>
      <w:rFonts w:eastAsia="Times New Roman" w:cs="Times New Roman"/>
      <w:b/>
      <w:kern w:val="0"/>
      <w:sz w:val="40"/>
      <w:szCs w:val="20"/>
      <w:lang w:eastAsia="lt-LT"/>
      <w14:ligatures w14:val="none"/>
    </w:rPr>
  </w:style>
  <w:style w:type="paragraph" w:styleId="Heading6">
    <w:name w:val="heading 6"/>
    <w:basedOn w:val="Normal"/>
    <w:next w:val="Normal"/>
    <w:link w:val="Heading6Char"/>
    <w:qFormat/>
    <w:rsid w:val="00F53DC8"/>
    <w:pPr>
      <w:keepNext/>
      <w:numPr>
        <w:ilvl w:val="5"/>
        <w:numId w:val="20"/>
      </w:numPr>
      <w:outlineLvl w:val="5"/>
    </w:pPr>
    <w:rPr>
      <w:rFonts w:eastAsia="Times New Roman" w:cs="Times New Roman"/>
      <w:b/>
      <w:kern w:val="0"/>
      <w:sz w:val="36"/>
      <w:szCs w:val="20"/>
      <w:lang w:eastAsia="lt-LT"/>
      <w14:ligatures w14:val="none"/>
    </w:rPr>
  </w:style>
  <w:style w:type="paragraph" w:styleId="Heading7">
    <w:name w:val="heading 7"/>
    <w:basedOn w:val="Normal"/>
    <w:next w:val="Normal"/>
    <w:link w:val="Heading7Char"/>
    <w:qFormat/>
    <w:rsid w:val="00F53DC8"/>
    <w:pPr>
      <w:keepNext/>
      <w:numPr>
        <w:ilvl w:val="6"/>
        <w:numId w:val="20"/>
      </w:numPr>
      <w:outlineLvl w:val="6"/>
    </w:pPr>
    <w:rPr>
      <w:rFonts w:eastAsia="Times New Roman" w:cs="Times New Roman"/>
      <w:kern w:val="0"/>
      <w:sz w:val="48"/>
      <w:szCs w:val="20"/>
      <w:lang w:eastAsia="lt-LT"/>
      <w14:ligatures w14:val="none"/>
    </w:rPr>
  </w:style>
  <w:style w:type="paragraph" w:styleId="Heading8">
    <w:name w:val="heading 8"/>
    <w:basedOn w:val="Normal"/>
    <w:next w:val="Normal"/>
    <w:link w:val="Heading8Char"/>
    <w:qFormat/>
    <w:rsid w:val="00F53DC8"/>
    <w:pPr>
      <w:keepNext/>
      <w:numPr>
        <w:ilvl w:val="7"/>
        <w:numId w:val="20"/>
      </w:numPr>
      <w:outlineLvl w:val="7"/>
    </w:pPr>
    <w:rPr>
      <w:rFonts w:eastAsia="Times New Roman" w:cs="Times New Roman"/>
      <w:b/>
      <w:kern w:val="0"/>
      <w:sz w:val="18"/>
      <w:szCs w:val="20"/>
      <w:lang w:eastAsia="lt-LT"/>
      <w14:ligatures w14:val="none"/>
    </w:rPr>
  </w:style>
  <w:style w:type="paragraph" w:styleId="Heading9">
    <w:name w:val="heading 9"/>
    <w:basedOn w:val="Normal"/>
    <w:next w:val="Normal"/>
    <w:link w:val="Heading9Char"/>
    <w:qFormat/>
    <w:rsid w:val="00F53DC8"/>
    <w:pPr>
      <w:keepNext/>
      <w:numPr>
        <w:ilvl w:val="8"/>
        <w:numId w:val="20"/>
      </w:numPr>
      <w:outlineLvl w:val="8"/>
    </w:pPr>
    <w:rPr>
      <w:rFonts w:eastAsia="Times New Roman" w:cs="Times New Roman"/>
      <w:kern w:val="0"/>
      <w:sz w:val="40"/>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7D1F"/>
    <w:pPr>
      <w:ind w:left="720"/>
      <w:contextualSpacing/>
    </w:pPr>
  </w:style>
  <w:style w:type="table" w:styleId="TableGrid">
    <w:name w:val="Table Grid"/>
    <w:basedOn w:val="TableNormal"/>
    <w:uiPriority w:val="39"/>
    <w:rsid w:val="009E7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908FF"/>
  </w:style>
  <w:style w:type="character" w:customStyle="1" w:styleId="Heading1Char">
    <w:name w:val="Heading 1 Char"/>
    <w:basedOn w:val="DefaultParagraphFont"/>
    <w:link w:val="Heading1"/>
    <w:rsid w:val="00F53DC8"/>
    <w:rPr>
      <w:rFonts w:eastAsia="Calibri" w:cs="Times New Roman"/>
      <w:kern w:val="0"/>
      <w:sz w:val="28"/>
      <w:lang w:eastAsia="lt-LT"/>
      <w14:ligatures w14:val="none"/>
    </w:rPr>
  </w:style>
  <w:style w:type="character" w:customStyle="1" w:styleId="Heading2Char">
    <w:name w:val="Heading 2 Char"/>
    <w:aliases w:val="Title Header2 Char"/>
    <w:basedOn w:val="DefaultParagraphFont"/>
    <w:link w:val="Heading2"/>
    <w:rsid w:val="00F53DC8"/>
    <w:rPr>
      <w:rFonts w:eastAsia="Times New Roman" w:cs="Times New Roman"/>
      <w:kern w:val="0"/>
      <w:szCs w:val="20"/>
      <w:lang w:eastAsia="lt-LT"/>
      <w14:ligatures w14:val="none"/>
    </w:rPr>
  </w:style>
  <w:style w:type="character" w:customStyle="1" w:styleId="Heading3Char">
    <w:name w:val="Heading 3 Char"/>
    <w:aliases w:val="Section Header3 Char,Sub-Clause Paragraph Char"/>
    <w:basedOn w:val="DefaultParagraphFont"/>
    <w:link w:val="Heading3"/>
    <w:rsid w:val="00F53DC8"/>
    <w:rPr>
      <w:rFonts w:eastAsia="Times New Roman" w:cs="Times New Roman"/>
      <w:kern w:val="0"/>
      <w:szCs w:val="20"/>
      <w:lang w:eastAsia="lt-LT"/>
      <w14:ligatures w14:val="none"/>
    </w:rPr>
  </w:style>
  <w:style w:type="character" w:customStyle="1" w:styleId="Heading4Char">
    <w:name w:val="Heading 4 Char"/>
    <w:aliases w:val="Sub-Clause Sub-paragraph Char,Heading 4 Char Char Char Char Char, Sub-Clause Sub-paragraph Char"/>
    <w:basedOn w:val="DefaultParagraphFont"/>
    <w:link w:val="Heading4"/>
    <w:rsid w:val="00F53DC8"/>
    <w:rPr>
      <w:rFonts w:eastAsia="Times New Roman" w:cs="Times New Roman"/>
      <w:b/>
      <w:kern w:val="0"/>
      <w:sz w:val="44"/>
      <w:szCs w:val="20"/>
      <w:lang w:eastAsia="lt-LT"/>
      <w14:ligatures w14:val="none"/>
    </w:rPr>
  </w:style>
  <w:style w:type="character" w:customStyle="1" w:styleId="Heading5Char">
    <w:name w:val="Heading 5 Char"/>
    <w:basedOn w:val="DefaultParagraphFont"/>
    <w:link w:val="Heading5"/>
    <w:rsid w:val="00F53DC8"/>
    <w:rPr>
      <w:rFonts w:eastAsia="Times New Roman" w:cs="Times New Roman"/>
      <w:b/>
      <w:kern w:val="0"/>
      <w:sz w:val="40"/>
      <w:szCs w:val="20"/>
      <w:lang w:eastAsia="lt-LT"/>
      <w14:ligatures w14:val="none"/>
    </w:rPr>
  </w:style>
  <w:style w:type="character" w:customStyle="1" w:styleId="Heading6Char">
    <w:name w:val="Heading 6 Char"/>
    <w:basedOn w:val="DefaultParagraphFont"/>
    <w:link w:val="Heading6"/>
    <w:rsid w:val="00F53DC8"/>
    <w:rPr>
      <w:rFonts w:eastAsia="Times New Roman" w:cs="Times New Roman"/>
      <w:b/>
      <w:kern w:val="0"/>
      <w:sz w:val="36"/>
      <w:szCs w:val="20"/>
      <w:lang w:eastAsia="lt-LT"/>
      <w14:ligatures w14:val="none"/>
    </w:rPr>
  </w:style>
  <w:style w:type="character" w:customStyle="1" w:styleId="Heading7Char">
    <w:name w:val="Heading 7 Char"/>
    <w:basedOn w:val="DefaultParagraphFont"/>
    <w:link w:val="Heading7"/>
    <w:rsid w:val="00F53DC8"/>
    <w:rPr>
      <w:rFonts w:eastAsia="Times New Roman" w:cs="Times New Roman"/>
      <w:kern w:val="0"/>
      <w:sz w:val="48"/>
      <w:szCs w:val="20"/>
      <w:lang w:eastAsia="lt-LT"/>
      <w14:ligatures w14:val="none"/>
    </w:rPr>
  </w:style>
  <w:style w:type="character" w:customStyle="1" w:styleId="Heading8Char">
    <w:name w:val="Heading 8 Char"/>
    <w:basedOn w:val="DefaultParagraphFont"/>
    <w:link w:val="Heading8"/>
    <w:rsid w:val="00F53DC8"/>
    <w:rPr>
      <w:rFonts w:eastAsia="Times New Roman" w:cs="Times New Roman"/>
      <w:b/>
      <w:kern w:val="0"/>
      <w:sz w:val="18"/>
      <w:szCs w:val="20"/>
      <w:lang w:eastAsia="lt-LT"/>
      <w14:ligatures w14:val="none"/>
    </w:rPr>
  </w:style>
  <w:style w:type="character" w:customStyle="1" w:styleId="Heading9Char">
    <w:name w:val="Heading 9 Char"/>
    <w:basedOn w:val="DefaultParagraphFont"/>
    <w:link w:val="Heading9"/>
    <w:rsid w:val="00F53DC8"/>
    <w:rPr>
      <w:rFonts w:eastAsia="Times New Roman" w:cs="Times New Roman"/>
      <w:kern w:val="0"/>
      <w:sz w:val="40"/>
      <w:szCs w:val="20"/>
      <w:lang w:eastAsia="lt-LT"/>
      <w14:ligatures w14:val="none"/>
    </w:rPr>
  </w:style>
  <w:style w:type="paragraph" w:styleId="Header">
    <w:name w:val="header"/>
    <w:basedOn w:val="Normal"/>
    <w:link w:val="HeaderChar"/>
    <w:uiPriority w:val="99"/>
    <w:unhideWhenUsed/>
    <w:rsid w:val="006A36C9"/>
    <w:pPr>
      <w:tabs>
        <w:tab w:val="center" w:pos="4819"/>
        <w:tab w:val="right" w:pos="9638"/>
      </w:tabs>
    </w:pPr>
  </w:style>
  <w:style w:type="character" w:customStyle="1" w:styleId="HeaderChar">
    <w:name w:val="Header Char"/>
    <w:basedOn w:val="DefaultParagraphFont"/>
    <w:link w:val="Header"/>
    <w:uiPriority w:val="99"/>
    <w:rsid w:val="006A36C9"/>
  </w:style>
  <w:style w:type="paragraph" w:styleId="Footer">
    <w:name w:val="footer"/>
    <w:basedOn w:val="Normal"/>
    <w:link w:val="FooterChar"/>
    <w:uiPriority w:val="99"/>
    <w:unhideWhenUsed/>
    <w:rsid w:val="006A36C9"/>
    <w:pPr>
      <w:tabs>
        <w:tab w:val="center" w:pos="4819"/>
        <w:tab w:val="right" w:pos="9638"/>
      </w:tabs>
    </w:pPr>
  </w:style>
  <w:style w:type="character" w:customStyle="1" w:styleId="FooterChar">
    <w:name w:val="Footer Char"/>
    <w:basedOn w:val="DefaultParagraphFont"/>
    <w:link w:val="Footer"/>
    <w:uiPriority w:val="99"/>
    <w:rsid w:val="006A36C9"/>
  </w:style>
  <w:style w:type="paragraph" w:styleId="NormalWeb">
    <w:name w:val="Normal (Web)"/>
    <w:basedOn w:val="Normal"/>
    <w:uiPriority w:val="99"/>
    <w:semiHidden/>
    <w:unhideWhenUsed/>
    <w:rsid w:val="003B5C63"/>
    <w:rPr>
      <w:rFonts w:cs="Times New Roman"/>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5364">
      <w:bodyDiv w:val="1"/>
      <w:marLeft w:val="0"/>
      <w:marRight w:val="0"/>
      <w:marTop w:val="0"/>
      <w:marBottom w:val="0"/>
      <w:divBdr>
        <w:top w:val="none" w:sz="0" w:space="0" w:color="auto"/>
        <w:left w:val="none" w:sz="0" w:space="0" w:color="auto"/>
        <w:bottom w:val="none" w:sz="0" w:space="0" w:color="auto"/>
        <w:right w:val="none" w:sz="0" w:space="0" w:color="auto"/>
      </w:divBdr>
    </w:div>
    <w:div w:id="1157962517">
      <w:bodyDiv w:val="1"/>
      <w:marLeft w:val="0"/>
      <w:marRight w:val="0"/>
      <w:marTop w:val="0"/>
      <w:marBottom w:val="0"/>
      <w:divBdr>
        <w:top w:val="none" w:sz="0" w:space="0" w:color="auto"/>
        <w:left w:val="none" w:sz="0" w:space="0" w:color="auto"/>
        <w:bottom w:val="none" w:sz="0" w:space="0" w:color="auto"/>
        <w:right w:val="none" w:sz="0" w:space="0" w:color="auto"/>
      </w:divBdr>
    </w:div>
    <w:div w:id="1271201796">
      <w:bodyDiv w:val="1"/>
      <w:marLeft w:val="0"/>
      <w:marRight w:val="0"/>
      <w:marTop w:val="0"/>
      <w:marBottom w:val="0"/>
      <w:divBdr>
        <w:top w:val="none" w:sz="0" w:space="0" w:color="auto"/>
        <w:left w:val="none" w:sz="0" w:space="0" w:color="auto"/>
        <w:bottom w:val="none" w:sz="0" w:space="0" w:color="auto"/>
        <w:right w:val="none" w:sz="0" w:space="0" w:color="auto"/>
      </w:divBdr>
    </w:div>
    <w:div w:id="1702512263">
      <w:bodyDiv w:val="1"/>
      <w:marLeft w:val="0"/>
      <w:marRight w:val="0"/>
      <w:marTop w:val="0"/>
      <w:marBottom w:val="0"/>
      <w:divBdr>
        <w:top w:val="none" w:sz="0" w:space="0" w:color="auto"/>
        <w:left w:val="none" w:sz="0" w:space="0" w:color="auto"/>
        <w:bottom w:val="none" w:sz="0" w:space="0" w:color="auto"/>
        <w:right w:val="none" w:sz="0" w:space="0" w:color="auto"/>
      </w:divBdr>
    </w:div>
    <w:div w:id="1794322481">
      <w:bodyDiv w:val="1"/>
      <w:marLeft w:val="0"/>
      <w:marRight w:val="0"/>
      <w:marTop w:val="0"/>
      <w:marBottom w:val="0"/>
      <w:divBdr>
        <w:top w:val="none" w:sz="0" w:space="0" w:color="auto"/>
        <w:left w:val="none" w:sz="0" w:space="0" w:color="auto"/>
        <w:bottom w:val="none" w:sz="0" w:space="0" w:color="auto"/>
        <w:right w:val="none" w:sz="0" w:space="0" w:color="auto"/>
      </w:divBdr>
    </w:div>
    <w:div w:id="19898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Miškinienė</dc:creator>
  <cp:keywords/>
  <dc:description/>
  <cp:lastModifiedBy>Akvilė Miškinienė</cp:lastModifiedBy>
  <cp:revision>14</cp:revision>
  <dcterms:created xsi:type="dcterms:W3CDTF">2025-11-07T06:26:00Z</dcterms:created>
  <dcterms:modified xsi:type="dcterms:W3CDTF">2026-01-13T12:03:00Z</dcterms:modified>
</cp:coreProperties>
</file>