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9771"/>
        <w:gridCol w:w="614"/>
      </w:tblGrid>
      <w:tr w:rsidR="00695E57" w14:paraId="4810B81D" w14:textId="77777777">
        <w:trPr>
          <w:trHeight w:val="99"/>
        </w:trPr>
        <w:tc>
          <w:tcPr>
            <w:tcW w:w="638" w:type="dxa"/>
          </w:tcPr>
          <w:p w14:paraId="4810B81A" w14:textId="77777777" w:rsidR="00695E57" w:rsidRDefault="00695E57"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p w14:paraId="4810B81B" w14:textId="77777777" w:rsidR="00695E57" w:rsidRDefault="00695E57">
            <w:pPr>
              <w:pStyle w:val="EmptyCellLayoutStyle"/>
              <w:spacing w:after="0" w:line="240" w:lineRule="auto"/>
            </w:pPr>
          </w:p>
        </w:tc>
        <w:tc>
          <w:tcPr>
            <w:tcW w:w="614" w:type="dxa"/>
          </w:tcPr>
          <w:p w14:paraId="4810B81C" w14:textId="77777777" w:rsidR="00695E57" w:rsidRDefault="00695E57">
            <w:pPr>
              <w:pStyle w:val="EmptyCellLayoutStyle"/>
              <w:spacing w:after="0" w:line="240" w:lineRule="auto"/>
            </w:pPr>
          </w:p>
        </w:tc>
      </w:tr>
      <w:tr w:rsidR="00695E57" w14:paraId="4810B860" w14:textId="77777777">
        <w:tc>
          <w:tcPr>
            <w:tcW w:w="638" w:type="dxa"/>
          </w:tcPr>
          <w:p w14:paraId="4810B81E" w14:textId="77777777" w:rsidR="00695E57" w:rsidRDefault="00695E57"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71"/>
            </w:tblGrid>
            <w:tr w:rsidR="00695E57" w14:paraId="4810B85D" w14:textId="77777777">
              <w:trPr>
                <w:trHeight w:val="12889"/>
              </w:trPr>
              <w:tc>
                <w:tcPr>
                  <w:tcW w:w="97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7"/>
                    <w:gridCol w:w="3257"/>
                    <w:gridCol w:w="3257"/>
                  </w:tblGrid>
                  <w:tr w:rsidR="00695E57" w14:paraId="4810B822" w14:textId="77777777">
                    <w:trPr>
                      <w:trHeight w:val="986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1F" w14:textId="77777777" w:rsidR="00695E57" w:rsidRDefault="00695E5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10B820" w14:textId="77777777" w:rsidR="00695E57" w:rsidRDefault="00C45FFC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810B866" wp14:editId="4810B867">
                              <wp:extent cx="2068344" cy="406073"/>
                              <wp:effectExtent l="0" t="0" r="0" b="0"/>
                              <wp:docPr id="1367092408" name="img2.jp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jp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68344" cy="4060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21" w14:textId="77777777" w:rsidR="00695E57" w:rsidRDefault="00695E57">
                        <w:pPr>
                          <w:spacing w:after="0" w:line="240" w:lineRule="auto"/>
                        </w:pPr>
                      </w:p>
                    </w:tc>
                  </w:tr>
                  <w:tr w:rsidR="00D97DB3" w14:paraId="4810B826" w14:textId="77777777" w:rsidTr="00D97DB3">
                    <w:trPr>
                      <w:trHeight w:val="1076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23" w14:textId="77777777" w:rsidR="00695E57" w:rsidRDefault="00695E57">
                        <w:pPr>
                          <w:spacing w:after="0" w:line="240" w:lineRule="auto"/>
                        </w:pPr>
                      </w:p>
                    </w:tc>
                  </w:tr>
                  <w:tr w:rsidR="00695E57" w14:paraId="4810B82E" w14:textId="77777777">
                    <w:trPr>
                      <w:trHeight w:val="1751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27" w14:textId="77777777" w:rsidR="00695E57" w:rsidRDefault="00695E5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28" w14:textId="77777777" w:rsidR="00695E57" w:rsidRDefault="00695E5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29" w14:textId="77777777" w:rsidR="00695E57" w:rsidRDefault="00C45FF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TVIRTINU:</w:t>
                        </w:r>
                      </w:p>
                      <w:p w14:paraId="4810B82A" w14:textId="14CE049C" w:rsidR="00695E57" w:rsidRDefault="00695E57">
                        <w:pPr>
                          <w:spacing w:after="0" w:line="240" w:lineRule="auto"/>
                          <w:jc w:val="center"/>
                        </w:pPr>
                      </w:p>
                      <w:p w14:paraId="3F6D2DDC" w14:textId="77777777" w:rsidR="009954CD" w:rsidRDefault="009954CD">
                        <w:pPr>
                          <w:spacing w:after="0" w:line="240" w:lineRule="auto"/>
                          <w:jc w:val="center"/>
                        </w:pPr>
                      </w:p>
                      <w:p w14:paraId="440252C7" w14:textId="77777777" w:rsidR="009954CD" w:rsidRDefault="009954CD">
                        <w:pPr>
                          <w:spacing w:after="0" w:line="240" w:lineRule="auto"/>
                          <w:jc w:val="center"/>
                        </w:pPr>
                      </w:p>
                      <w:p w14:paraId="4810B82B" w14:textId="77777777" w:rsidR="00695E57" w:rsidRDefault="00C45FF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(Vardo raidė, pavardė, parašas)</w:t>
                        </w:r>
                      </w:p>
                      <w:p w14:paraId="4810B82C" w14:textId="77777777" w:rsidR="00695E57" w:rsidRDefault="00C45FF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____________________</w:t>
                        </w:r>
                      </w:p>
                      <w:p w14:paraId="4810B82D" w14:textId="77777777" w:rsidR="00695E57" w:rsidRDefault="00C45FF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(data)</w:t>
                        </w:r>
                      </w:p>
                    </w:tc>
                  </w:tr>
                  <w:tr w:rsidR="00D97DB3" w14:paraId="4810B833" w14:textId="77777777" w:rsidTr="00D97DB3">
                    <w:trPr>
                      <w:trHeight w:val="136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2F" w14:textId="77777777" w:rsidR="00695E57" w:rsidRDefault="00C45FF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TECHNINĖ UŽDUOTIS VALSTYBINĖS REIKŠMĖS KELIŲ IR</w:t>
                        </w:r>
                      </w:p>
                      <w:p w14:paraId="4810B830" w14:textId="77777777" w:rsidR="00695E57" w:rsidRDefault="00C45FF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 / ARBA JŲ ELEMENTŲ PROJEKTAVIMUI</w:t>
                        </w:r>
                      </w:p>
                    </w:tc>
                  </w:tr>
                  <w:tr w:rsidR="00695E57" w14:paraId="4810B837" w14:textId="77777777">
                    <w:trPr>
                      <w:trHeight w:val="990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34" w14:textId="77777777" w:rsidR="00695E57" w:rsidRDefault="00695E5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35" w14:textId="77777777" w:rsidR="00695E57" w:rsidRDefault="00695E5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36" w14:textId="77777777" w:rsidR="00695E57" w:rsidRDefault="00695E57">
                        <w:pPr>
                          <w:spacing w:after="0" w:line="240" w:lineRule="auto"/>
                        </w:pPr>
                      </w:p>
                    </w:tc>
                  </w:tr>
                  <w:tr w:rsidR="00D97DB3" w14:paraId="4810B83B" w14:textId="77777777" w:rsidTr="00D97DB3">
                    <w:trPr>
                      <w:trHeight w:val="457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38" w14:textId="77777777" w:rsidR="00695E57" w:rsidRDefault="00C45FFC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1. Statytojas: </w:t>
                        </w:r>
                        <w:r>
                          <w:rPr>
                            <w:color w:val="000000"/>
                            <w:sz w:val="24"/>
                          </w:rPr>
                          <w:t>Akcinė bendrovė Via Lietuva.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2. Užsakovas: </w:t>
                        </w:r>
                        <w:r>
                          <w:rPr>
                            <w:color w:val="000000"/>
                            <w:sz w:val="24"/>
                          </w:rPr>
                          <w:t>Akcinė bendrovė Via Lietuva.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3. Komplekso pavadinimas: </w:t>
                        </w:r>
                        <w:r>
                          <w:rPr>
                            <w:color w:val="000000"/>
                            <w:sz w:val="24"/>
                          </w:rPr>
                          <w:t>Valstybinės reikšmės krašto kelio Nr. 130 Kaunas–Prienai–Alytus 8,298 km sankryžos rekonstravimas, techninio darbo projekto parengimas ir projekto vykdymo priežiūra.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4. Projekto pavadinimas: </w:t>
                        </w:r>
                        <w:r>
                          <w:rPr>
                            <w:color w:val="000000"/>
                            <w:sz w:val="24"/>
                          </w:rPr>
                          <w:t>Valstybinės reikšmės krašto kelio Nr. 130 Kaunas–Prienai–Alytus 8,298 km sankryžos rekonstravimas.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5. Statybos rūšis: </w:t>
                        </w:r>
                        <w:r>
                          <w:rPr>
                            <w:color w:val="000000"/>
                            <w:sz w:val="24"/>
                          </w:rPr>
                          <w:t>rekonstravimas.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6. Etapas: </w:t>
                        </w:r>
                        <w:r>
                          <w:rPr>
                            <w:color w:val="000000"/>
                            <w:sz w:val="24"/>
                          </w:rPr>
                          <w:t>techninis darbo projektas.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7. Statinio kategorija: </w:t>
                        </w:r>
                        <w:r>
                          <w:rPr>
                            <w:color w:val="000000"/>
                            <w:sz w:val="24"/>
                          </w:rPr>
                          <w:t>ypatingasis statinys.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8. Statinio rūšis: </w:t>
                        </w:r>
                        <w:r>
                          <w:rPr>
                            <w:color w:val="000000"/>
                            <w:sz w:val="24"/>
                          </w:rPr>
                          <w:t>inžinerinis statinys.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9. Inžinerinių statinių grupė: </w:t>
                        </w:r>
                        <w:r>
                          <w:rPr>
                            <w:color w:val="000000"/>
                            <w:sz w:val="24"/>
                          </w:rPr>
                          <w:t>susisiekimo komunikacijos.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10. Inžinerinių statinių pogrupis: </w:t>
                        </w:r>
                        <w:r>
                          <w:rPr>
                            <w:color w:val="000000"/>
                            <w:sz w:val="24"/>
                          </w:rPr>
                          <w:t>gatvės.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</w:p>
                    </w:tc>
                  </w:tr>
                  <w:tr w:rsidR="00D97DB3" w14:paraId="4810B83F" w14:textId="77777777" w:rsidTr="00D97DB3">
                    <w:trPr>
                      <w:trHeight w:val="446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3C" w14:textId="77777777" w:rsidR="00695E57" w:rsidRDefault="00C45FFC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11. Nurodymai statinių ir / arba jų elementų projektavimui ir jų techniniai parametrai:</w:t>
                        </w:r>
                      </w:p>
                    </w:tc>
                  </w:tr>
                  <w:tr w:rsidR="00D97DB3" w14:paraId="4810B843" w14:textId="77777777" w:rsidTr="00D97DB3">
                    <w:trPr>
                      <w:trHeight w:val="43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40" w14:textId="77777777" w:rsidR="00695E57" w:rsidRDefault="00C45FFC">
                        <w:pPr>
                          <w:spacing w:after="0" w:line="240" w:lineRule="auto"/>
                          <w:ind w:left="720" w:hanging="360"/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11.1. numatoma darbų vykdymo riba: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Valstybinės reikšmės krašto kelio Nr. 130 Kaunas–Prienai–Alytus sankryža (8,298 km) ir jos prieigos tiek, kiek tai reikalinga saugiam ir </w:t>
                        </w:r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t>sklandžiam visų eismo dalyvių eismui užtikrinti. Šią ribą tikslinti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11.2. kelio (gatvės) kategorija: </w:t>
                        </w:r>
                        <w:r>
                          <w:rPr>
                            <w:color w:val="000000"/>
                            <w:sz w:val="24"/>
                          </w:rPr>
                          <w:t>pagal VĮ Registrų centro duomenis. Gyvenvietėje projektuojama pagal STR 2.06.04:2014 „Gatvės ir vietinės reikšmės keliai. Bendrieji reikalavimai“;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11.3. projektavimo paslaugų apimtis: </w:t>
                        </w:r>
                        <w:r>
                          <w:rPr>
                            <w:color w:val="000000"/>
                            <w:sz w:val="24"/>
                          </w:rPr>
                          <w:t>projekto apimtyje atlikti sankryžos ir jos prieigų rekonstravimą, num</w:t>
                        </w:r>
                        <w:r>
                          <w:rPr>
                            <w:color w:val="000000"/>
                            <w:sz w:val="24"/>
                          </w:rPr>
                          <w:t>atyti aktualias pėsčiųjų infrastruktūros jungtis, pėsčiųjų eismo per kelią organizavimo priemones (vieta ir tipas parenkama projektavimo metu), vandens nuvedimą, apšvietimą;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11.4. pėstiesiems ir (arba) dviratininkams skirta infrastruktūra: </w:t>
                        </w:r>
                        <w:r>
                          <w:rPr>
                            <w:color w:val="000000"/>
                            <w:sz w:val="24"/>
                          </w:rPr>
                          <w:t>pagal Dviračių ir pėsčiųjų eismo infrastruktūros planavimo ir projektavimo taisyklės;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11.5. pėstiesiems ir (arba) dviratininkams skirtos infrastruktūros dangos konstrukcija: </w:t>
                        </w:r>
                        <w:r>
                          <w:rPr>
                            <w:color w:val="000000"/>
                            <w:sz w:val="24"/>
                          </w:rPr>
                          <w:t>pagal Automobilių kelių standartizuotų dangų konstrukcijų projektavimo taisykles;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11.6. dangos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konstrukcijos klasė: </w:t>
                        </w:r>
                        <w:r>
                          <w:rPr>
                            <w:color w:val="000000"/>
                            <w:sz w:val="24"/>
                          </w:rPr>
                          <w:t>pagal Automobilių kelių standartizuotų dangų konstrukcijų projektavimo taisykles;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11.7. nuovažų skaičius: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11.8. numatomi / rekonstruojami inžineriniai tinklai: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11.9. vandens nuleidimas nuo kelio: </w:t>
                        </w:r>
                        <w:r>
                          <w:rPr>
                            <w:color w:val="000000"/>
                            <w:sz w:val="24"/>
                          </w:rPr>
                          <w:t>spręsti lietaus vandens surinkimą ir nuvedimą projektavimo metu (neprojektuoti lietaus vandens nuvedimo į privačias teritorijas);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11.10. pėsčiųjų perėjimo per kelią organizavimo priemonės vieta: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 ties aktua</w:t>
                        </w:r>
                        <w:r>
                          <w:rPr>
                            <w:color w:val="000000"/>
                            <w:sz w:val="24"/>
                          </w:rPr>
                          <w:t>liomis vietomis;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11.11. pėsčiųjų perėjimo per kelią organizavimo priemonės tipas: </w:t>
                        </w:r>
                        <w:r>
                          <w:rPr>
                            <w:color w:val="000000"/>
                            <w:sz w:val="24"/>
                          </w:rPr>
                          <w:t>pagal normatyvinių dokumentų reikalavimus;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11.12. pėsčiųjų perėjimo per kelią organizavimo priemonės kryptinis apšvietimas: </w:t>
                        </w:r>
                        <w:r>
                          <w:rPr>
                            <w:color w:val="000000"/>
                            <w:sz w:val="24"/>
                          </w:rPr>
                          <w:t>numatyti;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11.13. autobusų sustojimo aikštelių skaičius: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11.14. autobusų sustojimo aikštelių paviljonų skaičius: </w:t>
                        </w:r>
                        <w:r>
                          <w:rPr>
                            <w:color w:val="000000"/>
                            <w:sz w:val="24"/>
                          </w:rPr>
                          <w:t>nustatoma projektavimo metu;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11.15. inžinerinės eismo saugos priemonės: </w:t>
                        </w:r>
                        <w:r>
                          <w:rPr>
                            <w:color w:val="000000"/>
                            <w:sz w:val="24"/>
                          </w:rPr>
                          <w:t>poreikį nustatyti projektavimo metu, vadovaujantis Inžinerinių eismo saugumo priemonių į</w:t>
                        </w:r>
                        <w:r>
                          <w:rPr>
                            <w:color w:val="000000"/>
                            <w:sz w:val="24"/>
                          </w:rPr>
                          <w:t>gyvendinimo rekomendacijomis;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11.16. apšvietimas: </w:t>
                        </w:r>
                        <w:r>
                          <w:rPr>
                            <w:color w:val="000000"/>
                            <w:sz w:val="24"/>
                          </w:rPr>
                          <w:t>numatyti esamo apšvietimo modernizavimą ir / ar suprojektuoti naują apšvietimą. Apšvietimo apskaita turi būti atskira nuo savivaldybės tinklų;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11.17. triukšmo mažinimo priemonės: </w:t>
                        </w:r>
                        <w:r>
                          <w:rPr>
                            <w:color w:val="000000"/>
                            <w:sz w:val="24"/>
                          </w:rPr>
                          <w:t>poreikį nustatyti projektavimo metu.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 </w:t>
                        </w:r>
                      </w:p>
                    </w:tc>
                  </w:tr>
                  <w:tr w:rsidR="00D97DB3" w14:paraId="4810B847" w14:textId="77777777" w:rsidTr="00D97DB3">
                    <w:trPr>
                      <w:trHeight w:val="48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44" w14:textId="77777777" w:rsidR="00695E57" w:rsidRDefault="00C45FFC">
                        <w:pPr>
                          <w:spacing w:after="0" w:line="240" w:lineRule="auto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lastRenderedPageBreak/>
                          <w:t>12. Projektuojant vadovautis šiais dokumentais:</w:t>
                        </w:r>
                      </w:p>
                    </w:tc>
                  </w:tr>
                  <w:tr w:rsidR="00D97DB3" w14:paraId="4810B84B" w14:textId="77777777" w:rsidTr="00D97DB3">
                    <w:trPr>
                      <w:trHeight w:val="581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48" w14:textId="77777777" w:rsidR="00695E57" w:rsidRDefault="00C45FFC">
                        <w:pPr>
                          <w:spacing w:after="0" w:line="240" w:lineRule="auto"/>
                          <w:ind w:left="720" w:hanging="360"/>
                        </w:pP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12.1. Lietuvos Respublikos kelių įstatymu, Lietuvos Respublikos statybos įstatymu, kelių techniniu reglamentu, statybos techniniais reglamentais, higienos normomis, kitais </w:t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lastRenderedPageBreak/>
                          <w:t xml:space="preserve">poįstatyminiais teisės aktais: </w:t>
                        </w:r>
                        <w:r>
                          <w:rPr>
                            <w:color w:val="000000"/>
                            <w:sz w:val="24"/>
                          </w:rPr>
                          <w:t>Taip;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12.2. kitais galiojančiais įstatymais, teisės aktais ir normatyviniais statybos techniniais dokumentais, įskaitant, bet neapsiribojant, nurodytais Akcinės bendrovės Via Lietuva interneto svetainėje adresu https://vialietuva.lt/normatyviniai-dokumentai : </w:t>
                        </w:r>
                        <w:r>
                          <w:rPr>
                            <w:color w:val="000000"/>
                            <w:sz w:val="24"/>
                          </w:rPr>
                          <w:t>Taip;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12.3. projekto rengimo dokumentais: </w:t>
                        </w:r>
                        <w:r>
                          <w:rPr>
                            <w:color w:val="000000"/>
                            <w:sz w:val="24"/>
                          </w:rPr>
                          <w:t>Taip;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i/>
                            <w:color w:val="000000"/>
                            <w:sz w:val="24"/>
                          </w:rPr>
                          <w:t xml:space="preserve">12.4. prisijungimo sąlygomis: </w:t>
                        </w:r>
                        <w:r>
                          <w:rPr>
                            <w:color w:val="000000"/>
                            <w:sz w:val="24"/>
                          </w:rPr>
                          <w:t>Taip.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 </w:t>
                        </w:r>
                      </w:p>
                    </w:tc>
                  </w:tr>
                  <w:tr w:rsidR="00D97DB3" w14:paraId="4810B84F" w14:textId="77777777" w:rsidTr="00D97DB3">
                    <w:trPr>
                      <w:trHeight w:val="1135"/>
                    </w:trPr>
                    <w:tc>
                      <w:tcPr>
                        <w:tcW w:w="325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662390" w14:textId="77777777" w:rsidR="00D97DB3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lastRenderedPageBreak/>
                          <w:t xml:space="preserve">13. Finansavimo šaltinis: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>Kelių priežiūros ir plėtros programos lėšos.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14. Projekto apimtis: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t>Pagal STR 1.04.04:2017 „Statinio projektavimas, projekto ekspertizė“.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15. Papildomos paslaugos (paslaugos, deleguotos Statytojo projektuotojui):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- atlikti eismo srautų modeliavimą ir parinkti priimtiniausią sankryžų pertvarkymo variantą; </w:t>
                        </w:r>
                      </w:p>
                      <w:p w14:paraId="019E159D" w14:textId="77777777" w:rsidR="00D97DB3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- parinkti ne mažiau kaip 2 sankryžų pertvarkymo alternatyvas; </w:t>
                        </w:r>
                      </w:p>
                      <w:p w14:paraId="7B9EC0D1" w14:textId="77777777" w:rsidR="00D97DB3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- projektuojant šviesoforų įrangą bei vertikalųjį ir horizontalųjį ženklinimą, remtis Priedu Nr.8; </w:t>
                        </w:r>
                      </w:p>
                      <w:p w14:paraId="4A6D745D" w14:textId="77777777" w:rsidR="007A2D37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- atlikti kitas papildomas paslaugas kaip tai numato Techninė specifikacija ir Sutarties sąlygos.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16. Su šia užduotimi pateikiami Statytojo privalomieji ir kiti dokumentai projektui rengti bei šių dokumentų pateikimo laikotarpis: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Techninė specifikacija su priedais: </w:t>
                        </w:r>
                      </w:p>
                      <w:p w14:paraId="6F5E107F" w14:textId="77777777" w:rsidR="007816EB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Priedas Nr. 1. Prašymo forma „Dėl ekspertizės atlikimo“; </w:t>
                        </w:r>
                      </w:p>
                      <w:p w14:paraId="09BCB19A" w14:textId="77777777" w:rsidR="007816EB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Priedas Nr. 2. Prašymo forma „Dėl projekto perdavimo statytojo (užsakovo) tvirtinimui“; </w:t>
                        </w:r>
                      </w:p>
                      <w:p w14:paraId="47217FEF" w14:textId="77777777" w:rsidR="007816EB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Priedas Nr. 3. Prašymo forma „Dėl projekto perdavimo po rangos darbų pirkimo“; </w:t>
                        </w:r>
                      </w:p>
                      <w:p w14:paraId="0CA68756" w14:textId="77777777" w:rsidR="007816EB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Priedas Nr. 4. Bendrųjų statinio rodiklių forma; </w:t>
                        </w:r>
                      </w:p>
                      <w:p w14:paraId="581A6D6A" w14:textId="77777777" w:rsidR="007816EB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Priedas Nr. 5. Statinio fizinių rodiklių sąrašas; </w:t>
                        </w:r>
                      </w:p>
                      <w:p w14:paraId="39F31148" w14:textId="77777777" w:rsidR="007816EB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Priedas Nr. 6. Naujų projektų laidų parengimo gairės; </w:t>
                        </w:r>
                      </w:p>
                      <w:p w14:paraId="1697615D" w14:textId="77777777" w:rsidR="007816EB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Priedas Nr. 7. Reikalavimai žiniaraščiams; </w:t>
                        </w:r>
                      </w:p>
                      <w:p w14:paraId="49599A63" w14:textId="77777777" w:rsidR="007816EB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 xml:space="preserve">Priedas Nr. 8. Reikalavimai šviesoforais reguliuojamų perėjų ir sankryžų projektavimui. </w:t>
                        </w:r>
                      </w:p>
                      <w:p w14:paraId="4E815DEE" w14:textId="77777777" w:rsidR="00FE4A01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Kadastrinių matavimų bylos (pateikiama pasirašius paslaugų sutartį).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17. Žemės sklypo statinio teisinės registracijos Nekilnojamojo turto registre duomenys: 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- žemės sklypo unikalus numeris: 4400-4339-7435, 4400-4013-3717; </w:t>
                        </w:r>
                      </w:p>
                      <w:p w14:paraId="4810B84C" w14:textId="38E1A056" w:rsidR="00695E57" w:rsidRPr="00961EEB" w:rsidRDefault="00C45FFC">
                        <w:pPr>
                          <w:spacing w:after="0" w:line="240" w:lineRule="auto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- inžinerinio statinio unikalus numeris: 4400-2234-6328.</w:t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</w:r>
                        <w:r>
                          <w:rPr>
                            <w:color w:val="000000"/>
                            <w:sz w:val="24"/>
                          </w:rPr>
                          <w:br/>
                          <w:t xml:space="preserve"> </w:t>
                        </w:r>
                      </w:p>
                    </w:tc>
                  </w:tr>
                  <w:tr w:rsidR="00695E57" w14:paraId="4810B85B" w14:textId="77777777">
                    <w:trPr>
                      <w:trHeight w:val="2256"/>
                    </w:trPr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50" w14:textId="77777777" w:rsidR="00695E57" w:rsidRDefault="00695E57">
                        <w:pPr>
                          <w:spacing w:after="0" w:line="240" w:lineRule="auto"/>
                          <w:jc w:val="center"/>
                        </w:pPr>
                      </w:p>
                      <w:p w14:paraId="4810B851" w14:textId="77777777" w:rsidR="00695E57" w:rsidRDefault="00C45FF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STATYTOJAS</w:t>
                        </w:r>
                      </w:p>
                      <w:p w14:paraId="4810B852" w14:textId="77777777" w:rsidR="00695E57" w:rsidRDefault="00C45FF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Akcinė bendrovė Via Lietuva</w:t>
                        </w:r>
                      </w:p>
                      <w:p w14:paraId="4810B853" w14:textId="77777777" w:rsidR="00695E57" w:rsidRDefault="00695E57">
                        <w:pPr>
                          <w:spacing w:after="0" w:line="240" w:lineRule="auto"/>
                          <w:jc w:val="center"/>
                        </w:pPr>
                      </w:p>
                      <w:p w14:paraId="4810B854" w14:textId="77777777" w:rsidR="00695E57" w:rsidRDefault="00C45FF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(vardas, pavardė, parašas, data)</w:t>
                        </w: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55" w14:textId="77777777" w:rsidR="00695E57" w:rsidRDefault="00695E5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25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810B856" w14:textId="77777777" w:rsidR="00695E57" w:rsidRDefault="00695E57">
                        <w:pPr>
                          <w:spacing w:after="0" w:line="240" w:lineRule="auto"/>
                          <w:jc w:val="center"/>
                        </w:pPr>
                      </w:p>
                      <w:p w14:paraId="4810B857" w14:textId="77777777" w:rsidR="00695E57" w:rsidRDefault="00C45FF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PROJEKTUOTOJAS</w:t>
                        </w:r>
                      </w:p>
                      <w:p w14:paraId="4810B858" w14:textId="77777777" w:rsidR="00695E57" w:rsidRDefault="00695E57">
                        <w:pPr>
                          <w:spacing w:after="0" w:line="240" w:lineRule="auto"/>
                          <w:jc w:val="center"/>
                        </w:pPr>
                      </w:p>
                      <w:p w14:paraId="4810B859" w14:textId="77777777" w:rsidR="00695E57" w:rsidRDefault="00695E57">
                        <w:pPr>
                          <w:spacing w:after="0" w:line="240" w:lineRule="auto"/>
                          <w:jc w:val="center"/>
                        </w:pPr>
                      </w:p>
                      <w:p w14:paraId="4810B85A" w14:textId="77777777" w:rsidR="00695E57" w:rsidRDefault="00C45FF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24"/>
                          </w:rPr>
                          <w:t>(vardas, pavardė, parašas, data)</w:t>
                        </w:r>
                      </w:p>
                    </w:tc>
                  </w:tr>
                </w:tbl>
                <w:p w14:paraId="4810B85C" w14:textId="77777777" w:rsidR="00695E57" w:rsidRDefault="00695E57">
                  <w:pPr>
                    <w:spacing w:after="0" w:line="240" w:lineRule="auto"/>
                  </w:pPr>
                </w:p>
              </w:tc>
            </w:tr>
          </w:tbl>
          <w:p w14:paraId="4810B85E" w14:textId="77777777" w:rsidR="00695E57" w:rsidRDefault="00695E57">
            <w:pPr>
              <w:spacing w:after="0" w:line="240" w:lineRule="auto"/>
            </w:pPr>
          </w:p>
        </w:tc>
        <w:tc>
          <w:tcPr>
            <w:tcW w:w="614" w:type="dxa"/>
          </w:tcPr>
          <w:p w14:paraId="4810B85F" w14:textId="77777777" w:rsidR="00695E57" w:rsidRDefault="00695E57">
            <w:pPr>
              <w:pStyle w:val="EmptyCellLayoutStyle"/>
              <w:spacing w:after="0" w:line="240" w:lineRule="auto"/>
            </w:pPr>
          </w:p>
        </w:tc>
      </w:tr>
      <w:tr w:rsidR="00695E57" w14:paraId="4810B864" w14:textId="77777777">
        <w:trPr>
          <w:trHeight w:val="952"/>
        </w:trPr>
        <w:tc>
          <w:tcPr>
            <w:tcW w:w="638" w:type="dxa"/>
          </w:tcPr>
          <w:p w14:paraId="4810B861" w14:textId="77777777" w:rsidR="00695E57" w:rsidRDefault="00695E57">
            <w:pPr>
              <w:pStyle w:val="EmptyCellLayoutStyle"/>
              <w:spacing w:after="0" w:line="240" w:lineRule="auto"/>
            </w:pPr>
          </w:p>
        </w:tc>
        <w:tc>
          <w:tcPr>
            <w:tcW w:w="9771" w:type="dxa"/>
          </w:tcPr>
          <w:p w14:paraId="4810B862" w14:textId="77777777" w:rsidR="00695E57" w:rsidRDefault="00695E57">
            <w:pPr>
              <w:pStyle w:val="EmptyCellLayoutStyle"/>
              <w:spacing w:after="0" w:line="240" w:lineRule="auto"/>
            </w:pPr>
          </w:p>
        </w:tc>
        <w:tc>
          <w:tcPr>
            <w:tcW w:w="614" w:type="dxa"/>
          </w:tcPr>
          <w:p w14:paraId="4810B863" w14:textId="77777777" w:rsidR="00695E57" w:rsidRDefault="00695E57">
            <w:pPr>
              <w:pStyle w:val="EmptyCellLayoutStyle"/>
              <w:spacing w:after="0" w:line="240" w:lineRule="auto"/>
            </w:pPr>
          </w:p>
        </w:tc>
      </w:tr>
    </w:tbl>
    <w:p w14:paraId="4810B865" w14:textId="77777777" w:rsidR="00695E57" w:rsidRDefault="00695E57" w:rsidP="0049303F">
      <w:pPr>
        <w:spacing w:after="0" w:line="240" w:lineRule="auto"/>
      </w:pPr>
    </w:p>
    <w:sectPr w:rsidR="00695E57" w:rsidSect="00524B49">
      <w:pgSz w:w="12584" w:h="16837"/>
      <w:pgMar w:top="993" w:right="566" w:bottom="1560" w:left="992" w:header="1559" w:footer="1133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6692637">
    <w:abstractNumId w:val="0"/>
  </w:num>
  <w:num w:numId="2" w16cid:durableId="992955641">
    <w:abstractNumId w:val="1"/>
  </w:num>
  <w:num w:numId="3" w16cid:durableId="846020781">
    <w:abstractNumId w:val="2"/>
  </w:num>
  <w:num w:numId="4" w16cid:durableId="1468744934">
    <w:abstractNumId w:val="3"/>
  </w:num>
  <w:num w:numId="5" w16cid:durableId="1839150052">
    <w:abstractNumId w:val="4"/>
  </w:num>
  <w:num w:numId="6" w16cid:durableId="1513034975">
    <w:abstractNumId w:val="5"/>
  </w:num>
  <w:num w:numId="7" w16cid:durableId="667363754">
    <w:abstractNumId w:val="6"/>
  </w:num>
  <w:num w:numId="8" w16cid:durableId="487134692">
    <w:abstractNumId w:val="7"/>
  </w:num>
  <w:num w:numId="9" w16cid:durableId="1550805000">
    <w:abstractNumId w:val="8"/>
  </w:num>
  <w:num w:numId="10" w16cid:durableId="1904291878">
    <w:abstractNumId w:val="9"/>
  </w:num>
  <w:num w:numId="11" w16cid:durableId="2098749349">
    <w:abstractNumId w:val="10"/>
  </w:num>
  <w:num w:numId="12" w16cid:durableId="987200624">
    <w:abstractNumId w:val="11"/>
  </w:num>
  <w:num w:numId="13" w16cid:durableId="109470045">
    <w:abstractNumId w:val="12"/>
  </w:num>
  <w:num w:numId="14" w16cid:durableId="1079212574">
    <w:abstractNumId w:val="13"/>
  </w:num>
  <w:num w:numId="15" w16cid:durableId="1222982924">
    <w:abstractNumId w:val="14"/>
  </w:num>
  <w:num w:numId="16" w16cid:durableId="1645239595">
    <w:abstractNumId w:val="15"/>
  </w:num>
  <w:num w:numId="17" w16cid:durableId="71776871">
    <w:abstractNumId w:val="16"/>
  </w:num>
  <w:num w:numId="18" w16cid:durableId="763766897">
    <w:abstractNumId w:val="17"/>
  </w:num>
  <w:num w:numId="19" w16cid:durableId="693306873">
    <w:abstractNumId w:val="18"/>
  </w:num>
  <w:num w:numId="20" w16cid:durableId="1653295610">
    <w:abstractNumId w:val="19"/>
  </w:num>
  <w:num w:numId="21" w16cid:durableId="947858245">
    <w:abstractNumId w:val="20"/>
  </w:num>
  <w:num w:numId="22" w16cid:durableId="344208426">
    <w:abstractNumId w:val="21"/>
  </w:num>
  <w:num w:numId="23" w16cid:durableId="1755861558">
    <w:abstractNumId w:val="22"/>
  </w:num>
  <w:num w:numId="24" w16cid:durableId="12704328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57"/>
    <w:rsid w:val="001160E9"/>
    <w:rsid w:val="002A404C"/>
    <w:rsid w:val="00454621"/>
    <w:rsid w:val="0047281B"/>
    <w:rsid w:val="0049303F"/>
    <w:rsid w:val="00524B49"/>
    <w:rsid w:val="005A78DE"/>
    <w:rsid w:val="0065161D"/>
    <w:rsid w:val="00695E57"/>
    <w:rsid w:val="007816EB"/>
    <w:rsid w:val="007A2D37"/>
    <w:rsid w:val="008108CB"/>
    <w:rsid w:val="00824B31"/>
    <w:rsid w:val="00961EEB"/>
    <w:rsid w:val="009954CD"/>
    <w:rsid w:val="009E23FB"/>
    <w:rsid w:val="00A9722A"/>
    <w:rsid w:val="00CD3E8E"/>
    <w:rsid w:val="00D97DB3"/>
    <w:rsid w:val="00F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B81A"/>
  <w15:docId w15:val="{30F69A7E-60D7-4EA9-8AE2-CC8485AB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3569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Technine uzduotis</vt:lpstr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Technine uzduotis</dc:title>
  <dc:creator/>
  <dc:description/>
  <cp:lastModifiedBy>Antanas Narbutas</cp:lastModifiedBy>
  <cp:revision>4</cp:revision>
  <dcterms:created xsi:type="dcterms:W3CDTF">2025-11-27T06:42:00Z</dcterms:created>
  <dcterms:modified xsi:type="dcterms:W3CDTF">2025-11-27T06:43:00Z</dcterms:modified>
</cp:coreProperties>
</file>