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36BFD48"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00F731E3">
        <w:rPr>
          <w:b/>
          <w:sz w:val="18"/>
          <w:szCs w:val="18"/>
        </w:rPr>
        <w:t>12</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178BFA85" w14:textId="4318B564" w:rsidR="00F17EB1" w:rsidRPr="00E0037A" w:rsidRDefault="00F17EB1" w:rsidP="00F17EB1">
      <w:pPr>
        <w:jc w:val="center"/>
        <w:rPr>
          <w:b/>
          <w:sz w:val="18"/>
          <w:szCs w:val="18"/>
        </w:rPr>
      </w:pPr>
      <w:r w:rsidRPr="00A35C2C">
        <w:rPr>
          <w:b/>
          <w:sz w:val="18"/>
          <w:szCs w:val="18"/>
        </w:rPr>
        <w:t>(parengta pagal Bendrųjų sąlygų 202</w:t>
      </w:r>
      <w:r w:rsidR="00B2252E">
        <w:rPr>
          <w:b/>
          <w:sz w:val="18"/>
          <w:szCs w:val="18"/>
        </w:rPr>
        <w:t>4</w:t>
      </w:r>
      <w:r w:rsidRPr="00A35C2C">
        <w:rPr>
          <w:b/>
          <w:sz w:val="18"/>
          <w:szCs w:val="18"/>
        </w:rPr>
        <w:t>-</w:t>
      </w:r>
      <w:r w:rsidR="001148AC" w:rsidRPr="00A35C2C">
        <w:rPr>
          <w:b/>
          <w:sz w:val="18"/>
          <w:szCs w:val="18"/>
        </w:rPr>
        <w:t>0</w:t>
      </w:r>
      <w:r w:rsidR="005B7D67">
        <w:rPr>
          <w:b/>
          <w:sz w:val="18"/>
          <w:szCs w:val="18"/>
        </w:rPr>
        <w:t>5</w:t>
      </w:r>
      <w:r w:rsidR="001148AC" w:rsidRPr="00A35C2C">
        <w:rPr>
          <w:b/>
          <w:sz w:val="18"/>
          <w:szCs w:val="18"/>
        </w:rPr>
        <w:t>-</w:t>
      </w:r>
      <w:r w:rsidR="005B7D67">
        <w:rPr>
          <w:b/>
          <w:sz w:val="18"/>
          <w:szCs w:val="18"/>
        </w:rPr>
        <w:t>29</w:t>
      </w:r>
      <w:r w:rsidRPr="00A35C2C">
        <w:rPr>
          <w:b/>
          <w:sz w:val="18"/>
          <w:szCs w:val="18"/>
        </w:rPr>
        <w:t xml:space="preserve"> redakciją)</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27F30FAD" w:rsidR="009856FF" w:rsidRPr="00AC2E17" w:rsidRDefault="00AC2E17">
      <w:pPr>
        <w:jc w:val="center"/>
        <w:rPr>
          <w:bCs/>
          <w:i/>
          <w:iCs/>
          <w:sz w:val="18"/>
          <w:szCs w:val="18"/>
        </w:rPr>
      </w:pPr>
      <w:r w:rsidRPr="00AC2E17">
        <w:rPr>
          <w:bCs/>
          <w:i/>
          <w:iCs/>
          <w:sz w:val="18"/>
          <w:szCs w:val="18"/>
          <w:highlight w:val="lightGray"/>
        </w:rPr>
        <w:t xml:space="preserve">Pastaba – susitarimo turinys negali būti keičiamas, išskyrus informacijos įrašymą arba patikslinimą pilkai </w:t>
      </w:r>
      <w:r w:rsidR="00C33215">
        <w:rPr>
          <w:bCs/>
          <w:i/>
          <w:iCs/>
          <w:sz w:val="18"/>
          <w:szCs w:val="18"/>
          <w:highlight w:val="lightGray"/>
        </w:rPr>
        <w:t>paryškintose</w:t>
      </w:r>
      <w:r w:rsidR="00C33215" w:rsidRPr="00AC2E17">
        <w:rPr>
          <w:bCs/>
          <w:i/>
          <w:iCs/>
          <w:sz w:val="18"/>
          <w:szCs w:val="18"/>
          <w:highlight w:val="lightGray"/>
        </w:rPr>
        <w:t xml:space="preserve"> </w:t>
      </w:r>
      <w:r w:rsidRPr="00AC2E17">
        <w:rPr>
          <w:bCs/>
          <w:i/>
          <w:iCs/>
          <w:sz w:val="18"/>
          <w:szCs w:val="18"/>
          <w:highlight w:val="lightGray"/>
        </w:rPr>
        <w:t>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 xml:space="preserve">DĖL TIESIOGINIO ATSISKAITYMO NR. </w:t>
      </w:r>
      <w:r w:rsidRPr="00C33215">
        <w:rPr>
          <w:b/>
          <w:sz w:val="18"/>
          <w:szCs w:val="18"/>
          <w:highlight w:val="lightGray"/>
        </w:rPr>
        <w:t>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t.y.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36ED5041"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 xml:space="preserve">.10 punktą yra </w:t>
      </w:r>
      <w:r w:rsidRPr="00B40008">
        <w:rPr>
          <w:color w:val="000000"/>
          <w:sz w:val="18"/>
          <w:szCs w:val="18"/>
          <w:highlight w:val="lightGray"/>
        </w:rPr>
        <w:t>15 kalendorinių dienų</w:t>
      </w:r>
      <w:r w:rsidRPr="00B40008">
        <w:rPr>
          <w:color w:val="000000"/>
          <w:sz w:val="18"/>
          <w:szCs w:val="18"/>
        </w:rPr>
        <w:t xml:space="preserve">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4EB3FAB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delspinigiai už pavėluotus mokėjimus pagal Sutartį yra </w:t>
      </w:r>
      <w:r w:rsidRPr="00B40008">
        <w:rPr>
          <w:color w:val="000000"/>
          <w:sz w:val="18"/>
          <w:szCs w:val="18"/>
          <w:highlight w:val="lightGray"/>
        </w:rPr>
        <w:t>0,04</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even" r:id="rId12"/>
          <w:headerReference w:type="default" r:id="rId13"/>
          <w:footerReference w:type="even" r:id="rId14"/>
          <w:footerReference w:type="default" r:id="rId15"/>
          <w:headerReference w:type="first" r:id="rId16"/>
          <w:footerReference w:type="first" r:id="rId17"/>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CBFE572" w14:textId="77777777" w:rsidR="00F300E7"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r w:rsidR="00F300E7">
        <w:rPr>
          <w:color w:val="000000"/>
          <w:sz w:val="18"/>
          <w:szCs w:val="18"/>
        </w:rPr>
        <w:t>;</w:t>
      </w:r>
    </w:p>
    <w:p w14:paraId="38D20B6C" w14:textId="77777777" w:rsidR="00F300E7" w:rsidRDefault="00F300E7" w:rsidP="00F300E7">
      <w:pPr>
        <w:pStyle w:val="Sraopastraipa"/>
        <w:rPr>
          <w:color w:val="000000"/>
          <w:sz w:val="18"/>
          <w:szCs w:val="18"/>
        </w:rPr>
      </w:pPr>
    </w:p>
    <w:p w14:paraId="00000033" w14:textId="0A8CBD22" w:rsidR="009856FF" w:rsidRPr="00B40008" w:rsidRDefault="00F300E7">
      <w:pPr>
        <w:numPr>
          <w:ilvl w:val="2"/>
          <w:numId w:val="1"/>
        </w:numPr>
        <w:pBdr>
          <w:top w:val="nil"/>
          <w:left w:val="nil"/>
          <w:bottom w:val="nil"/>
          <w:right w:val="nil"/>
          <w:between w:val="nil"/>
        </w:pBdr>
        <w:ind w:left="0" w:firstLine="0"/>
        <w:rPr>
          <w:color w:val="000000"/>
          <w:sz w:val="18"/>
          <w:szCs w:val="18"/>
        </w:rPr>
      </w:pPr>
      <w:r w:rsidRPr="00F300E7">
        <w:rPr>
          <w:b/>
          <w:bCs/>
          <w:color w:val="000000"/>
          <w:sz w:val="18"/>
          <w:szCs w:val="18"/>
        </w:rPr>
        <w:t>Subrangos sutartis</w:t>
      </w:r>
      <w:r>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w:t>
      </w:r>
      <w:r>
        <w:rPr>
          <w:color w:val="000000"/>
          <w:sz w:val="18"/>
          <w:szCs w:val="18"/>
        </w:rPr>
        <w:t>sub</w:t>
      </w:r>
      <w:r w:rsidRPr="00B40008">
        <w:rPr>
          <w:color w:val="000000"/>
          <w:sz w:val="18"/>
          <w:szCs w:val="18"/>
        </w:rPr>
        <w:t xml:space="preserve">rangos sutartis </w:t>
      </w:r>
      <w:r w:rsidRPr="00B40008">
        <w:rPr>
          <w:color w:val="000000"/>
          <w:sz w:val="18"/>
          <w:szCs w:val="18"/>
          <w:highlight w:val="lightGray"/>
        </w:rPr>
        <w:t>Nr. ____</w:t>
      </w:r>
      <w:r w:rsidRPr="00B40008">
        <w:rPr>
          <w:color w:val="000000"/>
          <w:sz w:val="18"/>
          <w:szCs w:val="18"/>
        </w:rPr>
        <w:t>, kurią sudarė Rangov</w:t>
      </w:r>
      <w:r w:rsidR="00FC3053">
        <w:rPr>
          <w:color w:val="000000"/>
          <w:sz w:val="18"/>
          <w:szCs w:val="18"/>
        </w:rPr>
        <w:t>as</w:t>
      </w:r>
      <w:r w:rsidR="00632E7B">
        <w:rPr>
          <w:color w:val="000000"/>
          <w:sz w:val="18"/>
          <w:szCs w:val="18"/>
        </w:rPr>
        <w:t xml:space="preserve"> (arba Rangovo subrangovas)</w:t>
      </w:r>
      <w:r w:rsidR="00FC3053">
        <w:rPr>
          <w:color w:val="000000"/>
          <w:sz w:val="18"/>
          <w:szCs w:val="18"/>
        </w:rPr>
        <w:t xml:space="preserve"> ir</w:t>
      </w:r>
      <w:r>
        <w:rPr>
          <w:color w:val="000000"/>
          <w:sz w:val="18"/>
          <w:szCs w:val="18"/>
        </w:rPr>
        <w:t xml:space="preserve"> </w:t>
      </w:r>
      <w:r w:rsidR="00FC3053">
        <w:rPr>
          <w:color w:val="000000"/>
          <w:sz w:val="18"/>
          <w:szCs w:val="18"/>
        </w:rPr>
        <w:t xml:space="preserve">Subrangovas </w:t>
      </w:r>
      <w:r>
        <w:rPr>
          <w:color w:val="000000"/>
          <w:sz w:val="18"/>
          <w:szCs w:val="18"/>
        </w:rPr>
        <w:t>dėl Darbų atlikimo</w:t>
      </w:r>
      <w:r w:rsidR="009727F0" w:rsidRPr="00B40008">
        <w:rPr>
          <w:color w:val="000000"/>
          <w:sz w:val="18"/>
          <w:szCs w:val="18"/>
        </w:rPr>
        <w:t>.</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A73C2B4"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r w:rsidR="00B2252E" w:rsidRPr="00B40008">
        <w:rPr>
          <w:color w:val="000000"/>
          <w:sz w:val="18"/>
          <w:szCs w:val="18"/>
        </w:rPr>
        <w:t>Sub</w:t>
      </w:r>
      <w:r w:rsidR="00B2252E">
        <w:rPr>
          <w:color w:val="000000"/>
          <w:sz w:val="18"/>
          <w:szCs w:val="18"/>
        </w:rPr>
        <w:t>rangovas</w:t>
      </w:r>
      <w:r w:rsidR="00B2252E" w:rsidRPr="00B40008">
        <w:rPr>
          <w:color w:val="000000"/>
          <w:sz w:val="18"/>
          <w:szCs w:val="18"/>
        </w:rPr>
        <w:t xml:space="preserve"> neturi teisės </w:t>
      </w:r>
      <w:r w:rsidR="00B2252E">
        <w:rPr>
          <w:color w:val="000000"/>
          <w:sz w:val="18"/>
          <w:szCs w:val="18"/>
        </w:rPr>
        <w:t>kreiptis</w:t>
      </w:r>
      <w:r w:rsidR="00B2252E" w:rsidRPr="00B40008">
        <w:rPr>
          <w:color w:val="000000"/>
          <w:sz w:val="18"/>
          <w:szCs w:val="18"/>
        </w:rPr>
        <w:t xml:space="preserve"> tiesiogiai </w:t>
      </w:r>
      <w:r w:rsidR="00B2252E">
        <w:rPr>
          <w:color w:val="000000"/>
          <w:sz w:val="18"/>
          <w:szCs w:val="18"/>
        </w:rPr>
        <w:t xml:space="preserve">į </w:t>
      </w:r>
      <w:r w:rsidR="00B2252E" w:rsidRPr="00B40008">
        <w:rPr>
          <w:color w:val="000000"/>
          <w:sz w:val="18"/>
          <w:szCs w:val="18"/>
        </w:rPr>
        <w:t>Užsakov</w:t>
      </w:r>
      <w:r w:rsidR="00B2252E">
        <w:rPr>
          <w:color w:val="000000"/>
          <w:sz w:val="18"/>
          <w:szCs w:val="18"/>
        </w:rPr>
        <w:t xml:space="preserve">ą dėl Darbų patikrinimo, jis privalo kreiptis į </w:t>
      </w:r>
      <w:r w:rsidR="00632E7B">
        <w:rPr>
          <w:color w:val="000000"/>
          <w:sz w:val="18"/>
          <w:szCs w:val="18"/>
        </w:rPr>
        <w:t>savo užsakovą</w:t>
      </w:r>
      <w:r w:rsidR="00B2252E">
        <w:rPr>
          <w:color w:val="000000"/>
          <w:sz w:val="18"/>
          <w:szCs w:val="18"/>
        </w:rPr>
        <w:t xml:space="preserve"> pagal Subrangos sutarties sąlygas</w:t>
      </w:r>
      <w:r w:rsidR="00B2252E" w:rsidRPr="00B40008">
        <w:rPr>
          <w:color w:val="000000"/>
          <w:sz w:val="18"/>
          <w:szCs w:val="18"/>
        </w:rPr>
        <w:t>.</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506AFBB"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7C1804">
        <w:rPr>
          <w:color w:val="000000"/>
          <w:sz w:val="18"/>
          <w:szCs w:val="18"/>
        </w:rPr>
        <w:t>, tokiu būdu pats užtikrindamas, kad</w:t>
      </w:r>
      <w:r w:rsidR="007C1804" w:rsidRPr="007C1804">
        <w:rPr>
          <w:color w:val="000000"/>
          <w:sz w:val="18"/>
          <w:szCs w:val="18"/>
        </w:rPr>
        <w:t xml:space="preserve"> </w:t>
      </w:r>
      <w:r w:rsidR="007C1804">
        <w:rPr>
          <w:color w:val="000000"/>
          <w:sz w:val="18"/>
          <w:szCs w:val="18"/>
        </w:rPr>
        <w:t xml:space="preserve">Subrangovui nebūtų mokami </w:t>
      </w:r>
      <w:r w:rsidR="007C1804" w:rsidRPr="007C1804">
        <w:rPr>
          <w:color w:val="000000"/>
          <w:sz w:val="18"/>
          <w:szCs w:val="18"/>
        </w:rPr>
        <w:t>nepagrįsti mokėjima</w:t>
      </w:r>
      <w:r w:rsidR="007C1804">
        <w:rPr>
          <w:color w:val="000000"/>
          <w:sz w:val="18"/>
          <w:szCs w:val="18"/>
        </w:rPr>
        <w:t>i</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53177511"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lastRenderedPageBreak/>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w:t>
      </w:r>
      <w:r w:rsidR="007C1804">
        <w:rPr>
          <w:color w:val="000000"/>
          <w:sz w:val="18"/>
          <w:szCs w:val="18"/>
        </w:rPr>
        <w:t xml:space="preserve">arba pasirašytą Subrangovo, arba </w:t>
      </w:r>
      <w:r w:rsidR="00C80C31">
        <w:rPr>
          <w:color w:val="000000"/>
          <w:sz w:val="18"/>
          <w:szCs w:val="18"/>
        </w:rPr>
        <w:t xml:space="preserve">su Subrangovo </w:t>
      </w:r>
      <w:r w:rsidR="007C1804">
        <w:rPr>
          <w:color w:val="000000"/>
          <w:sz w:val="18"/>
          <w:szCs w:val="18"/>
        </w:rPr>
        <w:t xml:space="preserve">atskiru </w:t>
      </w:r>
      <w:r w:rsidR="00C80C31">
        <w:rPr>
          <w:color w:val="000000"/>
          <w:sz w:val="18"/>
          <w:szCs w:val="18"/>
        </w:rPr>
        <w:t>rašytiniu patvirtinimu)</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5A286321"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r w:rsidR="00B2252E">
        <w:rPr>
          <w:color w:val="000000"/>
          <w:sz w:val="18"/>
          <w:szCs w:val="18"/>
        </w:rPr>
        <w:t xml:space="preserve">, jis privalo išrašyti sąskaitas faktūras </w:t>
      </w:r>
      <w:r w:rsidR="00632E7B">
        <w:rPr>
          <w:color w:val="000000"/>
          <w:sz w:val="18"/>
          <w:szCs w:val="18"/>
        </w:rPr>
        <w:t>savo užsakovui</w:t>
      </w:r>
      <w:r w:rsidR="00B2252E">
        <w:rPr>
          <w:color w:val="000000"/>
          <w:sz w:val="18"/>
          <w:szCs w:val="18"/>
        </w:rPr>
        <w:t xml:space="preserve"> pagal Subrangos sutarties sąlygas</w:t>
      </w:r>
      <w:r w:rsidRPr="00B40008">
        <w:rPr>
          <w:color w:val="000000"/>
          <w:sz w:val="18"/>
          <w:szCs w:val="18"/>
        </w:rPr>
        <w:t>.</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48CD5F90"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w:t>
      </w:r>
      <w:r w:rsidR="001C1D62">
        <w:rPr>
          <w:color w:val="000000"/>
          <w:sz w:val="18"/>
          <w:szCs w:val="18"/>
        </w:rPr>
        <w:t>ją</w:t>
      </w:r>
      <w:r w:rsidRPr="00B40008">
        <w:rPr>
          <w:color w:val="000000"/>
          <w:sz w:val="18"/>
          <w:szCs w:val="18"/>
        </w:rPr>
        <w:t xml:space="preserve">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w:t>
      </w:r>
      <w:r w:rsidR="005120B8">
        <w:rPr>
          <w:color w:val="000000"/>
          <w:sz w:val="18"/>
          <w:szCs w:val="18"/>
        </w:rPr>
        <w:t xml:space="preserve">(arba Rangovo subrangovas, kuris yra užsakovas pagal Subrangos sutartį) </w:t>
      </w:r>
      <w:r w:rsidR="00B40008">
        <w:rPr>
          <w:color w:val="000000"/>
          <w:sz w:val="18"/>
          <w:szCs w:val="18"/>
        </w:rPr>
        <w:t xml:space="preserve">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33B0D604"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w:t>
      </w:r>
      <w:r w:rsidR="00FC3053">
        <w:rPr>
          <w:color w:val="000000"/>
          <w:sz w:val="18"/>
          <w:szCs w:val="18"/>
        </w:rPr>
        <w:t xml:space="preserve"> Rangovui ir Subrangovui</w:t>
      </w:r>
      <w:r w:rsidRPr="00B40008">
        <w:rPr>
          <w:color w:val="000000"/>
          <w:sz w:val="18"/>
          <w:szCs w:val="18"/>
        </w:rPr>
        <w:t xml:space="preserve">, lygi sumokėtos sumos dydžiui, pasibaigia, taip pat pasibaigia Rangovo </w:t>
      </w:r>
      <w:r w:rsidR="005120B8">
        <w:rPr>
          <w:color w:val="000000"/>
          <w:sz w:val="18"/>
          <w:szCs w:val="18"/>
        </w:rPr>
        <w:t xml:space="preserve">(arba Rangovo subrangovo, kuris yra užsakovas pagal Subrangos sutartį) </w:t>
      </w:r>
      <w:r w:rsidRPr="00B40008">
        <w:rPr>
          <w:color w:val="000000"/>
          <w:sz w:val="18"/>
          <w:szCs w:val="18"/>
        </w:rPr>
        <w:t>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61740DA1"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r w:rsidR="005120B8">
        <w:rPr>
          <w:color w:val="000000"/>
          <w:sz w:val="18"/>
          <w:szCs w:val="18"/>
        </w:rPr>
        <w:t xml:space="preserve"> Rangovo subrangovas, kuris yra užsakovas pagal Subrangos sutartį, nėra Susitarimo šalis ir pagal Susitarimą neįgyja jokių reikalavimo teisių į Užsakovą.</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77025451"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r w:rsidR="005120B8" w:rsidRPr="005120B8">
        <w:rPr>
          <w:color w:val="000000"/>
          <w:sz w:val="18"/>
          <w:szCs w:val="18"/>
        </w:rPr>
        <w:t xml:space="preserve"> </w:t>
      </w:r>
      <w:r w:rsidR="005120B8" w:rsidRPr="00B40008">
        <w:rPr>
          <w:color w:val="000000"/>
          <w:sz w:val="18"/>
          <w:szCs w:val="18"/>
        </w:rPr>
        <w:t>Tuo atveju, jeigu Užsakovas Sub</w:t>
      </w:r>
      <w:r w:rsidR="005120B8">
        <w:rPr>
          <w:color w:val="000000"/>
          <w:sz w:val="18"/>
          <w:szCs w:val="18"/>
        </w:rPr>
        <w:t>rangovui</w:t>
      </w:r>
      <w:r w:rsidR="005120B8" w:rsidRPr="00B40008">
        <w:rPr>
          <w:color w:val="000000"/>
          <w:sz w:val="18"/>
          <w:szCs w:val="18"/>
        </w:rPr>
        <w:t xml:space="preserve"> mokėtiną sumą, nurodytą Pažymoje apie atliktų darbų vertę, per klaidą perveda į</w:t>
      </w:r>
      <w:r w:rsidR="005120B8">
        <w:rPr>
          <w:color w:val="000000"/>
          <w:sz w:val="18"/>
          <w:szCs w:val="18"/>
        </w:rPr>
        <w:t xml:space="preserve"> kito Rangovo subrangovo</w:t>
      </w:r>
      <w:r w:rsidR="005120B8" w:rsidRPr="00B40008">
        <w:rPr>
          <w:color w:val="000000"/>
          <w:sz w:val="18"/>
          <w:szCs w:val="18"/>
        </w:rPr>
        <w:t xml:space="preserve"> banko sąskaitą,</w:t>
      </w:r>
      <w:r w:rsidR="005120B8">
        <w:rPr>
          <w:color w:val="000000"/>
          <w:sz w:val="18"/>
          <w:szCs w:val="18"/>
        </w:rPr>
        <w:t xml:space="preserve"> Užsakov</w:t>
      </w:r>
      <w:r w:rsidR="00FF13F1">
        <w:rPr>
          <w:color w:val="000000"/>
          <w:sz w:val="18"/>
          <w:szCs w:val="18"/>
        </w:rPr>
        <w:t xml:space="preserve">as vis tiek privalo </w:t>
      </w:r>
      <w:r w:rsidR="00FF13F1">
        <w:rPr>
          <w:color w:val="000000"/>
          <w:sz w:val="18"/>
          <w:szCs w:val="18"/>
        </w:rPr>
        <w:t>tinkamai atsiskaityti su Subrangovu pagal šį Susitarimą ir pats kreiptis į netinkamą pinigų gavėją dėl pinigų grąžinimo.</w:t>
      </w:r>
      <w:r w:rsidR="005120B8">
        <w:rPr>
          <w:color w:val="000000"/>
          <w:sz w:val="18"/>
          <w:szCs w:val="18"/>
        </w:rPr>
        <w:t xml:space="preserve"> </w:t>
      </w:r>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3E935006"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w:t>
      </w:r>
      <w:r w:rsidR="001C1D62">
        <w:rPr>
          <w:color w:val="000000"/>
          <w:sz w:val="18"/>
          <w:szCs w:val="18"/>
        </w:rPr>
        <w:t>ios</w:t>
      </w:r>
      <w:r w:rsidRPr="00B40008">
        <w:rPr>
          <w:color w:val="000000"/>
          <w:sz w:val="18"/>
          <w:szCs w:val="18"/>
        </w:rPr>
        <w:t xml:space="preserve"> reikalavimo teisės, kylančios iš šio Susitarimo.</w:t>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Šalis įvertino visas aplinkybes, turinčias esminės reikšmės Susitarimo sudarymui ir jo vykdymui; nė viena iš Susitarime nurodytų sąlygų ir aplinkybių neturi neigiamos įtakos Šalies valiai sudaryti Susitarimą tokiomis sąlygomis, </w:t>
      </w:r>
      <w:r w:rsidRPr="00B40008">
        <w:rPr>
          <w:color w:val="000000"/>
          <w:sz w:val="18"/>
          <w:szCs w:val="18"/>
        </w:rPr>
        <w:lastRenderedPageBreak/>
        <w:t>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0DC4FEB1" w:rsidR="009856FF"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AC455F8" w14:textId="77777777" w:rsidR="00766E48" w:rsidRDefault="00766E48" w:rsidP="00766E48">
      <w:pPr>
        <w:pStyle w:val="Sraopastraipa"/>
        <w:rPr>
          <w:sz w:val="18"/>
          <w:szCs w:val="18"/>
        </w:rPr>
      </w:pPr>
    </w:p>
    <w:p w14:paraId="596B7715" w14:textId="07C1E42E" w:rsidR="00766E48" w:rsidRPr="00766E48" w:rsidRDefault="00766E48" w:rsidP="00766E48">
      <w:pPr>
        <w:numPr>
          <w:ilvl w:val="1"/>
          <w:numId w:val="1"/>
        </w:numPr>
        <w:ind w:left="0" w:firstLine="0"/>
        <w:rPr>
          <w:sz w:val="18"/>
          <w:szCs w:val="18"/>
        </w:rPr>
      </w:pPr>
      <w:r w:rsidRPr="00766E48">
        <w:rPr>
          <w:sz w:val="18"/>
          <w:szCs w:val="18"/>
        </w:rPr>
        <w:t xml:space="preserve">Kalba, kuria rengiami ginčo procesiniai dokumentai ir kuri vartojama ginčo procesuose, yra lietuvių kalba, o tais atvejais, kai Rangovas </w:t>
      </w:r>
      <w:r>
        <w:rPr>
          <w:sz w:val="18"/>
          <w:szCs w:val="18"/>
        </w:rPr>
        <w:t xml:space="preserve">ir (arba) Subrangovas </w:t>
      </w:r>
      <w:r w:rsidRPr="00766E48">
        <w:rPr>
          <w:sz w:val="18"/>
          <w:szCs w:val="18"/>
        </w:rPr>
        <w:t xml:space="preserve">yra užsienietis, ginčo kalba yra </w:t>
      </w:r>
      <w:r w:rsidR="009E1CC6">
        <w:rPr>
          <w:sz w:val="18"/>
          <w:szCs w:val="18"/>
        </w:rPr>
        <w:t>[</w:t>
      </w:r>
      <w:r w:rsidRPr="009E1CC6">
        <w:rPr>
          <w:sz w:val="18"/>
          <w:szCs w:val="18"/>
          <w:shd w:val="clear" w:color="auto" w:fill="D9D9D9" w:themeFill="background1" w:themeFillShade="D9"/>
        </w:rPr>
        <w:t>lietuvių ir (arba)</w:t>
      </w:r>
      <w:r w:rsidR="009E1CC6" w:rsidRPr="009E1CC6">
        <w:rPr>
          <w:sz w:val="18"/>
          <w:szCs w:val="18"/>
          <w:shd w:val="clear" w:color="auto" w:fill="D9D9D9" w:themeFill="background1" w:themeFillShade="D9"/>
        </w:rPr>
        <w:t xml:space="preserve"> [</w:t>
      </w:r>
      <w:r w:rsidR="009E1CC6" w:rsidRPr="00766E48">
        <w:rPr>
          <w:i/>
          <w:iCs/>
          <w:sz w:val="18"/>
          <w:szCs w:val="18"/>
          <w:shd w:val="clear" w:color="auto" w:fill="D9D9D9" w:themeFill="background1" w:themeFillShade="D9"/>
        </w:rPr>
        <w:t>įrašyti kalbą</w:t>
      </w:r>
      <w:r w:rsidR="009E1CC6">
        <w:rPr>
          <w:sz w:val="18"/>
          <w:szCs w:val="18"/>
        </w:rPr>
        <w:t>]</w:t>
      </w:r>
      <w:r w:rsidR="009E1CC6" w:rsidRPr="009E1CC6">
        <w:rPr>
          <w:sz w:val="18"/>
          <w:szCs w:val="18"/>
          <w:shd w:val="clear" w:color="auto" w:fill="D9D9D9" w:themeFill="background1" w:themeFillShade="D9"/>
        </w:rPr>
        <w:t xml:space="preserve"> [</w:t>
      </w:r>
      <w:r w:rsidR="009E1CC6" w:rsidRPr="009E1CC6">
        <w:rPr>
          <w:i/>
          <w:iCs/>
          <w:sz w:val="18"/>
          <w:szCs w:val="18"/>
          <w:shd w:val="clear" w:color="auto" w:fill="D9D9D9" w:themeFill="background1" w:themeFillShade="D9"/>
        </w:rPr>
        <w:t>ištrinti nereikalingą</w:t>
      </w:r>
      <w:r w:rsidR="009E1CC6">
        <w:rPr>
          <w:i/>
          <w:iCs/>
          <w:sz w:val="18"/>
          <w:szCs w:val="18"/>
          <w:shd w:val="clear" w:color="auto" w:fill="D9D9D9" w:themeFill="background1" w:themeFillShade="D9"/>
        </w:rPr>
        <w:t xml:space="preserve"> tekstą</w:t>
      </w:r>
      <w:r w:rsidR="009E1CC6" w:rsidRPr="009E1CC6">
        <w:rPr>
          <w:sz w:val="18"/>
          <w:szCs w:val="18"/>
          <w:shd w:val="clear" w:color="auto" w:fill="D9D9D9" w:themeFill="background1" w:themeFillShade="D9"/>
        </w:rPr>
        <w:t>]</w:t>
      </w:r>
      <w:r w:rsidR="009E1CC6">
        <w:rPr>
          <w:sz w:val="18"/>
          <w:szCs w:val="18"/>
          <w:shd w:val="clear" w:color="auto" w:fill="D9D9D9" w:themeFill="background1" w:themeFillShade="D9"/>
        </w:rPr>
        <w:t>]</w:t>
      </w:r>
      <w:r>
        <w:rPr>
          <w:sz w:val="18"/>
          <w:szCs w:val="18"/>
        </w:rPr>
        <w:t>, kuri yra laikoma</w:t>
      </w:r>
      <w:r w:rsidRPr="00766E48">
        <w:rPr>
          <w:sz w:val="18"/>
          <w:szCs w:val="18"/>
        </w:rPr>
        <w:t xml:space="preserve"> </w:t>
      </w:r>
      <w:r>
        <w:rPr>
          <w:sz w:val="18"/>
          <w:szCs w:val="18"/>
        </w:rPr>
        <w:t>visoms</w:t>
      </w:r>
      <w:r w:rsidRPr="00766E48">
        <w:rPr>
          <w:sz w:val="18"/>
          <w:szCs w:val="18"/>
        </w:rPr>
        <w:t xml:space="preserve"> Šalims suprantama kalba.</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 xml:space="preserve">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w:t>
      </w:r>
      <w:r w:rsidRPr="00B40008">
        <w:rPr>
          <w:sz w:val="18"/>
          <w:szCs w:val="18"/>
        </w:rPr>
        <w:lastRenderedPageBreak/>
        <w:t>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prasmę 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0C9C3AC9"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w:t>
      </w:r>
      <w:r w:rsidR="00C33215">
        <w:rPr>
          <w:sz w:val="18"/>
          <w:szCs w:val="18"/>
        </w:rPr>
        <w:t>,</w:t>
      </w:r>
      <w:r w:rsidRPr="00B40008">
        <w:rPr>
          <w:sz w:val="18"/>
          <w:szCs w:val="18"/>
        </w:rPr>
        <w:t xml:space="preserve"> arba Susitarimas pasirašomas Šalių vadovų (arba jų įgaliotų atstovų) kvalifikuotais elektroniniais parašais</w:t>
      </w:r>
      <w:r w:rsidR="00C33215">
        <w:rPr>
          <w:sz w:val="18"/>
          <w:szCs w:val="18"/>
        </w:rPr>
        <w:t xml:space="preserve"> </w:t>
      </w:r>
      <w:r w:rsidR="00C33215" w:rsidRPr="00C33215">
        <w:rPr>
          <w:sz w:val="18"/>
          <w:szCs w:val="18"/>
        </w:rPr>
        <w:t xml:space="preserve">arba kitokiu </w:t>
      </w:r>
      <w:r w:rsidR="00C33215">
        <w:rPr>
          <w:sz w:val="18"/>
          <w:szCs w:val="18"/>
        </w:rPr>
        <w:t xml:space="preserve">visų Šalių </w:t>
      </w:r>
      <w:r w:rsidR="00C33215" w:rsidRPr="00C33215">
        <w:rPr>
          <w:sz w:val="18"/>
          <w:szCs w:val="18"/>
        </w:rPr>
        <w:t>sutartu būdu</w:t>
      </w:r>
      <w:r w:rsidRPr="00B40008">
        <w:rPr>
          <w:sz w:val="18"/>
          <w:szCs w:val="18"/>
        </w:rPr>
        <w:t>.</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32673" w14:textId="77777777" w:rsidR="00A7611A" w:rsidRDefault="00A7611A">
      <w:r>
        <w:separator/>
      </w:r>
    </w:p>
  </w:endnote>
  <w:endnote w:type="continuationSeparator" w:id="0">
    <w:p w14:paraId="41B57688" w14:textId="77777777" w:rsidR="00A7611A" w:rsidRDefault="00A7611A">
      <w:r>
        <w:continuationSeparator/>
      </w:r>
    </w:p>
  </w:endnote>
  <w:endnote w:type="continuationNotice" w:id="1">
    <w:p w14:paraId="7E3A7ACA" w14:textId="77777777" w:rsidR="00A7611A" w:rsidRDefault="00A76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5E01" w14:textId="77777777" w:rsidR="001148AC" w:rsidRDefault="001148A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00000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FC96A" w14:textId="77777777" w:rsidR="00A7611A" w:rsidRDefault="00A7611A">
      <w:r>
        <w:separator/>
      </w:r>
    </w:p>
  </w:footnote>
  <w:footnote w:type="continuationSeparator" w:id="0">
    <w:p w14:paraId="73D5BC6A" w14:textId="77777777" w:rsidR="00A7611A" w:rsidRDefault="00A7611A">
      <w:r>
        <w:continuationSeparator/>
      </w:r>
    </w:p>
  </w:footnote>
  <w:footnote w:type="continuationNotice" w:id="1">
    <w:p w14:paraId="3E030E24" w14:textId="77777777" w:rsidR="00A7611A" w:rsidRDefault="00A76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5A7A" w14:textId="77777777" w:rsidR="001148AC" w:rsidRDefault="001148A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0D234358"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C33215">
      <w:rPr>
        <w:color w:val="000000"/>
        <w:sz w:val="18"/>
        <w:szCs w:val="18"/>
      </w:rPr>
      <w:t>4</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0D7" w14:textId="77777777" w:rsidR="001148AC" w:rsidRDefault="001148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0106187">
    <w:abstractNumId w:val="0"/>
  </w:num>
  <w:num w:numId="2" w16cid:durableId="1937441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75FF7"/>
    <w:rsid w:val="0008728A"/>
    <w:rsid w:val="00091AFE"/>
    <w:rsid w:val="000933AF"/>
    <w:rsid w:val="000B018B"/>
    <w:rsid w:val="000B0D88"/>
    <w:rsid w:val="000B296F"/>
    <w:rsid w:val="000B7891"/>
    <w:rsid w:val="000C6066"/>
    <w:rsid w:val="000D12EA"/>
    <w:rsid w:val="000D483E"/>
    <w:rsid w:val="00104B99"/>
    <w:rsid w:val="00106577"/>
    <w:rsid w:val="001148AC"/>
    <w:rsid w:val="001161A7"/>
    <w:rsid w:val="00120076"/>
    <w:rsid w:val="001228AF"/>
    <w:rsid w:val="001325E3"/>
    <w:rsid w:val="00145447"/>
    <w:rsid w:val="00156110"/>
    <w:rsid w:val="00173690"/>
    <w:rsid w:val="00181D04"/>
    <w:rsid w:val="00182D84"/>
    <w:rsid w:val="00186E0C"/>
    <w:rsid w:val="001A6239"/>
    <w:rsid w:val="001C1D62"/>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20B8"/>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B7D67"/>
    <w:rsid w:val="005C6113"/>
    <w:rsid w:val="005F352B"/>
    <w:rsid w:val="005F464E"/>
    <w:rsid w:val="005F5B3B"/>
    <w:rsid w:val="00614018"/>
    <w:rsid w:val="00632E7B"/>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1328A"/>
    <w:rsid w:val="00720A24"/>
    <w:rsid w:val="007346C9"/>
    <w:rsid w:val="00734746"/>
    <w:rsid w:val="00734FAA"/>
    <w:rsid w:val="00746E28"/>
    <w:rsid w:val="00750084"/>
    <w:rsid w:val="00753C0A"/>
    <w:rsid w:val="00766E48"/>
    <w:rsid w:val="00781475"/>
    <w:rsid w:val="007828BE"/>
    <w:rsid w:val="007A6A93"/>
    <w:rsid w:val="007B5F2E"/>
    <w:rsid w:val="007C1804"/>
    <w:rsid w:val="007C715C"/>
    <w:rsid w:val="007D0392"/>
    <w:rsid w:val="00843AB9"/>
    <w:rsid w:val="00852569"/>
    <w:rsid w:val="008561D5"/>
    <w:rsid w:val="0086061C"/>
    <w:rsid w:val="00860CCB"/>
    <w:rsid w:val="00874827"/>
    <w:rsid w:val="00897AE5"/>
    <w:rsid w:val="008A1A4B"/>
    <w:rsid w:val="008C100B"/>
    <w:rsid w:val="008C77CC"/>
    <w:rsid w:val="008D539D"/>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E1CC6"/>
    <w:rsid w:val="009F3A53"/>
    <w:rsid w:val="009F554D"/>
    <w:rsid w:val="00A06480"/>
    <w:rsid w:val="00A330D7"/>
    <w:rsid w:val="00A33E4C"/>
    <w:rsid w:val="00A358BA"/>
    <w:rsid w:val="00A35C2C"/>
    <w:rsid w:val="00A54766"/>
    <w:rsid w:val="00A7611A"/>
    <w:rsid w:val="00A76BEB"/>
    <w:rsid w:val="00A92362"/>
    <w:rsid w:val="00AA1390"/>
    <w:rsid w:val="00AC2E17"/>
    <w:rsid w:val="00AC53AC"/>
    <w:rsid w:val="00AE6758"/>
    <w:rsid w:val="00AF0C7A"/>
    <w:rsid w:val="00AF19E7"/>
    <w:rsid w:val="00AF6F09"/>
    <w:rsid w:val="00B00F47"/>
    <w:rsid w:val="00B0632A"/>
    <w:rsid w:val="00B06C0C"/>
    <w:rsid w:val="00B075C9"/>
    <w:rsid w:val="00B2252E"/>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3215"/>
    <w:rsid w:val="00C34120"/>
    <w:rsid w:val="00C42B1E"/>
    <w:rsid w:val="00C43899"/>
    <w:rsid w:val="00C47163"/>
    <w:rsid w:val="00C54AD2"/>
    <w:rsid w:val="00C61BD7"/>
    <w:rsid w:val="00C73EDB"/>
    <w:rsid w:val="00C80C31"/>
    <w:rsid w:val="00C82C99"/>
    <w:rsid w:val="00C86142"/>
    <w:rsid w:val="00C8616A"/>
    <w:rsid w:val="00C86788"/>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F5EED"/>
    <w:rsid w:val="00F04234"/>
    <w:rsid w:val="00F15F89"/>
    <w:rsid w:val="00F17EB1"/>
    <w:rsid w:val="00F261C3"/>
    <w:rsid w:val="00F300E7"/>
    <w:rsid w:val="00F30969"/>
    <w:rsid w:val="00F344C0"/>
    <w:rsid w:val="00F41EF7"/>
    <w:rsid w:val="00F6652E"/>
    <w:rsid w:val="00F67492"/>
    <w:rsid w:val="00F731E3"/>
    <w:rsid w:val="00F83293"/>
    <w:rsid w:val="00F879A6"/>
    <w:rsid w:val="00F9607E"/>
    <w:rsid w:val="00FB71E1"/>
    <w:rsid w:val="00FC3053"/>
    <w:rsid w:val="00FC5C49"/>
    <w:rsid w:val="00FD3913"/>
    <w:rsid w:val="00FD5AA1"/>
    <w:rsid w:val="00FE238D"/>
    <w:rsid w:val="00FF13F1"/>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styleId="Neapdorotaspaminjimas">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5.xml><?xml version="1.0" encoding="utf-8"?>
<ds:datastoreItem xmlns:ds="http://schemas.openxmlformats.org/officeDocument/2006/customXml" ds:itemID="{381E09B3-DCA1-4D9B-8ABB-20E510B33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12672</Words>
  <Characters>7224</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Jurate</cp:lastModifiedBy>
  <cp:revision>2</cp:revision>
  <dcterms:created xsi:type="dcterms:W3CDTF">2025-09-01T06:22:00Z</dcterms:created>
  <dcterms:modified xsi:type="dcterms:W3CDTF">2025-09-01T06:22:00Z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