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EE45" w14:textId="604B8DEB" w:rsidR="00B00296" w:rsidRPr="001F17CB" w:rsidRDefault="5CE9CD35" w:rsidP="23C3C96C">
      <w:pPr>
        <w:spacing w:before="100" w:beforeAutospacing="1" w:after="100" w:afterAutospacing="1" w:line="240" w:lineRule="auto"/>
        <w:jc w:val="right"/>
        <w:rPr>
          <w:rFonts w:ascii="Verdana" w:eastAsia="Verdana" w:hAnsi="Verdana" w:cs="Verdana"/>
          <w:sz w:val="20"/>
          <w:szCs w:val="20"/>
          <w:lang w:eastAsia="lt-LT"/>
        </w:rPr>
      </w:pPr>
      <w:r w:rsidRPr="23C3C96C">
        <w:rPr>
          <w:rFonts w:ascii="Verdana" w:eastAsia="Verdana" w:hAnsi="Verdana" w:cs="Verdana"/>
          <w:sz w:val="20"/>
          <w:szCs w:val="20"/>
          <w:lang w:eastAsia="lt-LT"/>
        </w:rPr>
        <w:t>Pirkimo sąlygų</w:t>
      </w:r>
      <w:r w:rsidR="489A7A86" w:rsidRPr="23C3C96C">
        <w:rPr>
          <w:rFonts w:ascii="Verdana" w:eastAsia="Verdana" w:hAnsi="Verdana" w:cs="Verdana"/>
          <w:sz w:val="20"/>
          <w:szCs w:val="20"/>
          <w:lang w:eastAsia="lt-LT"/>
        </w:rPr>
        <w:t xml:space="preserve"> 2</w:t>
      </w:r>
      <w:r w:rsidRPr="23C3C96C">
        <w:rPr>
          <w:rFonts w:ascii="Verdana" w:eastAsia="Verdana" w:hAnsi="Verdana" w:cs="Verdana"/>
          <w:sz w:val="20"/>
          <w:szCs w:val="20"/>
          <w:lang w:eastAsia="lt-LT"/>
        </w:rPr>
        <w:t xml:space="preserve"> priedas</w:t>
      </w:r>
    </w:p>
    <w:p w14:paraId="360CF2C6" w14:textId="77777777" w:rsidR="00C20407" w:rsidRPr="00B87623" w:rsidRDefault="58D93526" w:rsidP="23C3C96C">
      <w:pPr>
        <w:spacing w:before="100" w:beforeAutospacing="1" w:after="100" w:afterAutospacing="1" w:line="240" w:lineRule="auto"/>
        <w:jc w:val="center"/>
        <w:rPr>
          <w:rFonts w:ascii="Verdana" w:eastAsia="Verdana" w:hAnsi="Verdana" w:cs="Verdana"/>
          <w:b/>
          <w:bCs/>
          <w:sz w:val="20"/>
          <w:szCs w:val="20"/>
          <w:lang w:eastAsia="lt-LT"/>
        </w:rPr>
      </w:pPr>
      <w:r w:rsidRPr="23C3C96C">
        <w:rPr>
          <w:rFonts w:ascii="Verdana" w:eastAsia="Verdana" w:hAnsi="Verdana" w:cs="Verdana"/>
          <w:b/>
          <w:bCs/>
          <w:sz w:val="20"/>
          <w:szCs w:val="20"/>
          <w:lang w:eastAsia="lt-LT"/>
        </w:rPr>
        <w:t>TECHNINĖ SPECIFIKACIJA</w:t>
      </w:r>
    </w:p>
    <w:p w14:paraId="29CA6774" w14:textId="77777777" w:rsidR="00C20407" w:rsidRPr="00771594" w:rsidRDefault="58D93526" w:rsidP="23C3C96C">
      <w:pPr>
        <w:numPr>
          <w:ilvl w:val="0"/>
          <w:numId w:val="1"/>
        </w:numPr>
        <w:spacing w:before="100" w:beforeAutospacing="1" w:after="100" w:afterAutospacing="1" w:line="240" w:lineRule="auto"/>
        <w:ind w:left="0" w:firstLine="567"/>
        <w:contextualSpacing/>
        <w:jc w:val="both"/>
        <w:rPr>
          <w:rFonts w:ascii="Verdana" w:eastAsia="Verdana" w:hAnsi="Verdana" w:cs="Verdana"/>
          <w:sz w:val="20"/>
          <w:szCs w:val="20"/>
          <w:lang w:eastAsia="lt-LT"/>
        </w:rPr>
      </w:pPr>
      <w:r w:rsidRPr="23C3C96C">
        <w:rPr>
          <w:rFonts w:ascii="Verdana" w:eastAsia="Verdana" w:hAnsi="Verdana" w:cs="Verdana"/>
          <w:sz w:val="20"/>
          <w:szCs w:val="20"/>
          <w:lang w:eastAsia="lt-LT"/>
        </w:rPr>
        <w:t xml:space="preserve">Viešoji įstaiga Inovacijų agentūra (toliau – perkančioji organizacija) numato įsigyti </w:t>
      </w:r>
      <w:r w:rsidRPr="23C3C96C">
        <w:rPr>
          <w:rFonts w:ascii="Verdana" w:eastAsia="Verdana" w:hAnsi="Verdana" w:cs="Verdana"/>
          <w:i/>
          <w:iCs/>
          <w:sz w:val="20"/>
          <w:szCs w:val="20"/>
        </w:rPr>
        <w:t>informacinių technologijų (dirbtinis intelektas)</w:t>
      </w:r>
      <w:r w:rsidRPr="23C3C96C">
        <w:rPr>
          <w:rFonts w:ascii="Verdana" w:eastAsia="Verdana" w:hAnsi="Verdana" w:cs="Verdana"/>
          <w:sz w:val="20"/>
          <w:szCs w:val="20"/>
        </w:rPr>
        <w:t xml:space="preserve"> srities</w:t>
      </w:r>
      <w:r w:rsidRPr="23C3C96C">
        <w:rPr>
          <w:rFonts w:ascii="Verdana" w:eastAsia="Verdana" w:hAnsi="Verdana" w:cs="Verdana"/>
          <w:sz w:val="20"/>
          <w:szCs w:val="20"/>
          <w:lang w:eastAsia="lt-LT"/>
        </w:rPr>
        <w:t xml:space="preserve"> ekspertų vertinimo konsultacines paslaugas (toliau – paslaugos). </w:t>
      </w:r>
    </w:p>
    <w:p w14:paraId="54EF9898" w14:textId="77777777" w:rsidR="00C20407" w:rsidRPr="00771594" w:rsidRDefault="58D93526" w:rsidP="23C3C96C">
      <w:pPr>
        <w:spacing w:before="100" w:beforeAutospacing="1" w:after="100" w:afterAutospacing="1" w:line="240" w:lineRule="auto"/>
        <w:ind w:firstLine="567"/>
        <w:contextualSpacing/>
        <w:jc w:val="both"/>
        <w:rPr>
          <w:rFonts w:ascii="Verdana" w:eastAsia="Verdana" w:hAnsi="Verdana" w:cs="Verdana"/>
          <w:sz w:val="20"/>
          <w:szCs w:val="20"/>
          <w:lang w:eastAsia="lt-LT"/>
        </w:rPr>
      </w:pPr>
      <w:r w:rsidRPr="23C3C96C">
        <w:rPr>
          <w:rFonts w:ascii="Verdana" w:eastAsia="Verdana" w:hAnsi="Verdana" w:cs="Verdana"/>
          <w:sz w:val="20"/>
          <w:szCs w:val="20"/>
          <w:lang w:eastAsia="lt-LT"/>
        </w:rPr>
        <w:t xml:space="preserve">Paslaugos apims raštiškų ir žodinių išvadų teikimą vertinant pažangos priemonės </w:t>
      </w:r>
      <w:r w:rsidRPr="23C3C96C">
        <w:rPr>
          <w:rFonts w:ascii="Verdana" w:eastAsia="Verdana" w:hAnsi="Verdana" w:cs="Verdana"/>
          <w:sz w:val="20"/>
          <w:szCs w:val="20"/>
        </w:rPr>
        <w:t>Nr. 05-001-01-05-05 „Skatinti įmones skaitmenizuotis“ 7 veiklos „</w:t>
      </w:r>
      <w:r w:rsidRPr="23C3C96C">
        <w:rPr>
          <w:rFonts w:ascii="Verdana" w:eastAsia="Verdana" w:hAnsi="Verdana" w:cs="Verdana"/>
          <w:i/>
          <w:iCs/>
          <w:sz w:val="20"/>
          <w:szCs w:val="20"/>
        </w:rPr>
        <w:t xml:space="preserve">Skatinti labai mažas, mažas ir vidutines įmones (toliau – MVĮ) </w:t>
      </w:r>
      <w:r w:rsidRPr="23C3C96C">
        <w:rPr>
          <w:rFonts w:ascii="Verdana" w:eastAsia="Verdana" w:hAnsi="Verdana" w:cs="Verdana"/>
          <w:i/>
          <w:iCs/>
          <w:sz w:val="20"/>
          <w:szCs w:val="20"/>
          <w:u w:val="single"/>
        </w:rPr>
        <w:t>vystyti</w:t>
      </w:r>
      <w:r w:rsidRPr="23C3C96C">
        <w:rPr>
          <w:rFonts w:ascii="Verdana" w:eastAsia="Verdana" w:hAnsi="Verdana" w:cs="Verdana"/>
          <w:i/>
          <w:iCs/>
          <w:sz w:val="20"/>
          <w:szCs w:val="20"/>
        </w:rPr>
        <w:t xml:space="preserve"> dirbtinio intelekto (toliau – DI) sprendimus (Vidurio ir vakarų Lietuvos regionas</w:t>
      </w:r>
      <w:r w:rsidRPr="23C3C96C">
        <w:rPr>
          <w:rFonts w:ascii="Verdana" w:eastAsia="Verdana" w:hAnsi="Verdana" w:cs="Verdana"/>
          <w:sz w:val="20"/>
          <w:szCs w:val="20"/>
        </w:rPr>
        <w:t>“ ir 9 veiklos „</w:t>
      </w:r>
      <w:r w:rsidRPr="23C3C96C">
        <w:rPr>
          <w:rFonts w:ascii="Verdana" w:eastAsia="Verdana" w:hAnsi="Verdana" w:cs="Verdana"/>
          <w:i/>
          <w:iCs/>
          <w:sz w:val="20"/>
          <w:szCs w:val="20"/>
        </w:rPr>
        <w:t xml:space="preserve">Skatinti labai mažas, mažas ir vidutines įmones (toliau – MVĮ) </w:t>
      </w:r>
      <w:r w:rsidRPr="23C3C96C">
        <w:rPr>
          <w:rFonts w:ascii="Verdana" w:eastAsia="Verdana" w:hAnsi="Verdana" w:cs="Verdana"/>
          <w:i/>
          <w:iCs/>
          <w:sz w:val="20"/>
          <w:szCs w:val="20"/>
          <w:u w:val="single"/>
        </w:rPr>
        <w:t>diegtis</w:t>
      </w:r>
      <w:r w:rsidRPr="23C3C96C">
        <w:rPr>
          <w:rFonts w:ascii="Verdana" w:eastAsia="Verdana" w:hAnsi="Verdana" w:cs="Verdana"/>
          <w:i/>
          <w:iCs/>
          <w:sz w:val="20"/>
          <w:szCs w:val="20"/>
        </w:rPr>
        <w:t xml:space="preserve"> skaitmenines technologijas, prioritetą teikiant dirbtinio intelekto sprendimams</w:t>
      </w:r>
      <w:r w:rsidRPr="23C3C96C">
        <w:rPr>
          <w:rFonts w:ascii="Verdana" w:eastAsia="Verdana" w:hAnsi="Verdana" w:cs="Verdana"/>
          <w:sz w:val="20"/>
          <w:szCs w:val="20"/>
        </w:rPr>
        <w:t>“</w:t>
      </w:r>
      <w:r w:rsidRPr="23C3C96C">
        <w:rPr>
          <w:rFonts w:ascii="Verdana" w:eastAsia="Verdana" w:hAnsi="Verdana" w:cs="Verdana"/>
          <w:sz w:val="20"/>
          <w:szCs w:val="20"/>
          <w:lang w:eastAsia="lt-LT"/>
        </w:rPr>
        <w:t xml:space="preserve"> (toliau – DI priemonės) projektų įgyvendinimo planus (paraiškas): </w:t>
      </w:r>
    </w:p>
    <w:p w14:paraId="06BDD5B1" w14:textId="77777777" w:rsidR="00C20407" w:rsidRPr="00B87623" w:rsidRDefault="00C20407" w:rsidP="23C3C96C">
      <w:pPr>
        <w:spacing w:before="100" w:beforeAutospacing="1" w:after="100" w:afterAutospacing="1" w:line="240" w:lineRule="auto"/>
        <w:ind w:firstLine="567"/>
        <w:contextualSpacing/>
        <w:jc w:val="both"/>
        <w:rPr>
          <w:rFonts w:ascii="Verdana" w:eastAsia="Verdana" w:hAnsi="Verdana" w:cs="Verdana"/>
          <w:b/>
          <w:bCs/>
          <w:sz w:val="20"/>
          <w:szCs w:val="20"/>
          <w:lang w:eastAsia="lt-LT"/>
        </w:rPr>
      </w:pPr>
    </w:p>
    <w:tbl>
      <w:tblPr>
        <w:tblW w:w="9540" w:type="dxa"/>
        <w:tblCellSpacing w:w="0" w:type="dxa"/>
        <w:tblCellMar>
          <w:left w:w="0" w:type="dxa"/>
          <w:right w:w="0" w:type="dxa"/>
        </w:tblCellMar>
        <w:tblLook w:val="04A0" w:firstRow="1" w:lastRow="0" w:firstColumn="1" w:lastColumn="0" w:noHBand="0" w:noVBand="1"/>
      </w:tblPr>
      <w:tblGrid>
        <w:gridCol w:w="9439"/>
        <w:gridCol w:w="6"/>
        <w:gridCol w:w="6"/>
        <w:gridCol w:w="6"/>
        <w:gridCol w:w="6"/>
        <w:gridCol w:w="6"/>
        <w:gridCol w:w="71"/>
      </w:tblGrid>
      <w:tr w:rsidR="00C20407" w:rsidRPr="00B87623" w14:paraId="1ED1532E" w14:textId="77777777" w:rsidTr="23C3C96C">
        <w:trPr>
          <w:trHeight w:val="285"/>
          <w:tblCellSpacing w:w="0" w:type="dxa"/>
        </w:trPr>
        <w:tc>
          <w:tcPr>
            <w:tcW w:w="0" w:type="auto"/>
            <w:vAlign w:val="center"/>
            <w:hideMark/>
          </w:tcPr>
          <w:tbl>
            <w:tblPr>
              <w:tblStyle w:val="TableGrid"/>
              <w:tblW w:w="0" w:type="auto"/>
              <w:tblLook w:val="04A0" w:firstRow="1" w:lastRow="0" w:firstColumn="1" w:lastColumn="0" w:noHBand="0" w:noVBand="1"/>
            </w:tblPr>
            <w:tblGrid>
              <w:gridCol w:w="570"/>
              <w:gridCol w:w="3258"/>
              <w:gridCol w:w="5601"/>
            </w:tblGrid>
            <w:tr w:rsidR="00C20407" w:rsidRPr="00B87623" w14:paraId="6AC1B156" w14:textId="77777777" w:rsidTr="23C3C96C">
              <w:tc>
                <w:tcPr>
                  <w:tcW w:w="570" w:type="dxa"/>
                </w:tcPr>
                <w:p w14:paraId="3BBB8BF1" w14:textId="77777777" w:rsidR="00C20407" w:rsidRPr="00B87623" w:rsidRDefault="58D93526" w:rsidP="23C3C96C">
                  <w:pPr>
                    <w:spacing w:before="100" w:beforeAutospacing="1" w:after="100" w:afterAutospacing="1"/>
                    <w:jc w:val="center"/>
                    <w:rPr>
                      <w:rFonts w:ascii="Verdana" w:eastAsia="Verdana" w:hAnsi="Verdana" w:cs="Verdana"/>
                      <w:b/>
                      <w:bCs/>
                      <w:sz w:val="20"/>
                      <w:szCs w:val="20"/>
                      <w:lang w:eastAsia="lt-LT"/>
                    </w:rPr>
                  </w:pPr>
                  <w:r w:rsidRPr="23C3C96C">
                    <w:rPr>
                      <w:rFonts w:ascii="Verdana" w:eastAsia="Verdana" w:hAnsi="Verdana" w:cs="Verdana"/>
                      <w:b/>
                      <w:bCs/>
                      <w:sz w:val="20"/>
                      <w:szCs w:val="20"/>
                      <w:lang w:eastAsia="lt-LT"/>
                    </w:rPr>
                    <w:t>Eil. Nr.</w:t>
                  </w:r>
                </w:p>
              </w:tc>
              <w:tc>
                <w:tcPr>
                  <w:tcW w:w="3261" w:type="dxa"/>
                </w:tcPr>
                <w:p w14:paraId="24F46F93" w14:textId="77777777" w:rsidR="00C20407" w:rsidRPr="00B87623" w:rsidRDefault="58D93526" w:rsidP="23C3C96C">
                  <w:pPr>
                    <w:spacing w:before="100" w:beforeAutospacing="1" w:after="100" w:afterAutospacing="1"/>
                    <w:jc w:val="center"/>
                    <w:rPr>
                      <w:rFonts w:ascii="Verdana" w:eastAsia="Verdana" w:hAnsi="Verdana" w:cs="Verdana"/>
                      <w:b/>
                      <w:bCs/>
                      <w:sz w:val="20"/>
                      <w:szCs w:val="20"/>
                      <w:lang w:eastAsia="lt-LT"/>
                    </w:rPr>
                  </w:pPr>
                  <w:r w:rsidRPr="23C3C96C">
                    <w:rPr>
                      <w:rFonts w:ascii="Verdana" w:eastAsia="Verdana" w:hAnsi="Verdana" w:cs="Verdana"/>
                      <w:b/>
                      <w:bCs/>
                      <w:sz w:val="20"/>
                      <w:szCs w:val="20"/>
                      <w:lang w:eastAsia="lt-LT"/>
                    </w:rPr>
                    <w:t>Išvados rūšis</w:t>
                  </w:r>
                </w:p>
              </w:tc>
              <w:tc>
                <w:tcPr>
                  <w:tcW w:w="5607" w:type="dxa"/>
                </w:tcPr>
                <w:p w14:paraId="506917C5" w14:textId="77777777" w:rsidR="00C20407" w:rsidRPr="00B87623" w:rsidRDefault="58D93526" w:rsidP="23C3C96C">
                  <w:pPr>
                    <w:spacing w:before="100" w:beforeAutospacing="1" w:after="100" w:afterAutospacing="1"/>
                    <w:jc w:val="center"/>
                    <w:rPr>
                      <w:rFonts w:ascii="Verdana" w:eastAsia="Verdana" w:hAnsi="Verdana" w:cs="Verdana"/>
                      <w:b/>
                      <w:bCs/>
                      <w:sz w:val="20"/>
                      <w:szCs w:val="20"/>
                      <w:lang w:eastAsia="lt-LT"/>
                    </w:rPr>
                  </w:pPr>
                  <w:r w:rsidRPr="23C3C96C">
                    <w:rPr>
                      <w:rFonts w:ascii="Verdana" w:eastAsia="Verdana" w:hAnsi="Verdana" w:cs="Verdana"/>
                      <w:b/>
                      <w:bCs/>
                      <w:sz w:val="20"/>
                      <w:szCs w:val="20"/>
                      <w:lang w:eastAsia="lt-LT"/>
                    </w:rPr>
                    <w:t>Paaiškinimas</w:t>
                  </w:r>
                </w:p>
              </w:tc>
            </w:tr>
            <w:tr w:rsidR="00C20407" w:rsidRPr="00B87623" w14:paraId="597789F4" w14:textId="77777777" w:rsidTr="23C3C96C">
              <w:tc>
                <w:tcPr>
                  <w:tcW w:w="570" w:type="dxa"/>
                </w:tcPr>
                <w:p w14:paraId="23BD291B" w14:textId="77777777" w:rsidR="00C20407" w:rsidRPr="00B87623" w:rsidRDefault="58D93526" w:rsidP="23C3C96C">
                  <w:pPr>
                    <w:spacing w:before="100" w:beforeAutospacing="1" w:after="100" w:afterAutospacing="1"/>
                    <w:rPr>
                      <w:rFonts w:ascii="Verdana" w:eastAsia="Verdana" w:hAnsi="Verdana" w:cs="Verdana"/>
                      <w:sz w:val="20"/>
                      <w:szCs w:val="20"/>
                      <w:lang w:eastAsia="lt-LT"/>
                    </w:rPr>
                  </w:pPr>
                  <w:r w:rsidRPr="23C3C96C">
                    <w:rPr>
                      <w:rFonts w:ascii="Verdana" w:eastAsia="Verdana" w:hAnsi="Verdana" w:cs="Verdana"/>
                      <w:sz w:val="20"/>
                      <w:szCs w:val="20"/>
                      <w:lang w:eastAsia="lt-LT"/>
                    </w:rPr>
                    <w:t>1.</w:t>
                  </w:r>
                </w:p>
              </w:tc>
              <w:tc>
                <w:tcPr>
                  <w:tcW w:w="3261" w:type="dxa"/>
                </w:tcPr>
                <w:p w14:paraId="2ADEA3C3" w14:textId="7100C09E" w:rsidR="00C20407" w:rsidRPr="00B87623" w:rsidRDefault="58D93526" w:rsidP="23C3C96C">
                  <w:pPr>
                    <w:spacing w:before="100" w:beforeAutospacing="1" w:after="100" w:afterAutospacing="1"/>
                    <w:rPr>
                      <w:rFonts w:ascii="Verdana" w:eastAsia="Verdana" w:hAnsi="Verdana" w:cs="Verdana"/>
                      <w:sz w:val="20"/>
                      <w:szCs w:val="20"/>
                      <w:lang w:eastAsia="lt-LT"/>
                    </w:rPr>
                  </w:pPr>
                  <w:r w:rsidRPr="23C3C96C">
                    <w:rPr>
                      <w:rFonts w:ascii="Verdana" w:eastAsia="Verdana" w:hAnsi="Verdana" w:cs="Verdana"/>
                      <w:sz w:val="20"/>
                      <w:szCs w:val="20"/>
                      <w:lang w:eastAsia="lt-LT"/>
                    </w:rPr>
                    <w:t>Paraiškų vertinimas (raštiškos ekspertinės išvados) – 500 vnt.</w:t>
                  </w:r>
                  <w:r w:rsidRPr="23C3C96C">
                    <w:rPr>
                      <w:rStyle w:val="FootnoteReference"/>
                      <w:rFonts w:ascii="Verdana" w:eastAsia="Verdana" w:hAnsi="Verdana" w:cs="Verdana"/>
                      <w:sz w:val="20"/>
                      <w:szCs w:val="20"/>
                      <w:lang w:eastAsia="lt-LT"/>
                    </w:rPr>
                    <w:t xml:space="preserve"> </w:t>
                  </w:r>
                  <w:r w:rsidR="00C20407" w:rsidRPr="23C3C96C">
                    <w:rPr>
                      <w:rStyle w:val="FootnoteReference"/>
                      <w:rFonts w:ascii="Verdana" w:eastAsia="Verdana" w:hAnsi="Verdana" w:cs="Verdana"/>
                      <w:sz w:val="20"/>
                      <w:szCs w:val="20"/>
                      <w:lang w:eastAsia="lt-LT"/>
                    </w:rPr>
                    <w:footnoteReference w:id="1"/>
                  </w:r>
                  <w:r w:rsidRPr="23C3C96C">
                    <w:rPr>
                      <w:rFonts w:ascii="Verdana" w:eastAsia="Verdana" w:hAnsi="Verdana" w:cs="Verdana"/>
                      <w:sz w:val="20"/>
                      <w:szCs w:val="20"/>
                      <w:lang w:eastAsia="lt-LT"/>
                    </w:rPr>
                    <w:t xml:space="preserve"> (prelim</w:t>
                  </w:r>
                  <w:r w:rsidR="193E12ED" w:rsidRPr="23C3C96C">
                    <w:rPr>
                      <w:rFonts w:ascii="Verdana" w:eastAsia="Verdana" w:hAnsi="Verdana" w:cs="Verdana"/>
                      <w:sz w:val="20"/>
                      <w:szCs w:val="20"/>
                      <w:lang w:eastAsia="lt-LT"/>
                    </w:rPr>
                    <w:t>in</w:t>
                  </w:r>
                  <w:r w:rsidRPr="23C3C96C">
                    <w:rPr>
                      <w:rFonts w:ascii="Verdana" w:eastAsia="Verdana" w:hAnsi="Verdana" w:cs="Verdana"/>
                      <w:sz w:val="20"/>
                      <w:szCs w:val="20"/>
                      <w:lang w:eastAsia="lt-LT"/>
                    </w:rPr>
                    <w:t>ariai po 250 paraiškų pagal kiekvieną priemonę, tačiau santykis gali keistis, priklausomai nuo pagal konkrečią priemonę faktiškai gautų paraiškų skaičiaus)</w:t>
                  </w:r>
                </w:p>
              </w:tc>
              <w:tc>
                <w:tcPr>
                  <w:tcW w:w="5607" w:type="dxa"/>
                </w:tcPr>
                <w:p w14:paraId="3A3D3719" w14:textId="77777777" w:rsidR="00C20407" w:rsidRPr="00B87623" w:rsidRDefault="58D93526" w:rsidP="23C3C96C">
                  <w:pPr>
                    <w:spacing w:before="100" w:beforeAutospacing="1" w:after="100" w:afterAutospacing="1"/>
                    <w:jc w:val="both"/>
                    <w:rPr>
                      <w:rFonts w:ascii="Verdana" w:eastAsia="Verdana" w:hAnsi="Verdana" w:cs="Verdana"/>
                      <w:sz w:val="20"/>
                      <w:szCs w:val="20"/>
                      <w:lang w:eastAsia="lt-LT"/>
                    </w:rPr>
                  </w:pPr>
                  <w:r w:rsidRPr="23C3C96C">
                    <w:rPr>
                      <w:rFonts w:ascii="Verdana" w:eastAsia="Verdana" w:hAnsi="Verdana" w:cs="Verdana"/>
                      <w:sz w:val="20"/>
                      <w:szCs w:val="20"/>
                      <w:lang w:eastAsia="lt-LT"/>
                    </w:rPr>
                    <w:t>Paraiškoje ir paraiškos prieduose pateiktos informacijos vertinimas pagal perkančiosios organizacijos parengtą klausimyną (fiksuotas vieneto įkainis), įskaitant paklausimo suformulavimą pareiškėjui (jei reikalinga). Į paslaugų apimtį taip pat įeina mažiausiai 2 nuotoliniai susitikimai ekspertų grupėje vertinimo proceso metu.</w:t>
                  </w:r>
                </w:p>
              </w:tc>
            </w:tr>
            <w:tr w:rsidR="00C20407" w:rsidRPr="00B87623" w14:paraId="6968224B" w14:textId="77777777" w:rsidTr="23C3C96C">
              <w:tc>
                <w:tcPr>
                  <w:tcW w:w="570" w:type="dxa"/>
                </w:tcPr>
                <w:p w14:paraId="59F4479B" w14:textId="77777777" w:rsidR="00C20407" w:rsidRPr="00B87623" w:rsidRDefault="58D93526" w:rsidP="23C3C96C">
                  <w:pPr>
                    <w:spacing w:before="100" w:beforeAutospacing="1" w:after="100" w:afterAutospacing="1"/>
                    <w:rPr>
                      <w:rFonts w:ascii="Verdana" w:eastAsia="Verdana" w:hAnsi="Verdana" w:cs="Verdana"/>
                      <w:sz w:val="20"/>
                      <w:szCs w:val="20"/>
                      <w:lang w:eastAsia="lt-LT"/>
                    </w:rPr>
                  </w:pPr>
                  <w:r w:rsidRPr="23C3C96C">
                    <w:rPr>
                      <w:rFonts w:ascii="Verdana" w:eastAsia="Verdana" w:hAnsi="Verdana" w:cs="Verdana"/>
                      <w:sz w:val="20"/>
                      <w:szCs w:val="20"/>
                      <w:lang w:eastAsia="lt-LT"/>
                    </w:rPr>
                    <w:t>2.</w:t>
                  </w:r>
                </w:p>
              </w:tc>
              <w:tc>
                <w:tcPr>
                  <w:tcW w:w="3261" w:type="dxa"/>
                </w:tcPr>
                <w:p w14:paraId="0B6BE9B7" w14:textId="2CFCD8BE" w:rsidR="00C20407" w:rsidRPr="00E05877" w:rsidRDefault="58D93526" w:rsidP="23C3C96C">
                  <w:pPr>
                    <w:spacing w:before="100" w:beforeAutospacing="1" w:after="100" w:afterAutospacing="1"/>
                    <w:rPr>
                      <w:rFonts w:ascii="Verdana" w:eastAsia="Verdana" w:hAnsi="Verdana" w:cs="Verdana"/>
                      <w:sz w:val="20"/>
                      <w:szCs w:val="20"/>
                      <w:lang w:eastAsia="lt-LT"/>
                    </w:rPr>
                  </w:pPr>
                  <w:r w:rsidRPr="23C3C96C">
                    <w:rPr>
                      <w:rFonts w:ascii="Verdana" w:eastAsia="Verdana" w:hAnsi="Verdana" w:cs="Verdana"/>
                      <w:sz w:val="20"/>
                      <w:szCs w:val="20"/>
                      <w:lang w:eastAsia="lt-LT"/>
                    </w:rPr>
                    <w:t>Paraiškų vertinimas (žodinės ekspertinės išvados) – 100 vnt.</w:t>
                  </w:r>
                  <w:r w:rsidRPr="23C3C96C">
                    <w:rPr>
                      <w:rStyle w:val="FootnoteReference"/>
                      <w:rFonts w:ascii="Verdana" w:eastAsia="Verdana" w:hAnsi="Verdana" w:cs="Verdana"/>
                      <w:sz w:val="20"/>
                      <w:szCs w:val="20"/>
                      <w:lang w:eastAsia="lt-LT"/>
                    </w:rPr>
                    <w:t xml:space="preserve"> </w:t>
                  </w:r>
                  <w:r w:rsidR="00C20407" w:rsidRPr="23C3C96C">
                    <w:rPr>
                      <w:rStyle w:val="FootnoteReference"/>
                      <w:rFonts w:ascii="Verdana" w:eastAsia="Verdana" w:hAnsi="Verdana" w:cs="Verdana"/>
                      <w:sz w:val="20"/>
                      <w:szCs w:val="20"/>
                      <w:lang w:eastAsia="lt-LT"/>
                    </w:rPr>
                    <w:footnoteReference w:id="2"/>
                  </w:r>
                  <w:r w:rsidRPr="23C3C96C">
                    <w:rPr>
                      <w:rFonts w:ascii="Verdana" w:eastAsia="Verdana" w:hAnsi="Verdana" w:cs="Verdana"/>
                      <w:sz w:val="20"/>
                      <w:szCs w:val="20"/>
                      <w:lang w:eastAsia="lt-LT"/>
                    </w:rPr>
                    <w:t xml:space="preserve"> (prelim</w:t>
                  </w:r>
                  <w:r w:rsidR="34DA1F09" w:rsidRPr="23C3C96C">
                    <w:rPr>
                      <w:rFonts w:ascii="Verdana" w:eastAsia="Verdana" w:hAnsi="Verdana" w:cs="Verdana"/>
                      <w:sz w:val="20"/>
                      <w:szCs w:val="20"/>
                      <w:lang w:eastAsia="lt-LT"/>
                    </w:rPr>
                    <w:t>in</w:t>
                  </w:r>
                  <w:r w:rsidRPr="23C3C96C">
                    <w:rPr>
                      <w:rFonts w:ascii="Verdana" w:eastAsia="Verdana" w:hAnsi="Verdana" w:cs="Verdana"/>
                      <w:sz w:val="20"/>
                      <w:szCs w:val="20"/>
                      <w:lang w:eastAsia="lt-LT"/>
                    </w:rPr>
                    <w:t>ariai po 50 paraiškų pagal kiekvieną priemonę, tačiau santykis gali keistis, priklausomai nuo pagal konkrečią priemonę faktiškai gautų paraiškų skaičiaus)</w:t>
                  </w:r>
                </w:p>
              </w:tc>
              <w:tc>
                <w:tcPr>
                  <w:tcW w:w="5607" w:type="dxa"/>
                </w:tcPr>
                <w:p w14:paraId="45F1D43E" w14:textId="77777777" w:rsidR="00C20407" w:rsidRPr="00E05877" w:rsidRDefault="58D93526" w:rsidP="23C3C96C">
                  <w:pPr>
                    <w:spacing w:before="100" w:beforeAutospacing="1" w:after="100" w:afterAutospacing="1"/>
                    <w:jc w:val="both"/>
                    <w:rPr>
                      <w:rFonts w:ascii="Verdana" w:eastAsia="Verdana" w:hAnsi="Verdana" w:cs="Verdana"/>
                      <w:sz w:val="20"/>
                      <w:szCs w:val="20"/>
                      <w:lang w:eastAsia="lt-LT"/>
                    </w:rPr>
                  </w:pPr>
                  <w:r w:rsidRPr="23C3C96C">
                    <w:rPr>
                      <w:rFonts w:ascii="Verdana" w:eastAsia="Verdana" w:hAnsi="Verdana" w:cs="Verdana"/>
                      <w:sz w:val="20"/>
                      <w:szCs w:val="20"/>
                      <w:lang w:eastAsia="lt-LT"/>
                    </w:rPr>
                    <w:t>Paraiškoje ir paraiškos prieduose pateiktos informacijos atitikimo DI priemonių finansavimo sąlygų aprašo (toliau – Aprašas) nuostatoms ir kainų atitikimo rinkos kainoms įvertinimas be rašytinės išvados (fiksuotas vieneto įkainis).</w:t>
                  </w:r>
                </w:p>
              </w:tc>
            </w:tr>
          </w:tbl>
          <w:p w14:paraId="5AF873EE" w14:textId="77777777" w:rsidR="00C20407" w:rsidRPr="00B87623" w:rsidRDefault="00C20407" w:rsidP="23C3C96C">
            <w:pPr>
              <w:spacing w:before="100" w:beforeAutospacing="1" w:after="100" w:afterAutospacing="1" w:line="240" w:lineRule="auto"/>
              <w:rPr>
                <w:rFonts w:ascii="Verdana" w:eastAsia="Verdana" w:hAnsi="Verdana" w:cs="Verdana"/>
                <w:sz w:val="20"/>
                <w:szCs w:val="20"/>
                <w:lang w:eastAsia="lt-LT"/>
              </w:rPr>
            </w:pPr>
          </w:p>
        </w:tc>
        <w:tc>
          <w:tcPr>
            <w:tcW w:w="0" w:type="auto"/>
            <w:vAlign w:val="center"/>
            <w:hideMark/>
          </w:tcPr>
          <w:p w14:paraId="088465C1" w14:textId="77777777" w:rsidR="00C20407" w:rsidRPr="00B87623" w:rsidRDefault="00C20407" w:rsidP="23C3C96C">
            <w:pPr>
              <w:spacing w:before="100" w:beforeAutospacing="1" w:after="100" w:afterAutospacing="1" w:line="240" w:lineRule="auto"/>
              <w:jc w:val="right"/>
              <w:rPr>
                <w:rFonts w:ascii="Verdana" w:eastAsia="Verdana" w:hAnsi="Verdana" w:cs="Verdana"/>
                <w:sz w:val="20"/>
                <w:szCs w:val="20"/>
                <w:lang w:eastAsia="lt-LT"/>
              </w:rPr>
            </w:pPr>
          </w:p>
        </w:tc>
        <w:tc>
          <w:tcPr>
            <w:tcW w:w="0" w:type="auto"/>
            <w:vAlign w:val="center"/>
            <w:hideMark/>
          </w:tcPr>
          <w:p w14:paraId="5A404CFE" w14:textId="77777777" w:rsidR="00C20407" w:rsidRPr="00B87623" w:rsidRDefault="00C20407" w:rsidP="23C3C96C">
            <w:pPr>
              <w:spacing w:before="100" w:beforeAutospacing="1" w:after="100" w:afterAutospacing="1" w:line="240" w:lineRule="auto"/>
              <w:rPr>
                <w:rFonts w:ascii="Verdana" w:eastAsia="Verdana" w:hAnsi="Verdana" w:cs="Verdana"/>
                <w:sz w:val="20"/>
                <w:szCs w:val="20"/>
                <w:lang w:eastAsia="lt-LT"/>
              </w:rPr>
            </w:pPr>
          </w:p>
        </w:tc>
        <w:tc>
          <w:tcPr>
            <w:tcW w:w="0" w:type="auto"/>
            <w:vAlign w:val="center"/>
            <w:hideMark/>
          </w:tcPr>
          <w:p w14:paraId="6FD688BB" w14:textId="77777777" w:rsidR="00C20407" w:rsidRPr="00B87623" w:rsidRDefault="00C20407" w:rsidP="23C3C96C">
            <w:pPr>
              <w:spacing w:before="100" w:beforeAutospacing="1" w:after="100" w:afterAutospacing="1" w:line="240" w:lineRule="auto"/>
              <w:rPr>
                <w:rFonts w:ascii="Verdana" w:eastAsia="Verdana" w:hAnsi="Verdana" w:cs="Verdana"/>
                <w:sz w:val="20"/>
                <w:szCs w:val="20"/>
                <w:lang w:eastAsia="lt-LT"/>
              </w:rPr>
            </w:pPr>
          </w:p>
        </w:tc>
        <w:tc>
          <w:tcPr>
            <w:tcW w:w="0" w:type="auto"/>
            <w:vAlign w:val="center"/>
            <w:hideMark/>
          </w:tcPr>
          <w:p w14:paraId="144873AF" w14:textId="77777777" w:rsidR="00C20407" w:rsidRPr="00B87623" w:rsidRDefault="00C20407" w:rsidP="23C3C96C">
            <w:pPr>
              <w:spacing w:before="100" w:beforeAutospacing="1" w:after="100" w:afterAutospacing="1" w:line="240" w:lineRule="auto"/>
              <w:rPr>
                <w:rFonts w:ascii="Verdana" w:eastAsia="Verdana" w:hAnsi="Verdana" w:cs="Verdana"/>
                <w:sz w:val="20"/>
                <w:szCs w:val="20"/>
                <w:lang w:eastAsia="lt-LT"/>
              </w:rPr>
            </w:pPr>
          </w:p>
        </w:tc>
        <w:tc>
          <w:tcPr>
            <w:tcW w:w="0" w:type="auto"/>
            <w:vAlign w:val="center"/>
            <w:hideMark/>
          </w:tcPr>
          <w:p w14:paraId="3A8ABCE4" w14:textId="77777777" w:rsidR="00C20407" w:rsidRPr="00B87623" w:rsidRDefault="00C20407" w:rsidP="23C3C96C">
            <w:pPr>
              <w:spacing w:before="100" w:beforeAutospacing="1" w:after="100" w:afterAutospacing="1" w:line="240" w:lineRule="auto"/>
              <w:rPr>
                <w:rFonts w:ascii="Verdana" w:eastAsia="Verdana" w:hAnsi="Verdana" w:cs="Verdana"/>
                <w:sz w:val="20"/>
                <w:szCs w:val="20"/>
                <w:lang w:eastAsia="lt-LT"/>
              </w:rPr>
            </w:pPr>
          </w:p>
        </w:tc>
        <w:tc>
          <w:tcPr>
            <w:tcW w:w="0" w:type="auto"/>
            <w:vAlign w:val="center"/>
            <w:hideMark/>
          </w:tcPr>
          <w:p w14:paraId="777D5922" w14:textId="77777777" w:rsidR="00C20407" w:rsidRPr="00B87623" w:rsidRDefault="58D93526" w:rsidP="23C3C96C">
            <w:pPr>
              <w:spacing w:before="100" w:beforeAutospacing="1" w:after="100" w:afterAutospacing="1" w:line="240" w:lineRule="auto"/>
              <w:rPr>
                <w:rFonts w:ascii="Verdana" w:eastAsia="Verdana" w:hAnsi="Verdana" w:cs="Verdana"/>
                <w:sz w:val="20"/>
                <w:szCs w:val="20"/>
                <w:lang w:eastAsia="lt-LT"/>
              </w:rPr>
            </w:pPr>
            <w:r w:rsidRPr="23C3C96C">
              <w:rPr>
                <w:rFonts w:ascii="Verdana" w:eastAsia="Verdana" w:hAnsi="Verdana" w:cs="Verdana"/>
                <w:sz w:val="20"/>
                <w:szCs w:val="20"/>
                <w:lang w:eastAsia="lt-LT"/>
              </w:rPr>
              <w:t> </w:t>
            </w:r>
          </w:p>
        </w:tc>
      </w:tr>
    </w:tbl>
    <w:p w14:paraId="5F70DFDB" w14:textId="77777777" w:rsidR="00C20407" w:rsidRPr="00B87623" w:rsidRDefault="00C20407" w:rsidP="23C3C96C">
      <w:pPr>
        <w:spacing w:after="0" w:line="240" w:lineRule="auto"/>
        <w:ind w:left="1077"/>
        <w:contextualSpacing/>
        <w:rPr>
          <w:rFonts w:ascii="Verdana" w:eastAsia="Verdana" w:hAnsi="Verdana" w:cs="Verdana"/>
          <w:b/>
          <w:bCs/>
          <w:sz w:val="20"/>
          <w:szCs w:val="20"/>
          <w:lang w:eastAsia="lt-LT"/>
        </w:rPr>
      </w:pPr>
    </w:p>
    <w:p w14:paraId="0848ADBA" w14:textId="77777777" w:rsidR="00C20407" w:rsidRDefault="58D93526" w:rsidP="23C3C96C">
      <w:pPr>
        <w:numPr>
          <w:ilvl w:val="0"/>
          <w:numId w:val="1"/>
        </w:numPr>
        <w:spacing w:before="100" w:beforeAutospacing="1" w:after="100" w:afterAutospacing="1" w:line="240" w:lineRule="auto"/>
        <w:ind w:left="0" w:firstLine="567"/>
        <w:contextualSpacing/>
        <w:jc w:val="both"/>
        <w:rPr>
          <w:rFonts w:ascii="Verdana" w:eastAsia="Verdana" w:hAnsi="Verdana" w:cs="Verdana"/>
          <w:sz w:val="20"/>
          <w:szCs w:val="20"/>
          <w:lang w:eastAsia="lt-LT"/>
        </w:rPr>
      </w:pPr>
      <w:r w:rsidRPr="23C3C96C">
        <w:rPr>
          <w:rFonts w:ascii="Verdana" w:eastAsia="Verdana" w:hAnsi="Verdana" w:cs="Verdana"/>
          <w:sz w:val="20"/>
          <w:szCs w:val="20"/>
          <w:lang w:eastAsia="lt-LT"/>
        </w:rPr>
        <w:t>Raštiškos ekspertinės išvados ir žodinės išvados pateikimo terminai:</w:t>
      </w:r>
    </w:p>
    <w:p w14:paraId="673D71E3" w14:textId="77777777" w:rsidR="00C20407" w:rsidRDefault="58D93526" w:rsidP="23C3C96C">
      <w:pPr>
        <w:pStyle w:val="ListParagraph"/>
        <w:numPr>
          <w:ilvl w:val="0"/>
          <w:numId w:val="24"/>
        </w:numPr>
        <w:spacing w:before="100" w:beforeAutospacing="1" w:after="100" w:afterAutospacing="1" w:line="240" w:lineRule="auto"/>
        <w:jc w:val="both"/>
        <w:rPr>
          <w:rFonts w:ascii="Verdana" w:eastAsia="Verdana" w:hAnsi="Verdana" w:cs="Verdana"/>
          <w:sz w:val="20"/>
          <w:szCs w:val="20"/>
          <w:lang w:eastAsia="lt-LT"/>
        </w:rPr>
      </w:pPr>
      <w:r w:rsidRPr="23C3C96C">
        <w:rPr>
          <w:rFonts w:ascii="Verdana" w:eastAsia="Verdana" w:hAnsi="Verdana" w:cs="Verdana"/>
          <w:sz w:val="20"/>
          <w:szCs w:val="20"/>
          <w:lang w:eastAsia="lt-LT"/>
        </w:rPr>
        <w:t xml:space="preserve">Kai ekspertui priskirta vertinti iki 5 paraiškų vienu metu - per </w:t>
      </w:r>
      <w:r w:rsidRPr="23C3C96C">
        <w:rPr>
          <w:rFonts w:ascii="Verdana" w:eastAsia="Verdana" w:hAnsi="Verdana" w:cs="Verdana"/>
          <w:sz w:val="20"/>
          <w:szCs w:val="20"/>
          <w:u w:val="single"/>
          <w:lang w:eastAsia="lt-LT"/>
        </w:rPr>
        <w:t>7 darbo dienų</w:t>
      </w:r>
      <w:r w:rsidRPr="23C3C96C">
        <w:rPr>
          <w:rFonts w:ascii="Verdana" w:eastAsia="Verdana" w:hAnsi="Verdana" w:cs="Verdana"/>
          <w:b/>
          <w:bCs/>
          <w:sz w:val="20"/>
          <w:szCs w:val="20"/>
          <w:lang w:eastAsia="lt-LT"/>
        </w:rPr>
        <w:t xml:space="preserve"> </w:t>
      </w:r>
      <w:r w:rsidRPr="23C3C96C">
        <w:rPr>
          <w:rFonts w:ascii="Verdana" w:eastAsia="Verdana" w:hAnsi="Verdana" w:cs="Verdana"/>
          <w:sz w:val="20"/>
          <w:szCs w:val="20"/>
          <w:lang w:eastAsia="lt-LT"/>
        </w:rPr>
        <w:t>laikotarpį;</w:t>
      </w:r>
    </w:p>
    <w:p w14:paraId="3B470FF2" w14:textId="77777777" w:rsidR="00C20407" w:rsidRDefault="58D93526" w:rsidP="23C3C96C">
      <w:pPr>
        <w:pStyle w:val="ListParagraph"/>
        <w:numPr>
          <w:ilvl w:val="0"/>
          <w:numId w:val="24"/>
        </w:numPr>
        <w:spacing w:before="100" w:beforeAutospacing="1" w:after="100" w:afterAutospacing="1" w:line="240" w:lineRule="auto"/>
        <w:jc w:val="both"/>
        <w:rPr>
          <w:rFonts w:ascii="Verdana" w:eastAsia="Verdana" w:hAnsi="Verdana" w:cs="Verdana"/>
          <w:sz w:val="20"/>
          <w:szCs w:val="20"/>
          <w:lang w:eastAsia="lt-LT"/>
        </w:rPr>
      </w:pPr>
      <w:r w:rsidRPr="23C3C96C">
        <w:rPr>
          <w:rFonts w:ascii="Verdana" w:eastAsia="Verdana" w:hAnsi="Verdana" w:cs="Verdana"/>
          <w:sz w:val="20"/>
          <w:szCs w:val="20"/>
          <w:lang w:eastAsia="lt-LT"/>
        </w:rPr>
        <w:t>Kai ekspertui priskirta vertinti</w:t>
      </w:r>
      <w:r w:rsidRPr="23C3C96C">
        <w:rPr>
          <w:rFonts w:ascii="Verdana" w:eastAsia="Verdana" w:hAnsi="Verdana" w:cs="Verdana"/>
          <w:sz w:val="20"/>
          <w:szCs w:val="20"/>
        </w:rPr>
        <w:t xml:space="preserve"> nuo 6 iki 15 </w:t>
      </w:r>
      <w:r w:rsidRPr="23C3C96C">
        <w:rPr>
          <w:rFonts w:ascii="Verdana" w:eastAsia="Verdana" w:hAnsi="Verdana" w:cs="Verdana"/>
          <w:sz w:val="20"/>
          <w:szCs w:val="20"/>
          <w:lang w:eastAsia="lt-LT"/>
        </w:rPr>
        <w:t xml:space="preserve">paraiškų vienu metu – per </w:t>
      </w:r>
      <w:r w:rsidRPr="23C3C96C">
        <w:rPr>
          <w:rFonts w:ascii="Verdana" w:eastAsia="Verdana" w:hAnsi="Verdana" w:cs="Verdana"/>
          <w:sz w:val="20"/>
          <w:szCs w:val="20"/>
          <w:u w:val="single"/>
          <w:lang w:eastAsia="lt-LT"/>
        </w:rPr>
        <w:t>12 darbo dienų</w:t>
      </w:r>
      <w:r w:rsidRPr="23C3C96C">
        <w:rPr>
          <w:rFonts w:ascii="Verdana" w:eastAsia="Verdana" w:hAnsi="Verdana" w:cs="Verdana"/>
          <w:sz w:val="20"/>
          <w:szCs w:val="20"/>
          <w:lang w:eastAsia="lt-LT"/>
        </w:rPr>
        <w:t xml:space="preserve"> laikotarpį;</w:t>
      </w:r>
    </w:p>
    <w:p w14:paraId="303B81C5" w14:textId="77777777" w:rsidR="00C20407" w:rsidRDefault="58D93526" w:rsidP="23C3C96C">
      <w:pPr>
        <w:pStyle w:val="ListParagraph"/>
        <w:numPr>
          <w:ilvl w:val="0"/>
          <w:numId w:val="24"/>
        </w:numPr>
        <w:spacing w:before="100" w:beforeAutospacing="1" w:after="100" w:afterAutospacing="1" w:line="240" w:lineRule="auto"/>
        <w:jc w:val="both"/>
        <w:rPr>
          <w:rFonts w:ascii="Verdana" w:eastAsia="Verdana" w:hAnsi="Verdana" w:cs="Verdana"/>
          <w:sz w:val="20"/>
          <w:szCs w:val="20"/>
          <w:lang w:eastAsia="lt-LT"/>
        </w:rPr>
      </w:pPr>
      <w:r w:rsidRPr="23C3C96C">
        <w:rPr>
          <w:rFonts w:ascii="Verdana" w:eastAsia="Verdana" w:hAnsi="Verdana" w:cs="Verdana"/>
          <w:sz w:val="20"/>
          <w:szCs w:val="20"/>
          <w:lang w:eastAsia="lt-LT"/>
        </w:rPr>
        <w:t>Kai ekspertui priskirta vertinti</w:t>
      </w:r>
      <w:r w:rsidRPr="23C3C96C">
        <w:rPr>
          <w:rFonts w:ascii="Verdana" w:eastAsia="Verdana" w:hAnsi="Verdana" w:cs="Verdana"/>
          <w:sz w:val="20"/>
          <w:szCs w:val="20"/>
        </w:rPr>
        <w:t xml:space="preserve"> nuo 16 iki 25 </w:t>
      </w:r>
      <w:r w:rsidRPr="23C3C96C">
        <w:rPr>
          <w:rFonts w:ascii="Verdana" w:eastAsia="Verdana" w:hAnsi="Verdana" w:cs="Verdana"/>
          <w:sz w:val="20"/>
          <w:szCs w:val="20"/>
          <w:lang w:eastAsia="lt-LT"/>
        </w:rPr>
        <w:t xml:space="preserve">paraiškų vienu metu – per </w:t>
      </w:r>
      <w:r w:rsidRPr="23C3C96C">
        <w:rPr>
          <w:rFonts w:ascii="Verdana" w:eastAsia="Verdana" w:hAnsi="Verdana" w:cs="Verdana"/>
          <w:sz w:val="20"/>
          <w:szCs w:val="20"/>
          <w:u w:val="single"/>
          <w:lang w:eastAsia="lt-LT"/>
        </w:rPr>
        <w:t>17 darbo dienų</w:t>
      </w:r>
      <w:r w:rsidRPr="23C3C96C">
        <w:rPr>
          <w:rFonts w:ascii="Verdana" w:eastAsia="Verdana" w:hAnsi="Verdana" w:cs="Verdana"/>
          <w:sz w:val="20"/>
          <w:szCs w:val="20"/>
          <w:lang w:eastAsia="lt-LT"/>
        </w:rPr>
        <w:t xml:space="preserve"> laikotarpį;</w:t>
      </w:r>
    </w:p>
    <w:p w14:paraId="75EE27A6" w14:textId="77777777" w:rsidR="00C20407" w:rsidRPr="00683544" w:rsidRDefault="58D93526" w:rsidP="23C3C96C">
      <w:pPr>
        <w:pStyle w:val="ListParagraph"/>
        <w:numPr>
          <w:ilvl w:val="0"/>
          <w:numId w:val="24"/>
        </w:numPr>
        <w:spacing w:before="100" w:beforeAutospacing="1" w:after="100" w:afterAutospacing="1" w:line="240" w:lineRule="auto"/>
        <w:jc w:val="both"/>
        <w:rPr>
          <w:rFonts w:ascii="Verdana" w:eastAsia="Verdana" w:hAnsi="Verdana" w:cs="Verdana"/>
          <w:sz w:val="20"/>
          <w:szCs w:val="20"/>
          <w:lang w:eastAsia="lt-LT"/>
        </w:rPr>
      </w:pPr>
      <w:r w:rsidRPr="23C3C96C">
        <w:rPr>
          <w:rFonts w:ascii="Verdana" w:eastAsia="Verdana" w:hAnsi="Verdana" w:cs="Verdana"/>
          <w:sz w:val="20"/>
          <w:szCs w:val="20"/>
        </w:rPr>
        <w:t xml:space="preserve">Ir t.t. </w:t>
      </w:r>
    </w:p>
    <w:p w14:paraId="4C73F747" w14:textId="77777777" w:rsidR="00C20407" w:rsidRPr="00641BB4" w:rsidRDefault="58D93526" w:rsidP="23C3C96C">
      <w:pPr>
        <w:spacing w:before="100" w:beforeAutospacing="1" w:after="100" w:afterAutospacing="1" w:line="240" w:lineRule="auto"/>
        <w:ind w:firstLine="567"/>
        <w:jc w:val="both"/>
        <w:rPr>
          <w:rFonts w:ascii="Verdana" w:eastAsia="Verdana" w:hAnsi="Verdana" w:cs="Verdana"/>
          <w:sz w:val="20"/>
          <w:szCs w:val="20"/>
          <w:lang w:eastAsia="lt-LT"/>
        </w:rPr>
      </w:pPr>
      <w:r w:rsidRPr="23C3C96C">
        <w:rPr>
          <w:rFonts w:ascii="Verdana" w:eastAsia="Verdana" w:hAnsi="Verdana" w:cs="Verdana"/>
          <w:sz w:val="20"/>
          <w:szCs w:val="20"/>
        </w:rPr>
        <w:t xml:space="preserve">Terminas skaičiuojamas nuo </w:t>
      </w:r>
      <w:r w:rsidRPr="23C3C96C">
        <w:rPr>
          <w:rFonts w:ascii="Verdana" w:eastAsia="Verdana" w:hAnsi="Verdana" w:cs="Verdana"/>
          <w:sz w:val="20"/>
          <w:szCs w:val="20"/>
          <w:lang w:eastAsia="lt-LT"/>
        </w:rPr>
        <w:t xml:space="preserve">konkrečios paraiškos dokumentų pateikimo ekspertui dienos. Į terminą neįskaitomas laikas, kai pateikti eksperto klausimai ir laukiama pareiškėjo atsakymo. Jeigu paaiškėja naujos aplinkybės, papildoma informacija, ar perkančioji organizacija turi </w:t>
      </w:r>
      <w:r w:rsidRPr="23C3C96C">
        <w:rPr>
          <w:rFonts w:ascii="Verdana" w:eastAsia="Verdana" w:hAnsi="Verdana" w:cs="Verdana"/>
          <w:sz w:val="20"/>
          <w:szCs w:val="20"/>
          <w:lang w:eastAsia="lt-LT"/>
        </w:rPr>
        <w:lastRenderedPageBreak/>
        <w:t xml:space="preserve">raštiškų pastabų eksperto išvados kokybei, išsamumui, pagrindimui, išvada turi būti tikslinama per ne ilgesnį nei 3 darbo dienų terminą nuo visos medžiagos ekspertui persiuntimo. </w:t>
      </w:r>
    </w:p>
    <w:p w14:paraId="17E22EE5" w14:textId="77777777" w:rsidR="00C20407" w:rsidRDefault="58D93526" w:rsidP="23C3C96C">
      <w:pPr>
        <w:numPr>
          <w:ilvl w:val="0"/>
          <w:numId w:val="1"/>
        </w:numPr>
        <w:spacing w:before="100" w:beforeAutospacing="1" w:after="100" w:afterAutospacing="1" w:line="240" w:lineRule="auto"/>
        <w:ind w:left="0" w:firstLine="567"/>
        <w:contextualSpacing/>
        <w:jc w:val="both"/>
        <w:rPr>
          <w:rFonts w:ascii="Verdana" w:eastAsia="Verdana" w:hAnsi="Verdana" w:cs="Verdana"/>
          <w:sz w:val="20"/>
          <w:szCs w:val="20"/>
          <w:lang w:eastAsia="lt-LT"/>
        </w:rPr>
      </w:pPr>
      <w:r w:rsidRPr="23C3C96C">
        <w:rPr>
          <w:rFonts w:ascii="Verdana" w:eastAsia="Verdana" w:hAnsi="Verdana" w:cs="Verdana"/>
          <w:sz w:val="20"/>
          <w:szCs w:val="20"/>
          <w:lang w:eastAsia="lt-LT"/>
        </w:rPr>
        <w:t xml:space="preserve">Ekspertinių išvadų parengimo terminas gali būti pratęstas perkančiosios organizacijos sprendimu be finansinių pasekmių paslaugos teikėjui: </w:t>
      </w:r>
    </w:p>
    <w:p w14:paraId="5B2DC156" w14:textId="77777777" w:rsidR="00C20407" w:rsidRDefault="58D93526" w:rsidP="23C3C96C">
      <w:pPr>
        <w:spacing w:after="0" w:line="240" w:lineRule="auto"/>
        <w:contextualSpacing/>
        <w:jc w:val="both"/>
        <w:rPr>
          <w:rFonts w:ascii="Verdana" w:eastAsia="Verdana" w:hAnsi="Verdana" w:cs="Verdana"/>
          <w:sz w:val="20"/>
          <w:szCs w:val="20"/>
          <w:lang w:eastAsia="lt-LT"/>
        </w:rPr>
      </w:pPr>
      <w:r w:rsidRPr="23C3C96C">
        <w:rPr>
          <w:rFonts w:ascii="Verdana" w:eastAsia="Verdana" w:hAnsi="Verdana" w:cs="Verdana"/>
          <w:sz w:val="20"/>
          <w:szCs w:val="20"/>
          <w:lang w:val="en-US" w:eastAsia="lt-LT"/>
        </w:rPr>
        <w:t xml:space="preserve">3.1. </w:t>
      </w:r>
      <w:r w:rsidRPr="23C3C96C">
        <w:rPr>
          <w:rFonts w:ascii="Verdana" w:eastAsia="Verdana" w:hAnsi="Verdana" w:cs="Verdana"/>
          <w:sz w:val="20"/>
          <w:szCs w:val="20"/>
          <w:lang w:eastAsia="lt-LT"/>
        </w:rPr>
        <w:t>jeigu perkančioji organizacija, iš pareiškėjų gauna naujos, papildomos informacijos ir paslaugos teikėjas norėdamas objektyviai ir išsamiai atsakyti į klausimyno klausimus turi ją įvertinti;</w:t>
      </w:r>
    </w:p>
    <w:p w14:paraId="055ED849" w14:textId="77777777" w:rsidR="00C20407" w:rsidRDefault="58D93526" w:rsidP="23C3C96C">
      <w:pPr>
        <w:spacing w:after="0" w:line="240" w:lineRule="auto"/>
        <w:contextualSpacing/>
        <w:jc w:val="both"/>
        <w:rPr>
          <w:rFonts w:ascii="Verdana" w:eastAsia="Verdana" w:hAnsi="Verdana" w:cs="Verdana"/>
          <w:sz w:val="20"/>
          <w:szCs w:val="20"/>
          <w:lang w:eastAsia="lt-LT"/>
        </w:rPr>
      </w:pPr>
      <w:r w:rsidRPr="23C3C96C">
        <w:rPr>
          <w:rFonts w:ascii="Verdana" w:eastAsia="Verdana" w:hAnsi="Verdana" w:cs="Verdana"/>
          <w:sz w:val="20"/>
          <w:szCs w:val="20"/>
          <w:lang w:eastAsia="lt-LT"/>
        </w:rPr>
        <w:t xml:space="preserve">3.2. jeigu perkančioji organizacija organizuoja grupinį ekspertinį vertinimą ir dar nėra gavusi kito paraleliai vertinančio eksperto nuomonės ir dėl to negali pateikti pastabų ir (arba) priimti paslaugos teikėjo parengtos ekspertinės išvados. </w:t>
      </w:r>
    </w:p>
    <w:p w14:paraId="229C2C68" w14:textId="77777777" w:rsidR="00C20407" w:rsidRPr="00EB71A6" w:rsidRDefault="58D93526" w:rsidP="23C3C96C">
      <w:pPr>
        <w:spacing w:after="0" w:line="240" w:lineRule="auto"/>
        <w:contextualSpacing/>
        <w:jc w:val="both"/>
        <w:rPr>
          <w:rFonts w:ascii="Verdana" w:eastAsia="Verdana" w:hAnsi="Verdana" w:cs="Verdana"/>
          <w:sz w:val="20"/>
          <w:szCs w:val="20"/>
          <w:lang w:eastAsia="lt-LT"/>
        </w:rPr>
      </w:pPr>
      <w:r w:rsidRPr="23C3C96C">
        <w:rPr>
          <w:rFonts w:ascii="Verdana" w:eastAsia="Verdana" w:hAnsi="Verdana" w:cs="Verdana"/>
          <w:sz w:val="20"/>
          <w:szCs w:val="20"/>
          <w:lang w:eastAsia="lt-LT"/>
        </w:rPr>
        <w:t xml:space="preserve">3.3. jeigu vienam ekspertui (tiekėjui) pateikta vertinti daugiau nei </w:t>
      </w:r>
      <w:r w:rsidRPr="23C3C96C">
        <w:rPr>
          <w:rFonts w:ascii="Verdana" w:eastAsia="Verdana" w:hAnsi="Verdana" w:cs="Verdana"/>
          <w:sz w:val="20"/>
          <w:szCs w:val="20"/>
          <w:lang w:val="en-US" w:eastAsia="lt-LT"/>
        </w:rPr>
        <w:t>20 vnt. parai</w:t>
      </w:r>
      <w:r w:rsidRPr="23C3C96C">
        <w:rPr>
          <w:rFonts w:ascii="Verdana" w:eastAsia="Verdana" w:hAnsi="Verdana" w:cs="Verdana"/>
          <w:sz w:val="20"/>
          <w:szCs w:val="20"/>
          <w:lang w:eastAsia="lt-LT"/>
        </w:rPr>
        <w:t>škų vienu metu.</w:t>
      </w:r>
    </w:p>
    <w:p w14:paraId="5C605AFC" w14:textId="77777777" w:rsidR="00C20407" w:rsidRPr="00B87623" w:rsidRDefault="58D93526" w:rsidP="23C3C96C">
      <w:pPr>
        <w:pStyle w:val="ListParagraph"/>
        <w:numPr>
          <w:ilvl w:val="0"/>
          <w:numId w:val="1"/>
        </w:numPr>
        <w:spacing w:after="0" w:line="240" w:lineRule="auto"/>
        <w:ind w:left="0" w:firstLine="567"/>
        <w:jc w:val="both"/>
        <w:rPr>
          <w:rFonts w:ascii="Verdana" w:eastAsia="Verdana" w:hAnsi="Verdana" w:cs="Verdana"/>
          <w:sz w:val="20"/>
          <w:szCs w:val="20"/>
          <w:lang w:eastAsia="lt-LT"/>
        </w:rPr>
      </w:pPr>
      <w:r w:rsidRPr="23C3C96C">
        <w:rPr>
          <w:rFonts w:ascii="Verdana" w:eastAsia="Verdana" w:hAnsi="Verdana" w:cs="Verdana"/>
          <w:sz w:val="20"/>
          <w:szCs w:val="20"/>
          <w:lang w:eastAsia="lt-LT"/>
        </w:rPr>
        <w:t>Kokybiškam paslaugų teikimo užtikrinimui bus sudaromos atskiros preliminariosios pirkimo sutartys (</w:t>
      </w:r>
      <w:r w:rsidRPr="23C3C96C">
        <w:rPr>
          <w:rFonts w:ascii="Verdana" w:eastAsia="Verdana" w:hAnsi="Verdana" w:cs="Verdana"/>
          <w:sz w:val="20"/>
          <w:szCs w:val="20"/>
          <w:u w:val="single"/>
          <w:lang w:eastAsia="lt-LT"/>
        </w:rPr>
        <w:t xml:space="preserve">maksimaliai </w:t>
      </w:r>
      <w:r w:rsidRPr="23C3C96C">
        <w:rPr>
          <w:rFonts w:ascii="Verdana" w:eastAsia="Verdana" w:hAnsi="Verdana" w:cs="Verdana"/>
          <w:sz w:val="20"/>
          <w:szCs w:val="20"/>
          <w:u w:val="single"/>
          <w:lang w:val="en-US" w:eastAsia="lt-LT"/>
        </w:rPr>
        <w:t>10</w:t>
      </w:r>
      <w:r w:rsidRPr="23C3C96C">
        <w:rPr>
          <w:rFonts w:ascii="Verdana" w:eastAsia="Verdana" w:hAnsi="Verdana" w:cs="Verdana"/>
          <w:sz w:val="20"/>
          <w:szCs w:val="20"/>
          <w:u w:val="single"/>
          <w:lang w:eastAsia="lt-LT"/>
        </w:rPr>
        <w:t xml:space="preserve"> preliminarių sutarčių su skirtingais tiekėjais</w:t>
      </w:r>
      <w:r w:rsidRPr="23C3C96C">
        <w:rPr>
          <w:rFonts w:ascii="Verdana" w:eastAsia="Verdana" w:hAnsi="Verdana" w:cs="Verdana"/>
          <w:sz w:val="20"/>
          <w:szCs w:val="20"/>
          <w:lang w:eastAsia="lt-LT"/>
        </w:rPr>
        <w:t xml:space="preserve">). Paslaugų užsakymai bus skirstomi rotacijos būdu po 5 </w:t>
      </w:r>
      <w:r w:rsidRPr="23C3C96C">
        <w:rPr>
          <w:rFonts w:ascii="Verdana" w:eastAsia="Verdana" w:hAnsi="Verdana" w:cs="Verdana"/>
          <w:color w:val="000000" w:themeColor="text1"/>
          <w:sz w:val="20"/>
          <w:szCs w:val="20"/>
          <w:lang w:eastAsia="lt-LT"/>
        </w:rPr>
        <w:t>užsakymus (nepriklausomai nuo to, kiek vienas tie</w:t>
      </w:r>
      <w:r w:rsidRPr="23C3C96C">
        <w:rPr>
          <w:rFonts w:ascii="Verdana" w:eastAsia="Verdana" w:hAnsi="Verdana" w:cs="Verdana"/>
          <w:color w:val="000000" w:themeColor="text1"/>
          <w:sz w:val="20"/>
          <w:szCs w:val="20"/>
          <w:lang w:val="en-US" w:eastAsia="lt-LT"/>
        </w:rPr>
        <w:t>k</w:t>
      </w:r>
      <w:r w:rsidRPr="23C3C96C">
        <w:rPr>
          <w:rFonts w:ascii="Verdana" w:eastAsia="Verdana" w:hAnsi="Verdana" w:cs="Verdana"/>
          <w:color w:val="000000" w:themeColor="text1"/>
          <w:sz w:val="20"/>
          <w:szCs w:val="20"/>
          <w:lang w:eastAsia="lt-LT"/>
        </w:rPr>
        <w:t xml:space="preserve">ėjas pasiūlys/turės ekspertų), </w:t>
      </w:r>
      <w:r w:rsidRPr="23C3C96C">
        <w:rPr>
          <w:rFonts w:ascii="Verdana" w:eastAsia="Verdana" w:hAnsi="Verdana" w:cs="Verdana"/>
          <w:sz w:val="20"/>
          <w:szCs w:val="20"/>
          <w:lang w:eastAsia="lt-LT"/>
        </w:rPr>
        <w:t xml:space="preserve">pradedant nuo pirmo tiekėjo, po to antroje, trečioje, ketvirtoje ir kitose vietose (iki dešimtos) esantiems tiekėjams, pagal ekonominio naudingumo (kainos) mažėjimo tvarką. Tai yra, </w:t>
      </w:r>
      <w:r w:rsidRPr="23C3C96C">
        <w:rPr>
          <w:rFonts w:ascii="Verdana" w:eastAsia="Verdana" w:hAnsi="Verdana" w:cs="Verdana"/>
          <w:sz w:val="20"/>
          <w:szCs w:val="20"/>
          <w:lang w:val="en-US" w:eastAsia="lt-LT"/>
        </w:rPr>
        <w:t>5</w:t>
      </w:r>
      <w:r w:rsidRPr="23C3C96C">
        <w:rPr>
          <w:rFonts w:ascii="Verdana" w:eastAsia="Verdana" w:hAnsi="Verdana" w:cs="Verdana"/>
          <w:sz w:val="20"/>
          <w:szCs w:val="20"/>
          <w:lang w:eastAsia="lt-LT"/>
        </w:rPr>
        <w:t xml:space="preserve"> užsakymai pirmiausia siūlomi pirmam tiekėjui, tuomet kiti </w:t>
      </w:r>
      <w:r w:rsidRPr="23C3C96C">
        <w:rPr>
          <w:rFonts w:ascii="Verdana" w:eastAsia="Verdana" w:hAnsi="Verdana" w:cs="Verdana"/>
          <w:sz w:val="20"/>
          <w:szCs w:val="20"/>
          <w:lang w:val="en-US" w:eastAsia="lt-LT"/>
        </w:rPr>
        <w:t>5</w:t>
      </w:r>
      <w:r w:rsidRPr="23C3C96C">
        <w:rPr>
          <w:rFonts w:ascii="Verdana" w:eastAsia="Verdana" w:hAnsi="Verdana" w:cs="Verdana"/>
          <w:sz w:val="20"/>
          <w:szCs w:val="20"/>
          <w:lang w:eastAsia="lt-LT"/>
        </w:rPr>
        <w:t xml:space="preserve"> užsakymai antram tiekėjui ir t. t. iki dešimto tiekėjo. </w:t>
      </w:r>
      <w:commentRangeStart w:id="0"/>
      <w:commentRangeStart w:id="1"/>
      <w:r w:rsidRPr="23C3C96C">
        <w:rPr>
          <w:rFonts w:ascii="Verdana" w:eastAsia="Verdana" w:hAnsi="Verdana" w:cs="Verdana"/>
          <w:sz w:val="20"/>
          <w:szCs w:val="20"/>
          <w:lang w:eastAsia="lt-LT"/>
        </w:rPr>
        <w:t>Po 50 užsakymų (jei dar yra nepaskirstytų užsakymų),</w:t>
      </w:r>
      <w:commentRangeEnd w:id="0"/>
      <w:r w:rsidR="00C20407">
        <w:rPr>
          <w:rStyle w:val="CommentReference"/>
        </w:rPr>
        <w:commentReference w:id="0"/>
      </w:r>
      <w:commentRangeEnd w:id="1"/>
      <w:r w:rsidR="00C20407">
        <w:rPr>
          <w:rStyle w:val="CommentReference"/>
        </w:rPr>
        <w:commentReference w:id="1"/>
      </w:r>
      <w:r w:rsidRPr="23C3C96C">
        <w:rPr>
          <w:rFonts w:ascii="Verdana" w:eastAsia="Verdana" w:hAnsi="Verdana" w:cs="Verdana"/>
          <w:sz w:val="20"/>
          <w:szCs w:val="20"/>
          <w:lang w:eastAsia="lt-LT"/>
        </w:rPr>
        <w:t xml:space="preserve"> sekantys užsakymai skirstomi/dalinami vėlgi analogišku principu, grįžtant prie pirmo tiekėjo;</w:t>
      </w:r>
    </w:p>
    <w:p w14:paraId="778F6124" w14:textId="77777777" w:rsidR="00C20407" w:rsidRPr="00B87623" w:rsidRDefault="58D93526" w:rsidP="23C3C96C">
      <w:pPr>
        <w:numPr>
          <w:ilvl w:val="0"/>
          <w:numId w:val="1"/>
        </w:numPr>
        <w:spacing w:after="0" w:line="240" w:lineRule="auto"/>
        <w:ind w:left="0" w:firstLine="567"/>
        <w:contextualSpacing/>
        <w:jc w:val="both"/>
        <w:rPr>
          <w:rFonts w:ascii="Verdana" w:eastAsia="Verdana" w:hAnsi="Verdana" w:cs="Verdana"/>
          <w:sz w:val="20"/>
          <w:szCs w:val="20"/>
          <w:u w:val="single"/>
          <w:lang w:eastAsia="lt-LT"/>
        </w:rPr>
      </w:pPr>
      <w:r w:rsidRPr="23C3C96C">
        <w:rPr>
          <w:rFonts w:ascii="Verdana" w:eastAsia="Verdana" w:hAnsi="Verdana" w:cs="Verdana"/>
          <w:sz w:val="20"/>
          <w:szCs w:val="20"/>
          <w:u w:val="single"/>
          <w:lang w:eastAsia="lt-LT"/>
        </w:rPr>
        <w:t>Interesų konfliktų valdymas:</w:t>
      </w:r>
    </w:p>
    <w:p w14:paraId="528E9BFC" w14:textId="77777777" w:rsidR="00C20407" w:rsidRPr="00B87623" w:rsidRDefault="58D93526" w:rsidP="23C3C96C">
      <w:pPr>
        <w:spacing w:after="0" w:line="240" w:lineRule="auto"/>
        <w:ind w:firstLine="567"/>
        <w:contextualSpacing/>
        <w:jc w:val="both"/>
        <w:rPr>
          <w:rFonts w:ascii="Verdana" w:eastAsia="Verdana" w:hAnsi="Verdana" w:cs="Verdana"/>
          <w:sz w:val="20"/>
          <w:szCs w:val="20"/>
          <w:lang w:eastAsia="lt-LT"/>
        </w:rPr>
      </w:pPr>
      <w:r w:rsidRPr="23C3C96C">
        <w:rPr>
          <w:rFonts w:ascii="Verdana" w:eastAsia="Verdana" w:hAnsi="Verdana" w:cs="Verdana"/>
          <w:sz w:val="20"/>
          <w:szCs w:val="20"/>
          <w:lang w:eastAsia="lt-LT"/>
        </w:rPr>
        <w:t xml:space="preserve">5.1.  </w:t>
      </w:r>
      <w:r w:rsidRPr="23C3C96C">
        <w:rPr>
          <w:rFonts w:ascii="Verdana" w:eastAsia="Verdana" w:hAnsi="Verdana" w:cs="Verdana"/>
          <w:sz w:val="20"/>
          <w:szCs w:val="20"/>
          <w:u w:val="single"/>
          <w:lang w:eastAsia="lt-LT"/>
        </w:rPr>
        <w:t>Ekspertas negali dalyvauti DI priemonių paraiškų ekspertiniame vertinime, jei jis yra šios priemonės pareiškėjų sudėtyje – pareiškėjų įmonės atstovas, darbuotojas, ar pan., ar teikęs komercinius pasiūlymus šios priemonės pareiškėjams, ar pan.</w:t>
      </w:r>
    </w:p>
    <w:p w14:paraId="440300C4" w14:textId="77777777" w:rsidR="00C20407" w:rsidRPr="00B87623" w:rsidRDefault="58D93526" w:rsidP="23C3C96C">
      <w:pPr>
        <w:spacing w:after="0" w:line="240" w:lineRule="auto"/>
        <w:ind w:firstLine="567"/>
        <w:contextualSpacing/>
        <w:jc w:val="both"/>
        <w:rPr>
          <w:rFonts w:ascii="Verdana" w:eastAsia="Verdana" w:hAnsi="Verdana" w:cs="Verdana"/>
          <w:sz w:val="20"/>
          <w:szCs w:val="20"/>
          <w:lang w:eastAsia="lt-LT"/>
        </w:rPr>
      </w:pPr>
      <w:r w:rsidRPr="23C3C96C">
        <w:rPr>
          <w:rFonts w:ascii="Verdana" w:eastAsia="Verdana" w:hAnsi="Verdana" w:cs="Verdana"/>
          <w:sz w:val="20"/>
          <w:szCs w:val="20"/>
          <w:lang w:eastAsia="lt-LT"/>
        </w:rPr>
        <w:t xml:space="preserve">5.2. Paslaugos teikėjo pasitelkti ekspertai, teikdami ekspertines paslaugas pagal pirkimo sutartį privalės užtikrinti viešųjų ir privačių interesų derinimo valstybės tarnyboje įstatymo nuostatų praktinį įgyvendinimą: paslaugos teikėjui deklaruoti galimus interesų konfliktus, privalomai nusišalinti nuo paslaugų teikimo, jeigu vertinamas projektas konkrečiam ekspertui sukelia viešųjų ir privačių interesų konflikto situaciją. </w:t>
      </w:r>
    </w:p>
    <w:p w14:paraId="42414076" w14:textId="77777777" w:rsidR="00C20407" w:rsidRPr="00B87623" w:rsidRDefault="58D93526" w:rsidP="23C3C96C">
      <w:pPr>
        <w:spacing w:after="0" w:line="240" w:lineRule="auto"/>
        <w:ind w:firstLine="567"/>
        <w:contextualSpacing/>
        <w:jc w:val="both"/>
        <w:rPr>
          <w:rFonts w:ascii="Verdana" w:eastAsia="Verdana" w:hAnsi="Verdana" w:cs="Verdana"/>
          <w:sz w:val="20"/>
          <w:szCs w:val="20"/>
          <w:lang w:eastAsia="lt-LT"/>
        </w:rPr>
      </w:pPr>
      <w:r w:rsidRPr="23C3C96C">
        <w:rPr>
          <w:rFonts w:ascii="Verdana" w:eastAsia="Verdana" w:hAnsi="Verdana" w:cs="Verdana"/>
          <w:sz w:val="20"/>
          <w:szCs w:val="20"/>
          <w:lang w:eastAsia="lt-LT"/>
        </w:rPr>
        <w:t xml:space="preserve">5.3. Paslaugos teikėjas turi užtikrinti, kad paslaugos teikėjo pasitelkti ekspertai suprastų, kokie yra Viešųjų ir privačių interesų derinimo valstybės tarnyboje įstatymo reikalavimai. </w:t>
      </w:r>
    </w:p>
    <w:p w14:paraId="5C52BFDD" w14:textId="77777777" w:rsidR="00C20407" w:rsidRPr="00B87623" w:rsidRDefault="58D93526" w:rsidP="23C3C96C">
      <w:pPr>
        <w:spacing w:after="0" w:line="240" w:lineRule="auto"/>
        <w:ind w:firstLine="567"/>
        <w:contextualSpacing/>
        <w:jc w:val="both"/>
        <w:rPr>
          <w:rFonts w:ascii="Verdana" w:eastAsia="Verdana" w:hAnsi="Verdana" w:cs="Verdana"/>
          <w:sz w:val="20"/>
          <w:szCs w:val="20"/>
          <w:lang w:eastAsia="lt-LT"/>
        </w:rPr>
      </w:pPr>
      <w:r w:rsidRPr="23C3C96C">
        <w:rPr>
          <w:rFonts w:ascii="Verdana" w:eastAsia="Verdana" w:hAnsi="Verdana" w:cs="Verdana"/>
          <w:sz w:val="20"/>
          <w:szCs w:val="20"/>
          <w:lang w:eastAsia="lt-LT"/>
        </w:rPr>
        <w:t xml:space="preserve">5.4. Jeigu paslaugų teikimo sutarties metu, ar 7 metus po sutarties galiojimo pabaigos paaiškėtų, kad paslaugos teikėjo pasitelkti ekspertai neužtikrino tinkamo Viešųjų ir privačių interesų derinimo valstybės tarnyboje įstatymo nuostatų ir dėl to perkančioji organizacija patyrė finansinių nuostolių (pralaimėta byla teisme), paslaugos teikėjas įsipareigoja atlyginti visą perkančiosios organizacijos patirtą finansinę žalą. </w:t>
      </w:r>
    </w:p>
    <w:p w14:paraId="6D9768AF" w14:textId="77777777" w:rsidR="00C20407" w:rsidRPr="00B87623" w:rsidRDefault="58D93526" w:rsidP="23C3C96C">
      <w:pPr>
        <w:spacing w:after="0" w:line="240" w:lineRule="auto"/>
        <w:ind w:firstLine="567"/>
        <w:contextualSpacing/>
        <w:jc w:val="both"/>
        <w:rPr>
          <w:rFonts w:ascii="Verdana" w:eastAsia="Verdana" w:hAnsi="Verdana" w:cs="Verdana"/>
          <w:sz w:val="20"/>
          <w:szCs w:val="20"/>
          <w:lang w:eastAsia="lt-LT"/>
        </w:rPr>
      </w:pPr>
      <w:r w:rsidRPr="23C3C96C">
        <w:rPr>
          <w:rFonts w:ascii="Verdana" w:eastAsia="Verdana" w:hAnsi="Verdana" w:cs="Verdana"/>
          <w:sz w:val="20"/>
          <w:szCs w:val="20"/>
          <w:lang w:eastAsia="lt-LT"/>
        </w:rPr>
        <w:t xml:space="preserve">5.5. Tuo atveju, jeigu paslaugos teikėjo ekspertas negali vertinti konkretaus projekto dėl realaus interesų konflikto, paslaugos teikėjas privalo informuoti apie tai perkančiąją organizaciją. Jeigu perkančioji organizacija neturi kitos kandidatūros, kuria būtų galima pakeisti šį ekspertą, paslaugos teikėjas, perkančiosios organizacijos prašymu, privalo dėti visas protingas pastangas surasti ir pasitelkti kitą tinkamą ekspertą, kuris neturėtų viešųjų ir privačių interesų konflikto konkretaus projekto vertinime.  </w:t>
      </w:r>
    </w:p>
    <w:p w14:paraId="6497F4E3" w14:textId="77777777" w:rsidR="00C20407" w:rsidRPr="00B87623" w:rsidRDefault="58D93526" w:rsidP="23C3C96C">
      <w:pPr>
        <w:spacing w:after="0" w:line="240" w:lineRule="auto"/>
        <w:ind w:firstLine="567"/>
        <w:contextualSpacing/>
        <w:jc w:val="both"/>
        <w:rPr>
          <w:rFonts w:ascii="Verdana" w:eastAsia="Verdana" w:hAnsi="Verdana" w:cs="Verdana"/>
          <w:sz w:val="20"/>
          <w:szCs w:val="20"/>
          <w:lang w:eastAsia="lt-LT"/>
        </w:rPr>
      </w:pPr>
      <w:r w:rsidRPr="23C3C96C">
        <w:rPr>
          <w:rFonts w:ascii="Verdana" w:eastAsia="Verdana" w:hAnsi="Verdana" w:cs="Verdana"/>
          <w:sz w:val="20"/>
          <w:szCs w:val="20"/>
          <w:lang w:eastAsia="lt-LT"/>
        </w:rPr>
        <w:t>5.6. Paslaugos teikėjo pasitelkti ekspertai taip pat turės įsipareigoti laikytis konfidencialumo ir nešališkumo reikalavimų (žr. konfidencialumo ir nešališkumo užtikrinimo pasižadėjimą).</w:t>
      </w:r>
    </w:p>
    <w:p w14:paraId="349A9749" w14:textId="77777777" w:rsidR="00C20407" w:rsidRDefault="58D93526" w:rsidP="23C3C96C">
      <w:pPr>
        <w:numPr>
          <w:ilvl w:val="0"/>
          <w:numId w:val="1"/>
        </w:numPr>
        <w:spacing w:after="0" w:line="240" w:lineRule="auto"/>
        <w:ind w:left="0" w:firstLine="567"/>
        <w:contextualSpacing/>
        <w:jc w:val="both"/>
        <w:rPr>
          <w:rFonts w:ascii="Verdana" w:eastAsia="Verdana" w:hAnsi="Verdana" w:cs="Verdana"/>
          <w:sz w:val="20"/>
          <w:szCs w:val="20"/>
          <w:lang w:eastAsia="lt-LT"/>
        </w:rPr>
      </w:pPr>
      <w:r w:rsidRPr="23C3C96C">
        <w:rPr>
          <w:rFonts w:ascii="Verdana" w:eastAsia="Verdana" w:hAnsi="Verdana" w:cs="Verdana"/>
          <w:sz w:val="20"/>
          <w:szCs w:val="20"/>
          <w:lang w:eastAsia="lt-LT"/>
        </w:rPr>
        <w:t xml:space="preserve"> Ekspertinės išvados (rašytinės ir žodinės) turės parengtą klausimyną pagal aktualius DI priemonių finansavimo sąlygų aprašo reikalavimus. Siekiant preliminariai įvertinti galimas paslaugų apimtis pateikiami galimi klausimai ir vidutiniškas pateikiamos dokumentacijos kiekis puslapiais. Pažymėtina, kad klausimų skaičius ir medžiagos apimtis puslapiais yra preliminarūs.</w:t>
      </w:r>
    </w:p>
    <w:tbl>
      <w:tblPr>
        <w:tblStyle w:val="TableGrid"/>
        <w:tblW w:w="9776" w:type="dxa"/>
        <w:tblLook w:val="04A0" w:firstRow="1" w:lastRow="0" w:firstColumn="1" w:lastColumn="0" w:noHBand="0" w:noVBand="1"/>
      </w:tblPr>
      <w:tblGrid>
        <w:gridCol w:w="3261"/>
        <w:gridCol w:w="6515"/>
      </w:tblGrid>
      <w:tr w:rsidR="00C20407" w:rsidRPr="00B87623" w14:paraId="3CC06FE6" w14:textId="77777777" w:rsidTr="23C3C96C">
        <w:trPr>
          <w:trHeight w:val="449"/>
        </w:trPr>
        <w:tc>
          <w:tcPr>
            <w:tcW w:w="3261" w:type="dxa"/>
          </w:tcPr>
          <w:p w14:paraId="29AA97CC" w14:textId="77777777" w:rsidR="00C20407" w:rsidRPr="00B87623" w:rsidRDefault="58D93526" w:rsidP="23C3C96C">
            <w:pPr>
              <w:spacing w:before="100" w:beforeAutospacing="1" w:after="100" w:afterAutospacing="1"/>
              <w:rPr>
                <w:rFonts w:ascii="Verdana" w:eastAsia="Verdana" w:hAnsi="Verdana" w:cs="Verdana"/>
                <w:b/>
                <w:bCs/>
                <w:sz w:val="20"/>
                <w:szCs w:val="20"/>
                <w:lang w:eastAsia="lt-LT"/>
              </w:rPr>
            </w:pPr>
            <w:r w:rsidRPr="23C3C96C">
              <w:rPr>
                <w:rFonts w:ascii="Verdana" w:eastAsia="Verdana" w:hAnsi="Verdana" w:cs="Verdana"/>
                <w:sz w:val="20"/>
                <w:szCs w:val="20"/>
                <w:lang w:eastAsia="lt-LT"/>
              </w:rPr>
              <w:t xml:space="preserve"> </w:t>
            </w:r>
            <w:r w:rsidRPr="23C3C96C">
              <w:rPr>
                <w:rFonts w:ascii="Verdana" w:eastAsia="Verdana" w:hAnsi="Verdana" w:cs="Verdana"/>
                <w:b/>
                <w:bCs/>
                <w:sz w:val="20"/>
                <w:szCs w:val="20"/>
                <w:lang w:eastAsia="lt-LT"/>
              </w:rPr>
              <w:t>Išvados rūšis</w:t>
            </w:r>
          </w:p>
        </w:tc>
        <w:tc>
          <w:tcPr>
            <w:tcW w:w="6515" w:type="dxa"/>
          </w:tcPr>
          <w:p w14:paraId="108E4381" w14:textId="77777777" w:rsidR="00C20407" w:rsidRPr="007979C7" w:rsidRDefault="58D93526" w:rsidP="23C3C96C">
            <w:pPr>
              <w:spacing w:before="100" w:beforeAutospacing="1" w:after="100" w:afterAutospacing="1"/>
              <w:rPr>
                <w:rFonts w:ascii="Verdana" w:eastAsia="Verdana" w:hAnsi="Verdana" w:cs="Verdana"/>
                <w:b/>
                <w:bCs/>
                <w:sz w:val="20"/>
                <w:szCs w:val="20"/>
                <w:vertAlign w:val="superscript"/>
                <w:lang w:eastAsia="lt-LT"/>
              </w:rPr>
            </w:pPr>
            <w:r w:rsidRPr="23C3C96C">
              <w:rPr>
                <w:rFonts w:ascii="Verdana" w:eastAsia="Verdana" w:hAnsi="Verdana" w:cs="Verdana"/>
                <w:b/>
                <w:bCs/>
                <w:sz w:val="20"/>
                <w:szCs w:val="20"/>
                <w:lang w:eastAsia="lt-LT"/>
              </w:rPr>
              <w:t>Preliminarūs klausimų pavyzdžiai ir preliminari apimtis</w:t>
            </w:r>
          </w:p>
        </w:tc>
      </w:tr>
      <w:tr w:rsidR="00C20407" w:rsidRPr="00B87623" w14:paraId="155B5334" w14:textId="77777777" w:rsidTr="23C3C96C">
        <w:trPr>
          <w:trHeight w:val="2974"/>
        </w:trPr>
        <w:tc>
          <w:tcPr>
            <w:tcW w:w="3261" w:type="dxa"/>
          </w:tcPr>
          <w:p w14:paraId="3D91A1B2" w14:textId="77777777" w:rsidR="00C20407" w:rsidRPr="00B87623" w:rsidRDefault="58D93526" w:rsidP="23C3C96C">
            <w:pPr>
              <w:spacing w:before="100" w:beforeAutospacing="1" w:after="100" w:afterAutospacing="1"/>
              <w:rPr>
                <w:rFonts w:ascii="Verdana" w:eastAsia="Verdana" w:hAnsi="Verdana" w:cs="Verdana"/>
                <w:sz w:val="20"/>
                <w:szCs w:val="20"/>
                <w:lang w:eastAsia="lt-LT"/>
              </w:rPr>
            </w:pPr>
            <w:r w:rsidRPr="23C3C96C">
              <w:rPr>
                <w:rFonts w:ascii="Verdana" w:eastAsia="Verdana" w:hAnsi="Verdana" w:cs="Verdana"/>
                <w:sz w:val="20"/>
                <w:szCs w:val="20"/>
                <w:lang w:eastAsia="lt-LT"/>
              </w:rPr>
              <w:lastRenderedPageBreak/>
              <w:t>Paraiškų vertinimas (rašytinė ir žodinė ekspertinė išvada)</w:t>
            </w:r>
          </w:p>
        </w:tc>
        <w:tc>
          <w:tcPr>
            <w:tcW w:w="6515" w:type="dxa"/>
          </w:tcPr>
          <w:p w14:paraId="16F50D06" w14:textId="77777777" w:rsidR="00C20407" w:rsidRPr="00695D24" w:rsidRDefault="58D93526" w:rsidP="23C3C96C">
            <w:pPr>
              <w:spacing w:before="100" w:beforeAutospacing="1" w:after="100" w:afterAutospacing="1" w:line="240" w:lineRule="auto"/>
              <w:jc w:val="both"/>
              <w:rPr>
                <w:rFonts w:ascii="Verdana" w:eastAsia="Verdana" w:hAnsi="Verdana" w:cs="Verdana"/>
                <w:sz w:val="20"/>
                <w:szCs w:val="20"/>
                <w:lang w:eastAsia="lt-LT"/>
              </w:rPr>
            </w:pPr>
            <w:r w:rsidRPr="23C3C96C">
              <w:rPr>
                <w:rFonts w:ascii="Verdana" w:eastAsia="Verdana" w:hAnsi="Verdana" w:cs="Verdana"/>
                <w:sz w:val="20"/>
                <w:szCs w:val="20"/>
                <w:lang w:eastAsia="lt-LT"/>
              </w:rPr>
              <w:t xml:space="preserve">Pateikiamas preliminarus </w:t>
            </w:r>
            <w:r w:rsidRPr="23C3C96C">
              <w:rPr>
                <w:rFonts w:ascii="Verdana" w:eastAsia="Verdana" w:hAnsi="Verdana" w:cs="Verdana"/>
                <w:sz w:val="20"/>
                <w:szCs w:val="20"/>
              </w:rPr>
              <w:t>veiklos „</w:t>
            </w:r>
            <w:r w:rsidRPr="23C3C96C">
              <w:rPr>
                <w:rFonts w:ascii="Verdana" w:eastAsia="Verdana" w:hAnsi="Verdana" w:cs="Verdana"/>
                <w:i/>
                <w:iCs/>
                <w:sz w:val="20"/>
                <w:szCs w:val="20"/>
              </w:rPr>
              <w:t xml:space="preserve">Skatinti labai mažas, mažas ir vidutines įmones (toliau – MVĮ) </w:t>
            </w:r>
            <w:r w:rsidRPr="23C3C96C">
              <w:rPr>
                <w:rFonts w:ascii="Verdana" w:eastAsia="Verdana" w:hAnsi="Verdana" w:cs="Verdana"/>
                <w:i/>
                <w:iCs/>
                <w:sz w:val="20"/>
                <w:szCs w:val="20"/>
                <w:u w:val="single"/>
              </w:rPr>
              <w:t>vystyti</w:t>
            </w:r>
            <w:r w:rsidRPr="23C3C96C">
              <w:rPr>
                <w:rFonts w:ascii="Verdana" w:eastAsia="Verdana" w:hAnsi="Verdana" w:cs="Verdana"/>
                <w:i/>
                <w:iCs/>
                <w:sz w:val="20"/>
                <w:szCs w:val="20"/>
              </w:rPr>
              <w:t xml:space="preserve"> dirbtinio intelekto (toliau – DI) sprendimus (Vidurio ir vakarų Lietuvos regionas</w:t>
            </w:r>
            <w:r w:rsidRPr="23C3C96C">
              <w:rPr>
                <w:rFonts w:ascii="Verdana" w:eastAsia="Verdana" w:hAnsi="Verdana" w:cs="Verdana"/>
                <w:sz w:val="20"/>
                <w:szCs w:val="20"/>
              </w:rPr>
              <w:t>“</w:t>
            </w:r>
            <w:r w:rsidRPr="23C3C96C">
              <w:rPr>
                <w:rFonts w:ascii="Verdana" w:eastAsia="Verdana" w:hAnsi="Verdana" w:cs="Verdana"/>
                <w:sz w:val="20"/>
                <w:szCs w:val="20"/>
                <w:lang w:eastAsia="lt-LT"/>
              </w:rPr>
              <w:t xml:space="preserve"> klausimyno pavyzdys:</w:t>
            </w:r>
          </w:p>
          <w:p w14:paraId="52014D1C" w14:textId="77777777" w:rsidR="00C20407" w:rsidRPr="00637BEF" w:rsidRDefault="58D93526" w:rsidP="23C3C96C">
            <w:pPr>
              <w:numPr>
                <w:ilvl w:val="0"/>
                <w:numId w:val="17"/>
              </w:numPr>
              <w:spacing w:before="100" w:beforeAutospacing="1" w:after="100" w:afterAutospacing="1" w:line="240" w:lineRule="auto"/>
              <w:rPr>
                <w:rFonts w:ascii="Verdana" w:eastAsia="Verdana" w:hAnsi="Verdana" w:cs="Verdana"/>
                <w:sz w:val="20"/>
                <w:szCs w:val="20"/>
                <w:lang w:val="en-US"/>
              </w:rPr>
            </w:pPr>
            <w:r w:rsidRPr="23C3C96C">
              <w:rPr>
                <w:rFonts w:ascii="Verdana" w:eastAsia="Verdana" w:hAnsi="Verdana" w:cs="Verdana"/>
                <w:sz w:val="20"/>
                <w:szCs w:val="20"/>
                <w:lang w:val="en-US"/>
              </w:rPr>
              <w:t xml:space="preserve">Ar išlaidos numatytos </w:t>
            </w:r>
            <w:proofErr w:type="spellStart"/>
            <w:r w:rsidRPr="23C3C96C">
              <w:rPr>
                <w:rFonts w:ascii="Verdana" w:eastAsia="Verdana" w:hAnsi="Verdana" w:cs="Verdana"/>
                <w:sz w:val="20"/>
                <w:szCs w:val="20"/>
                <w:lang w:val="en-US"/>
              </w:rPr>
              <w:t>paraiškoje</w:t>
            </w:r>
            <w:proofErr w:type="spellEnd"/>
            <w:r w:rsidRPr="23C3C96C">
              <w:rPr>
                <w:rFonts w:ascii="Verdana" w:eastAsia="Verdana" w:hAnsi="Verdana" w:cs="Verdana"/>
                <w:sz w:val="20"/>
                <w:szCs w:val="20"/>
                <w:lang w:val="en-US"/>
              </w:rPr>
              <w:t xml:space="preserve"> </w:t>
            </w:r>
            <w:proofErr w:type="spellStart"/>
            <w:r w:rsidRPr="23C3C96C">
              <w:rPr>
                <w:rFonts w:ascii="Verdana" w:eastAsia="Verdana" w:hAnsi="Verdana" w:cs="Verdana"/>
                <w:sz w:val="20"/>
                <w:szCs w:val="20"/>
                <w:lang w:val="en-US"/>
              </w:rPr>
              <w:t>atitinka</w:t>
            </w:r>
            <w:proofErr w:type="spellEnd"/>
            <w:r w:rsidRPr="23C3C96C">
              <w:rPr>
                <w:rFonts w:ascii="Verdana" w:eastAsia="Verdana" w:hAnsi="Verdana" w:cs="Verdana"/>
                <w:sz w:val="20"/>
                <w:szCs w:val="20"/>
                <w:lang w:val="en-US"/>
              </w:rPr>
              <w:t xml:space="preserve"> </w:t>
            </w:r>
            <w:proofErr w:type="spellStart"/>
            <w:r w:rsidRPr="23C3C96C">
              <w:rPr>
                <w:rFonts w:ascii="Verdana" w:eastAsia="Verdana" w:hAnsi="Verdana" w:cs="Verdana"/>
                <w:sz w:val="20"/>
                <w:szCs w:val="20"/>
                <w:lang w:val="en-US"/>
              </w:rPr>
              <w:t>Aprašo</w:t>
            </w:r>
            <w:proofErr w:type="spellEnd"/>
            <w:r w:rsidRPr="23C3C96C">
              <w:rPr>
                <w:rFonts w:ascii="Verdana" w:eastAsia="Verdana" w:hAnsi="Verdana" w:cs="Verdana"/>
                <w:sz w:val="20"/>
                <w:szCs w:val="20"/>
                <w:lang w:val="en-US"/>
              </w:rPr>
              <w:t xml:space="preserve"> </w:t>
            </w:r>
            <w:proofErr w:type="spellStart"/>
            <w:r w:rsidRPr="23C3C96C">
              <w:rPr>
                <w:rFonts w:ascii="Verdana" w:eastAsia="Verdana" w:hAnsi="Verdana" w:cs="Verdana"/>
                <w:sz w:val="20"/>
                <w:szCs w:val="20"/>
                <w:lang w:val="en-US"/>
              </w:rPr>
              <w:t>nuostatas</w:t>
            </w:r>
            <w:proofErr w:type="spellEnd"/>
            <w:r w:rsidRPr="23C3C96C">
              <w:rPr>
                <w:rFonts w:ascii="Verdana" w:eastAsia="Verdana" w:hAnsi="Verdana" w:cs="Verdana"/>
                <w:sz w:val="20"/>
                <w:szCs w:val="20"/>
                <w:lang w:val="en-US"/>
              </w:rPr>
              <w:t>?</w:t>
            </w:r>
          </w:p>
          <w:p w14:paraId="16F81247" w14:textId="77777777" w:rsidR="00C20407" w:rsidRPr="00637BEF" w:rsidRDefault="58D93526" w:rsidP="23C3C96C">
            <w:pPr>
              <w:numPr>
                <w:ilvl w:val="0"/>
                <w:numId w:val="17"/>
              </w:numPr>
              <w:spacing w:before="100" w:beforeAutospacing="1" w:after="100" w:afterAutospacing="1" w:line="240" w:lineRule="auto"/>
              <w:rPr>
                <w:rFonts w:ascii="Verdana" w:eastAsia="Verdana" w:hAnsi="Verdana" w:cs="Verdana"/>
                <w:sz w:val="20"/>
                <w:szCs w:val="20"/>
                <w:lang w:val="en-US"/>
              </w:rPr>
            </w:pPr>
            <w:r w:rsidRPr="23C3C96C">
              <w:rPr>
                <w:rFonts w:ascii="Verdana" w:eastAsia="Verdana" w:hAnsi="Verdana" w:cs="Verdana"/>
                <w:sz w:val="20"/>
                <w:szCs w:val="20"/>
                <w:lang w:val="en-US"/>
              </w:rPr>
              <w:t>Ar išlaidos numatytos paraiškoje neviršija rinkos kainų?</w:t>
            </w:r>
          </w:p>
          <w:p w14:paraId="45E1DEDF" w14:textId="77777777" w:rsidR="00C20407" w:rsidRPr="00637BEF" w:rsidRDefault="58D93526" w:rsidP="23C3C96C">
            <w:pPr>
              <w:numPr>
                <w:ilvl w:val="0"/>
                <w:numId w:val="17"/>
              </w:numPr>
              <w:spacing w:before="100" w:beforeAutospacing="1" w:after="100" w:afterAutospacing="1" w:line="240" w:lineRule="auto"/>
              <w:rPr>
                <w:rFonts w:ascii="Verdana" w:eastAsia="Verdana" w:hAnsi="Verdana" w:cs="Verdana"/>
                <w:sz w:val="20"/>
                <w:szCs w:val="20"/>
                <w:lang w:val="en-US"/>
              </w:rPr>
            </w:pPr>
            <w:r w:rsidRPr="23C3C96C">
              <w:rPr>
                <w:rFonts w:ascii="Verdana" w:eastAsia="Verdana" w:hAnsi="Verdana" w:cs="Verdana"/>
                <w:sz w:val="20"/>
                <w:szCs w:val="20"/>
                <w:lang w:val="en-US"/>
              </w:rPr>
              <w:t>Ar numatomas (-i) kurti DI produktas (-ai) ir (arba) sprendimas (-ai) atitinka vieną iš DI sričių (mašininis mokymasis, kompiuterinė rega, robotika   ir automatizavimas, natūralios kalbos apdorojimas, skaitmeniniai dvyniai)?</w:t>
            </w:r>
          </w:p>
          <w:p w14:paraId="052FE9E1" w14:textId="77777777" w:rsidR="00C20407" w:rsidRPr="00637BEF" w:rsidRDefault="58D93526" w:rsidP="23C3C96C">
            <w:pPr>
              <w:numPr>
                <w:ilvl w:val="0"/>
                <w:numId w:val="17"/>
              </w:numPr>
              <w:spacing w:before="100" w:beforeAutospacing="1" w:after="100" w:afterAutospacing="1" w:line="240" w:lineRule="auto"/>
              <w:rPr>
                <w:rFonts w:ascii="Verdana" w:eastAsia="Verdana" w:hAnsi="Verdana" w:cs="Verdana"/>
                <w:sz w:val="20"/>
                <w:szCs w:val="20"/>
                <w:lang w:val="en-US"/>
              </w:rPr>
            </w:pPr>
            <w:r w:rsidRPr="23C3C96C">
              <w:rPr>
                <w:rFonts w:ascii="Verdana" w:eastAsia="Verdana" w:hAnsi="Verdana" w:cs="Verdana"/>
                <w:sz w:val="20"/>
                <w:szCs w:val="20"/>
                <w:lang w:val="en-US"/>
              </w:rPr>
              <w:t>Ar kuriant DI produktą (-us) ir (arba) sprendimą (-us), bus naudojama didelio našumo skaičiavimo (HPC) infrastruktūra ir (arba) didieji duomenys?</w:t>
            </w:r>
          </w:p>
          <w:p w14:paraId="1A2C208D" w14:textId="77777777" w:rsidR="00C20407" w:rsidRPr="00637BEF" w:rsidRDefault="58D93526" w:rsidP="23C3C96C">
            <w:pPr>
              <w:numPr>
                <w:ilvl w:val="0"/>
                <w:numId w:val="17"/>
              </w:numPr>
              <w:spacing w:before="100" w:beforeAutospacing="1" w:after="100" w:afterAutospacing="1" w:line="240" w:lineRule="auto"/>
              <w:rPr>
                <w:rFonts w:ascii="Verdana" w:eastAsia="Verdana" w:hAnsi="Verdana" w:cs="Verdana"/>
                <w:sz w:val="20"/>
                <w:szCs w:val="20"/>
                <w:lang w:val="en-US"/>
              </w:rPr>
            </w:pPr>
            <w:r w:rsidRPr="23C3C96C">
              <w:rPr>
                <w:rFonts w:ascii="Verdana" w:eastAsia="Verdana" w:hAnsi="Verdana" w:cs="Verdana"/>
                <w:sz w:val="20"/>
                <w:szCs w:val="20"/>
                <w:lang w:val="en-US"/>
              </w:rPr>
              <w:t>Ar numatomo (-ų) kurti DI produkto (-ų) ir (arba) sprendimo (-ų) išvystymo lygis pagal pasiektą stadiją paraiškoje nurodytas teisingai?</w:t>
            </w:r>
          </w:p>
          <w:p w14:paraId="29E98376" w14:textId="77777777" w:rsidR="00C20407" w:rsidRPr="00637BEF" w:rsidRDefault="58D93526" w:rsidP="23C3C96C">
            <w:pPr>
              <w:numPr>
                <w:ilvl w:val="0"/>
                <w:numId w:val="17"/>
              </w:numPr>
              <w:spacing w:before="100" w:beforeAutospacing="1" w:after="100" w:afterAutospacing="1" w:line="240" w:lineRule="auto"/>
              <w:rPr>
                <w:rFonts w:ascii="Verdana" w:eastAsia="Verdana" w:hAnsi="Verdana" w:cs="Verdana"/>
                <w:sz w:val="20"/>
                <w:szCs w:val="20"/>
                <w:lang w:val="en-US"/>
              </w:rPr>
            </w:pPr>
            <w:r w:rsidRPr="23C3C96C">
              <w:rPr>
                <w:rFonts w:ascii="Verdana" w:eastAsia="Verdana" w:hAnsi="Verdana" w:cs="Verdana"/>
                <w:sz w:val="20"/>
                <w:szCs w:val="20"/>
                <w:lang w:val="en-US"/>
              </w:rPr>
              <w:t>Projekto įgyvendinimo metu numatomo (-ų) sukurti DI produkto (-ų) ir (arba) sprendimo (-ų) naujumo lygis.</w:t>
            </w:r>
          </w:p>
          <w:p w14:paraId="7E650F38" w14:textId="77777777" w:rsidR="00C20407" w:rsidRDefault="58D93526" w:rsidP="23C3C96C">
            <w:pPr>
              <w:spacing w:before="100" w:beforeAutospacing="1" w:after="100" w:afterAutospacing="1" w:line="240" w:lineRule="auto"/>
              <w:jc w:val="both"/>
              <w:rPr>
                <w:rFonts w:ascii="Verdana" w:eastAsia="Verdana" w:hAnsi="Verdana" w:cs="Verdana"/>
                <w:sz w:val="20"/>
                <w:szCs w:val="20"/>
                <w:lang w:eastAsia="lt-LT"/>
              </w:rPr>
            </w:pPr>
            <w:r w:rsidRPr="23C3C96C">
              <w:rPr>
                <w:rFonts w:ascii="Verdana" w:eastAsia="Verdana" w:hAnsi="Verdana" w:cs="Verdana"/>
                <w:sz w:val="20"/>
                <w:szCs w:val="20"/>
                <w:lang w:eastAsia="lt-LT"/>
              </w:rPr>
              <w:t xml:space="preserve">Pateikiamas preliminarus </w:t>
            </w:r>
            <w:r w:rsidRPr="23C3C96C">
              <w:rPr>
                <w:rFonts w:ascii="Verdana" w:eastAsia="Verdana" w:hAnsi="Verdana" w:cs="Verdana"/>
                <w:sz w:val="20"/>
                <w:szCs w:val="20"/>
              </w:rPr>
              <w:t>veiklos „</w:t>
            </w:r>
            <w:r w:rsidRPr="23C3C96C">
              <w:rPr>
                <w:rFonts w:ascii="Verdana" w:eastAsia="Verdana" w:hAnsi="Verdana" w:cs="Verdana"/>
                <w:i/>
                <w:iCs/>
                <w:sz w:val="20"/>
                <w:szCs w:val="20"/>
              </w:rPr>
              <w:t xml:space="preserve">Skatinti labai mažas, mažas ir vidutines įmones (toliau – MVĮ) </w:t>
            </w:r>
            <w:r w:rsidRPr="23C3C96C">
              <w:rPr>
                <w:rFonts w:ascii="Verdana" w:eastAsia="Verdana" w:hAnsi="Verdana" w:cs="Verdana"/>
                <w:i/>
                <w:iCs/>
                <w:sz w:val="20"/>
                <w:szCs w:val="20"/>
                <w:u w:val="single"/>
              </w:rPr>
              <w:t>diegtis</w:t>
            </w:r>
            <w:r w:rsidRPr="23C3C96C">
              <w:rPr>
                <w:rFonts w:ascii="Verdana" w:eastAsia="Verdana" w:hAnsi="Verdana" w:cs="Verdana"/>
                <w:i/>
                <w:iCs/>
                <w:sz w:val="20"/>
                <w:szCs w:val="20"/>
              </w:rPr>
              <w:t xml:space="preserve"> skaitmenines technologijas, prioritetą teikiant dirbtinio intelekto sprendimams</w:t>
            </w:r>
            <w:r w:rsidRPr="23C3C96C">
              <w:rPr>
                <w:rFonts w:ascii="Verdana" w:eastAsia="Verdana" w:hAnsi="Verdana" w:cs="Verdana"/>
                <w:sz w:val="20"/>
                <w:szCs w:val="20"/>
              </w:rPr>
              <w:t>“</w:t>
            </w:r>
            <w:r w:rsidRPr="23C3C96C">
              <w:rPr>
                <w:rFonts w:ascii="Verdana" w:eastAsia="Verdana" w:hAnsi="Verdana" w:cs="Verdana"/>
                <w:sz w:val="20"/>
                <w:szCs w:val="20"/>
                <w:lang w:eastAsia="lt-LT"/>
              </w:rPr>
              <w:t xml:space="preserve"> klausimyno pavyzdys:</w:t>
            </w:r>
          </w:p>
          <w:p w14:paraId="0605D0E2" w14:textId="77777777" w:rsidR="00C20407" w:rsidRPr="00695D24" w:rsidRDefault="58D93526" w:rsidP="23C3C96C">
            <w:pPr>
              <w:pStyle w:val="ListParagraph"/>
              <w:numPr>
                <w:ilvl w:val="0"/>
                <w:numId w:val="25"/>
              </w:numPr>
              <w:spacing w:before="100" w:beforeAutospacing="1" w:after="100" w:afterAutospacing="1" w:line="240" w:lineRule="auto"/>
              <w:jc w:val="both"/>
              <w:rPr>
                <w:rFonts w:ascii="Verdana" w:eastAsia="Verdana" w:hAnsi="Verdana" w:cs="Verdana"/>
                <w:sz w:val="20"/>
                <w:szCs w:val="20"/>
                <w:lang w:val="en-US" w:eastAsia="lt-LT"/>
              </w:rPr>
            </w:pPr>
            <w:r w:rsidRPr="23C3C96C">
              <w:rPr>
                <w:rFonts w:ascii="Verdana" w:eastAsia="Verdana" w:hAnsi="Verdana" w:cs="Verdana"/>
                <w:sz w:val="20"/>
                <w:szCs w:val="20"/>
                <w:lang w:val="en-US" w:eastAsia="lt-LT"/>
              </w:rPr>
              <w:t>Ar išlaidos numatytos paraiškoje atitinka PFSA nuostatas?</w:t>
            </w:r>
          </w:p>
          <w:p w14:paraId="282B1331" w14:textId="77777777" w:rsidR="00C20407" w:rsidRPr="00695D24" w:rsidRDefault="58D93526" w:rsidP="23C3C96C">
            <w:pPr>
              <w:numPr>
                <w:ilvl w:val="0"/>
                <w:numId w:val="25"/>
              </w:numPr>
              <w:spacing w:before="100" w:beforeAutospacing="1" w:after="100" w:afterAutospacing="1" w:line="240" w:lineRule="auto"/>
              <w:jc w:val="both"/>
              <w:rPr>
                <w:rFonts w:ascii="Verdana" w:eastAsia="Verdana" w:hAnsi="Verdana" w:cs="Verdana"/>
                <w:sz w:val="20"/>
                <w:szCs w:val="20"/>
                <w:lang w:val="en-US" w:eastAsia="lt-LT"/>
              </w:rPr>
            </w:pPr>
            <w:r w:rsidRPr="23C3C96C">
              <w:rPr>
                <w:rFonts w:ascii="Verdana" w:eastAsia="Verdana" w:hAnsi="Verdana" w:cs="Verdana"/>
                <w:sz w:val="20"/>
                <w:szCs w:val="20"/>
                <w:lang w:val="en-US" w:eastAsia="lt-LT"/>
              </w:rPr>
              <w:t>Ar išlaidos numatytos paraiškoje neviršija rinkos kainų?</w:t>
            </w:r>
          </w:p>
          <w:p w14:paraId="178C1545" w14:textId="77777777" w:rsidR="00C20407" w:rsidRPr="006B32C7" w:rsidRDefault="58D93526" w:rsidP="23C3C96C">
            <w:pPr>
              <w:numPr>
                <w:ilvl w:val="0"/>
                <w:numId w:val="25"/>
              </w:numPr>
              <w:spacing w:before="100" w:beforeAutospacing="1" w:after="100" w:afterAutospacing="1" w:line="240" w:lineRule="auto"/>
              <w:jc w:val="both"/>
              <w:rPr>
                <w:rFonts w:ascii="Verdana" w:eastAsia="Verdana" w:hAnsi="Verdana" w:cs="Verdana"/>
                <w:sz w:val="20"/>
                <w:szCs w:val="20"/>
                <w:lang w:val="en-US" w:eastAsia="lt-LT"/>
              </w:rPr>
            </w:pPr>
            <w:r w:rsidRPr="23C3C96C">
              <w:rPr>
                <w:rFonts w:ascii="Verdana" w:eastAsia="Verdana" w:hAnsi="Verdana" w:cs="Verdana"/>
                <w:sz w:val="20"/>
                <w:szCs w:val="20"/>
                <w:lang w:val="en-US" w:eastAsia="lt-LT"/>
              </w:rPr>
              <w:t>Ar numatomas (-i) kurti DI produktas (-ai) ir (arba) sprendimas (-ai) atitinka vieną iš DI sričių (mašininis mokymasis, kompiuterinė rega, robotika   ir automatizavimas, natūralios kalbos apdorojimas, skaitmeniniai dvyniai)?</w:t>
            </w:r>
          </w:p>
          <w:p w14:paraId="7418C311" w14:textId="77777777" w:rsidR="00C20407" w:rsidRDefault="58D93526" w:rsidP="23C3C96C">
            <w:pPr>
              <w:spacing w:before="100" w:beforeAutospacing="1" w:after="100" w:afterAutospacing="1" w:line="240" w:lineRule="auto"/>
              <w:contextualSpacing/>
              <w:jc w:val="both"/>
              <w:rPr>
                <w:rFonts w:ascii="Verdana" w:eastAsia="Verdana" w:hAnsi="Verdana" w:cs="Verdana"/>
                <w:sz w:val="20"/>
                <w:szCs w:val="20"/>
                <w:lang w:eastAsia="lt-LT"/>
              </w:rPr>
            </w:pPr>
            <w:r w:rsidRPr="23C3C96C">
              <w:rPr>
                <w:rFonts w:ascii="Verdana" w:eastAsia="Verdana" w:hAnsi="Verdana" w:cs="Verdana"/>
                <w:sz w:val="20"/>
                <w:szCs w:val="20"/>
                <w:lang w:eastAsia="lt-LT"/>
              </w:rPr>
              <w:t>Bendras vienos paraiškos vidutinis vertinamos dokumentacijos puslapių skaičius (ne gryno teksto) ~ 30 lapų vienai paraiškai.</w:t>
            </w:r>
          </w:p>
          <w:p w14:paraId="75005C8F" w14:textId="77777777" w:rsidR="00C20407" w:rsidRDefault="00C20407" w:rsidP="23C3C96C">
            <w:pPr>
              <w:spacing w:before="100" w:beforeAutospacing="1" w:after="100" w:afterAutospacing="1" w:line="240" w:lineRule="auto"/>
              <w:contextualSpacing/>
              <w:jc w:val="both"/>
              <w:rPr>
                <w:rFonts w:ascii="Verdana" w:eastAsia="Verdana" w:hAnsi="Verdana" w:cs="Verdana"/>
                <w:sz w:val="20"/>
                <w:szCs w:val="20"/>
                <w:lang w:eastAsia="lt-LT"/>
              </w:rPr>
            </w:pPr>
          </w:p>
          <w:p w14:paraId="29EBBDAE" w14:textId="77777777" w:rsidR="00C20407" w:rsidRDefault="58D93526" w:rsidP="23C3C96C">
            <w:pPr>
              <w:spacing w:before="100" w:beforeAutospacing="1" w:after="100" w:afterAutospacing="1" w:line="240" w:lineRule="auto"/>
              <w:contextualSpacing/>
              <w:jc w:val="both"/>
              <w:rPr>
                <w:rFonts w:ascii="Verdana" w:eastAsia="Verdana" w:hAnsi="Verdana" w:cs="Verdana"/>
                <w:sz w:val="20"/>
                <w:szCs w:val="20"/>
                <w:lang w:eastAsia="lt-LT"/>
              </w:rPr>
            </w:pPr>
            <w:r w:rsidRPr="23C3C96C">
              <w:rPr>
                <w:rFonts w:ascii="Verdana" w:eastAsia="Verdana" w:hAnsi="Verdana" w:cs="Verdana"/>
                <w:sz w:val="20"/>
                <w:szCs w:val="20"/>
                <w:lang w:eastAsia="lt-LT"/>
              </w:rPr>
              <w:t>Vertinant įkainių dydį rašytinėms ir žodinėms išvadoms pagal numatomą eksperto darbo apimtį, pagl DI priemones rekomenduojama naudoti santykį 2:1, kur:</w:t>
            </w:r>
          </w:p>
          <w:p w14:paraId="53D88D0F" w14:textId="77777777" w:rsidR="00C20407" w:rsidRPr="00E305E2" w:rsidRDefault="58D93526" w:rsidP="23C3C96C">
            <w:pPr>
              <w:pStyle w:val="ListParagraph"/>
              <w:numPr>
                <w:ilvl w:val="0"/>
                <w:numId w:val="24"/>
              </w:numPr>
              <w:spacing w:before="100" w:beforeAutospacing="1" w:after="100" w:afterAutospacing="1" w:line="240" w:lineRule="auto"/>
              <w:jc w:val="both"/>
              <w:rPr>
                <w:rFonts w:ascii="Verdana" w:eastAsia="Verdana" w:hAnsi="Verdana" w:cs="Verdana"/>
                <w:sz w:val="20"/>
                <w:szCs w:val="20"/>
                <w:lang w:eastAsia="lt-LT"/>
              </w:rPr>
            </w:pPr>
            <w:r w:rsidRPr="23C3C96C">
              <w:rPr>
                <w:rFonts w:ascii="Verdana" w:eastAsia="Verdana" w:hAnsi="Verdana" w:cs="Verdana"/>
                <w:sz w:val="20"/>
                <w:szCs w:val="20"/>
              </w:rPr>
              <w:t>veiklos „</w:t>
            </w:r>
            <w:r w:rsidRPr="23C3C96C">
              <w:rPr>
                <w:rFonts w:ascii="Verdana" w:eastAsia="Verdana" w:hAnsi="Verdana" w:cs="Verdana"/>
                <w:i/>
                <w:iCs/>
                <w:sz w:val="20"/>
                <w:szCs w:val="20"/>
              </w:rPr>
              <w:t xml:space="preserve">Skatinti labai mažas, mažas ir vidutines įmones (toliau – MVĮ) </w:t>
            </w:r>
            <w:r w:rsidRPr="23C3C96C">
              <w:rPr>
                <w:rFonts w:ascii="Verdana" w:eastAsia="Verdana" w:hAnsi="Verdana" w:cs="Verdana"/>
                <w:i/>
                <w:iCs/>
                <w:sz w:val="20"/>
                <w:szCs w:val="20"/>
                <w:u w:val="single"/>
              </w:rPr>
              <w:t>vystyti</w:t>
            </w:r>
            <w:r w:rsidRPr="23C3C96C">
              <w:rPr>
                <w:rFonts w:ascii="Verdana" w:eastAsia="Verdana" w:hAnsi="Verdana" w:cs="Verdana"/>
                <w:i/>
                <w:iCs/>
                <w:sz w:val="20"/>
                <w:szCs w:val="20"/>
              </w:rPr>
              <w:t xml:space="preserve"> dirbtinio intelekto (toliau – DI) sprendimus (Vidurio ir vakarų Lietuvos regionas</w:t>
            </w:r>
            <w:r w:rsidRPr="23C3C96C">
              <w:rPr>
                <w:rFonts w:ascii="Verdana" w:eastAsia="Verdana" w:hAnsi="Verdana" w:cs="Verdana"/>
                <w:sz w:val="20"/>
                <w:szCs w:val="20"/>
              </w:rPr>
              <w:t>“ įkainis – 2X;</w:t>
            </w:r>
          </w:p>
          <w:p w14:paraId="35A851EA" w14:textId="77777777" w:rsidR="00C20407" w:rsidRPr="00E305E2" w:rsidRDefault="58D93526" w:rsidP="23C3C96C">
            <w:pPr>
              <w:pStyle w:val="ListParagraph"/>
              <w:numPr>
                <w:ilvl w:val="0"/>
                <w:numId w:val="24"/>
              </w:numPr>
              <w:spacing w:before="100" w:beforeAutospacing="1" w:after="100" w:afterAutospacing="1" w:line="240" w:lineRule="auto"/>
              <w:jc w:val="both"/>
              <w:rPr>
                <w:rFonts w:ascii="Verdana" w:eastAsia="Verdana" w:hAnsi="Verdana" w:cs="Verdana"/>
                <w:sz w:val="20"/>
                <w:szCs w:val="20"/>
                <w:lang w:eastAsia="lt-LT"/>
              </w:rPr>
            </w:pPr>
            <w:r w:rsidRPr="23C3C96C">
              <w:rPr>
                <w:rFonts w:ascii="Verdana" w:eastAsia="Verdana" w:hAnsi="Verdana" w:cs="Verdana"/>
                <w:sz w:val="20"/>
                <w:szCs w:val="20"/>
                <w:lang w:eastAsia="lt-LT"/>
              </w:rPr>
              <w:t xml:space="preserve">veiklos </w:t>
            </w:r>
            <w:r w:rsidRPr="23C3C96C">
              <w:rPr>
                <w:rFonts w:ascii="Verdana" w:eastAsia="Verdana" w:hAnsi="Verdana" w:cs="Verdana"/>
                <w:i/>
                <w:iCs/>
                <w:sz w:val="20"/>
                <w:szCs w:val="20"/>
              </w:rPr>
              <w:t xml:space="preserve">Skatinti labai mažas, mažas ir vidutines įmones (toliau – MVĮ) </w:t>
            </w:r>
            <w:r w:rsidRPr="23C3C96C">
              <w:rPr>
                <w:rFonts w:ascii="Verdana" w:eastAsia="Verdana" w:hAnsi="Verdana" w:cs="Verdana"/>
                <w:i/>
                <w:iCs/>
                <w:sz w:val="20"/>
                <w:szCs w:val="20"/>
                <w:u w:val="single"/>
              </w:rPr>
              <w:t>diegtis</w:t>
            </w:r>
            <w:r w:rsidRPr="23C3C96C">
              <w:rPr>
                <w:rFonts w:ascii="Verdana" w:eastAsia="Verdana" w:hAnsi="Verdana" w:cs="Verdana"/>
                <w:i/>
                <w:iCs/>
                <w:sz w:val="20"/>
                <w:szCs w:val="20"/>
              </w:rPr>
              <w:t xml:space="preserve"> skaitmenines technologijas, prioritetą teikiant dirbtinio intelekto sprendimams</w:t>
            </w:r>
            <w:r w:rsidRPr="23C3C96C">
              <w:rPr>
                <w:rFonts w:ascii="Verdana" w:eastAsia="Verdana" w:hAnsi="Verdana" w:cs="Verdana"/>
                <w:sz w:val="20"/>
                <w:szCs w:val="20"/>
              </w:rPr>
              <w:t>“ įkainis – X.</w:t>
            </w:r>
          </w:p>
        </w:tc>
      </w:tr>
    </w:tbl>
    <w:p w14:paraId="6B93B985" w14:textId="77777777" w:rsidR="00C20407" w:rsidRPr="000F53B0" w:rsidRDefault="58D93526" w:rsidP="23C3C96C">
      <w:pPr>
        <w:pStyle w:val="ListParagraph"/>
        <w:numPr>
          <w:ilvl w:val="0"/>
          <w:numId w:val="1"/>
        </w:numPr>
        <w:spacing w:after="0" w:line="240" w:lineRule="auto"/>
        <w:ind w:left="1134" w:hanging="567"/>
        <w:jc w:val="both"/>
        <w:rPr>
          <w:rFonts w:ascii="Verdana" w:eastAsia="Verdana" w:hAnsi="Verdana" w:cs="Verdana"/>
          <w:b/>
          <w:bCs/>
          <w:sz w:val="20"/>
          <w:szCs w:val="20"/>
        </w:rPr>
      </w:pPr>
      <w:r w:rsidRPr="23C3C96C">
        <w:rPr>
          <w:rFonts w:ascii="Verdana" w:eastAsia="Verdana" w:hAnsi="Verdana" w:cs="Verdana"/>
          <w:b/>
          <w:bCs/>
          <w:sz w:val="20"/>
          <w:szCs w:val="20"/>
        </w:rPr>
        <w:t xml:space="preserve">Maksimali paslaugų vertė – </w:t>
      </w:r>
      <w:r w:rsidRPr="23C3C96C">
        <w:rPr>
          <w:rFonts w:ascii="Verdana" w:eastAsia="Verdana" w:hAnsi="Verdana" w:cs="Verdana"/>
          <w:b/>
          <w:bCs/>
          <w:sz w:val="20"/>
          <w:szCs w:val="20"/>
          <w:lang w:val="en-US"/>
        </w:rPr>
        <w:t>124 000</w:t>
      </w:r>
      <w:r w:rsidRPr="23C3C96C">
        <w:rPr>
          <w:rFonts w:ascii="Verdana" w:eastAsia="Verdana" w:hAnsi="Verdana" w:cs="Verdana"/>
          <w:b/>
          <w:bCs/>
          <w:sz w:val="20"/>
          <w:szCs w:val="20"/>
        </w:rPr>
        <w:t>,00 Eur (be PVM).</w:t>
      </w:r>
    </w:p>
    <w:p w14:paraId="1D411609" w14:textId="77777777" w:rsidR="00C20407" w:rsidRPr="00B87623" w:rsidRDefault="58D93526" w:rsidP="23C3C96C">
      <w:pPr>
        <w:pStyle w:val="ListParagraph"/>
        <w:numPr>
          <w:ilvl w:val="0"/>
          <w:numId w:val="1"/>
        </w:numPr>
        <w:spacing w:after="0" w:line="240" w:lineRule="auto"/>
        <w:ind w:left="0" w:firstLine="567"/>
        <w:jc w:val="both"/>
        <w:rPr>
          <w:rFonts w:ascii="Verdana" w:eastAsia="Verdana" w:hAnsi="Verdana" w:cs="Verdana"/>
          <w:sz w:val="20"/>
          <w:szCs w:val="20"/>
        </w:rPr>
      </w:pPr>
      <w:r w:rsidRPr="23C3C96C">
        <w:rPr>
          <w:rFonts w:ascii="Verdana" w:eastAsia="Verdana" w:hAnsi="Verdana" w:cs="Verdana"/>
          <w:sz w:val="20"/>
          <w:szCs w:val="20"/>
        </w:rPr>
        <w:t xml:space="preserve">Perkama tik nematerialaus pobūdžio paslauga, nesusijusi su materialaus objekto sukūrimu, kurios teikimo metu nėra numatomas reikšmingas neigiamas poveikis aplinkai, nesukuriamas taršos šaltinis ir negeneruojamos atliekos, todėl pirkimas laikomas žaliuoju (LR </w:t>
      </w:r>
      <w:r w:rsidRPr="23C3C96C">
        <w:rPr>
          <w:rFonts w:ascii="Verdana" w:eastAsia="Verdana" w:hAnsi="Verdana" w:cs="Verdana"/>
          <w:sz w:val="20"/>
          <w:szCs w:val="20"/>
        </w:rPr>
        <w:lastRenderedPageBreak/>
        <w:t xml:space="preserve">Aplinkos ministro 2011 m. birželio 28 d. įsakymo Nr. D1-508, 4.4.3 punktas, &lt;... </w:t>
      </w:r>
      <w:r w:rsidRPr="23C3C96C">
        <w:rPr>
          <w:rFonts w:ascii="Verdana" w:eastAsia="Verdana" w:hAnsi="Verdana" w:cs="Verdana"/>
          <w:i/>
          <w:iCs/>
          <w:sz w:val="20"/>
          <w:szCs w:val="20"/>
        </w:rPr>
        <w:t>teisinės ir konsultantų teikiamos paslaugos ir kitos paslaugos...&gt;</w:t>
      </w:r>
      <w:r w:rsidRPr="23C3C96C">
        <w:rPr>
          <w:rFonts w:ascii="Verdana" w:eastAsia="Verdana" w:hAnsi="Verdana" w:cs="Verdana"/>
          <w:sz w:val="20"/>
          <w:szCs w:val="20"/>
        </w:rPr>
        <w:t>).</w:t>
      </w:r>
    </w:p>
    <w:p w14:paraId="16B57406" w14:textId="75FCB1A0" w:rsidR="00A530E8" w:rsidRPr="0077264F" w:rsidRDefault="00C20407" w:rsidP="23C3C96C">
      <w:pPr>
        <w:spacing w:after="160" w:line="259" w:lineRule="auto"/>
        <w:rPr>
          <w:rFonts w:ascii="Verdana" w:eastAsia="Verdana" w:hAnsi="Verdana" w:cs="Verdana"/>
          <w:sz w:val="20"/>
          <w:szCs w:val="20"/>
        </w:rPr>
      </w:pPr>
      <w:r w:rsidRPr="23C3C96C">
        <w:rPr>
          <w:rFonts w:ascii="Verdana" w:eastAsia="Verdana" w:hAnsi="Verdana" w:cs="Verdana"/>
          <w:sz w:val="20"/>
          <w:szCs w:val="20"/>
        </w:rPr>
        <w:br w:type="page"/>
      </w:r>
    </w:p>
    <w:p w14:paraId="579D4007" w14:textId="77777777" w:rsidR="00535ACB" w:rsidRDefault="00535ACB" w:rsidP="23C3C96C">
      <w:pPr>
        <w:pStyle w:val="ListParagraph"/>
        <w:spacing w:after="0" w:line="240" w:lineRule="auto"/>
        <w:ind w:left="1134"/>
        <w:jc w:val="both"/>
        <w:rPr>
          <w:rFonts w:ascii="Verdana" w:eastAsia="Verdana" w:hAnsi="Verdana" w:cs="Verdana"/>
          <w:sz w:val="20"/>
          <w:szCs w:val="20"/>
        </w:rPr>
      </w:pPr>
    </w:p>
    <w:p w14:paraId="3E61E2A6" w14:textId="77777777" w:rsidR="00894F08" w:rsidRDefault="4B489DDD" w:rsidP="23C3C96C">
      <w:pPr>
        <w:pStyle w:val="paragraph"/>
        <w:spacing w:before="0" w:beforeAutospacing="0" w:after="0" w:afterAutospacing="0"/>
        <w:ind w:firstLine="720"/>
        <w:jc w:val="center"/>
        <w:textAlignment w:val="baseline"/>
        <w:rPr>
          <w:rFonts w:ascii="Verdana" w:eastAsia="Verdana" w:hAnsi="Verdana" w:cs="Verdana"/>
          <w:sz w:val="20"/>
          <w:szCs w:val="20"/>
        </w:rPr>
      </w:pPr>
      <w:r w:rsidRPr="23C3C96C">
        <w:rPr>
          <w:rStyle w:val="normaltextrun"/>
          <w:rFonts w:ascii="Verdana" w:eastAsia="Verdana" w:hAnsi="Verdana" w:cs="Verdana"/>
          <w:b/>
          <w:bCs/>
          <w:sz w:val="20"/>
          <w:szCs w:val="20"/>
        </w:rPr>
        <w:t>KONFIDENCIALUMO IR NEŠALIŠKUMO UŽTIKRINIMO PASIŽADĖJIMAS</w:t>
      </w:r>
      <w:r w:rsidRPr="23C3C96C">
        <w:rPr>
          <w:rStyle w:val="eop"/>
          <w:rFonts w:ascii="Verdana" w:eastAsia="Verdana" w:hAnsi="Verdana" w:cs="Verdana"/>
          <w:sz w:val="20"/>
          <w:szCs w:val="20"/>
        </w:rPr>
        <w:t> </w:t>
      </w:r>
    </w:p>
    <w:p w14:paraId="4C40C8D4" w14:textId="77777777" w:rsidR="00894F08" w:rsidRDefault="4B489DDD" w:rsidP="23C3C96C">
      <w:pPr>
        <w:pStyle w:val="paragraph"/>
        <w:spacing w:before="0" w:beforeAutospacing="0" w:after="0" w:afterAutospacing="0"/>
        <w:ind w:firstLine="720"/>
        <w:jc w:val="center"/>
        <w:textAlignment w:val="baseline"/>
        <w:rPr>
          <w:rFonts w:ascii="Verdana" w:eastAsia="Verdana" w:hAnsi="Verdana" w:cs="Verdana"/>
          <w:sz w:val="20"/>
          <w:szCs w:val="20"/>
        </w:rPr>
      </w:pPr>
      <w:r w:rsidRPr="23C3C96C">
        <w:rPr>
          <w:rStyle w:val="eop"/>
          <w:rFonts w:ascii="Verdana" w:eastAsia="Verdana" w:hAnsi="Verdana" w:cs="Verdana"/>
          <w:sz w:val="20"/>
          <w:szCs w:val="20"/>
        </w:rPr>
        <w:t> </w:t>
      </w:r>
    </w:p>
    <w:p w14:paraId="6C6554A4" w14:textId="77777777" w:rsidR="00894F08" w:rsidRDefault="4B489DDD" w:rsidP="23C3C96C">
      <w:pPr>
        <w:pStyle w:val="paragraph"/>
        <w:spacing w:before="0" w:beforeAutospacing="0" w:after="0" w:afterAutospacing="0"/>
        <w:ind w:firstLine="1290"/>
        <w:jc w:val="both"/>
        <w:textAlignment w:val="baseline"/>
        <w:rPr>
          <w:rFonts w:ascii="Verdana" w:eastAsia="Verdana" w:hAnsi="Verdana" w:cs="Verdana"/>
          <w:sz w:val="20"/>
          <w:szCs w:val="20"/>
        </w:rPr>
      </w:pPr>
      <w:r w:rsidRPr="23C3C96C">
        <w:rPr>
          <w:rStyle w:val="eop"/>
          <w:rFonts w:ascii="Verdana" w:eastAsia="Verdana" w:hAnsi="Verdana" w:cs="Verdana"/>
          <w:sz w:val="20"/>
          <w:szCs w:val="20"/>
        </w:rPr>
        <w:t> </w:t>
      </w:r>
    </w:p>
    <w:p w14:paraId="066CF970" w14:textId="3E324AE6" w:rsidR="00894F08" w:rsidRPr="00687096" w:rsidRDefault="4B489DDD" w:rsidP="23C3C96C">
      <w:pPr>
        <w:rPr>
          <w:rFonts w:ascii="Verdana" w:eastAsia="Verdana" w:hAnsi="Verdana" w:cs="Verdana"/>
          <w:sz w:val="20"/>
          <w:szCs w:val="20"/>
        </w:rPr>
      </w:pPr>
      <w:r w:rsidRPr="23C3C96C">
        <w:rPr>
          <w:rStyle w:val="normaltextrun"/>
          <w:rFonts w:ascii="Verdana" w:eastAsia="Verdana" w:hAnsi="Verdana" w:cs="Verdana"/>
          <w:b/>
          <w:bCs/>
          <w:sz w:val="20"/>
          <w:szCs w:val="20"/>
        </w:rPr>
        <w:t> </w:t>
      </w:r>
      <w:r w:rsidRPr="23C3C96C">
        <w:rPr>
          <w:rStyle w:val="normaltextrun"/>
          <w:rFonts w:ascii="Verdana" w:eastAsia="Verdana" w:hAnsi="Verdana" w:cs="Verdana"/>
          <w:sz w:val="20"/>
          <w:szCs w:val="20"/>
        </w:rPr>
        <w:t xml:space="preserve">Aš, </w:t>
      </w:r>
      <w:r w:rsidRPr="23C3C96C">
        <w:rPr>
          <w:rFonts w:ascii="Verdana" w:eastAsia="Verdana" w:hAnsi="Verdana" w:cs="Verdana"/>
          <w:sz w:val="20"/>
          <w:szCs w:val="20"/>
        </w:rPr>
        <w:t>...</w:t>
      </w:r>
      <w:r w:rsidRPr="23C3C96C">
        <w:rPr>
          <w:rStyle w:val="normaltextrun"/>
          <w:rFonts w:ascii="Verdana" w:eastAsia="Verdana" w:hAnsi="Verdana" w:cs="Verdana"/>
          <w:sz w:val="20"/>
          <w:szCs w:val="20"/>
        </w:rPr>
        <w:t xml:space="preserve">, (toliau – </w:t>
      </w:r>
      <w:r w:rsidRPr="23C3C96C">
        <w:rPr>
          <w:rStyle w:val="normaltextrun"/>
          <w:rFonts w:ascii="Verdana" w:eastAsia="Verdana" w:hAnsi="Verdana" w:cs="Verdana"/>
          <w:b/>
          <w:bCs/>
          <w:sz w:val="20"/>
          <w:szCs w:val="20"/>
        </w:rPr>
        <w:t>Ekspertas</w:t>
      </w:r>
      <w:r w:rsidRPr="23C3C96C">
        <w:rPr>
          <w:rStyle w:val="normaltextrun"/>
          <w:rFonts w:ascii="Verdana" w:eastAsia="Verdana" w:hAnsi="Verdana" w:cs="Verdana"/>
          <w:sz w:val="20"/>
          <w:szCs w:val="20"/>
        </w:rPr>
        <w:t xml:space="preserve">), atsižvelgiant į tai, kad gaudamas duomenis pagal rašytinę arba žodinę paslaugų, autorinę ar bendradarbiavimo sutartį (toliau - Ekspertinio vertinimo sutartis) turėsiu galimybę susipažinti su Viešosios įstaigos Inovacijų agentūros, juridinio asmens kodas 125447177, buveinės adresas J. Balčikonio g. </w:t>
      </w:r>
      <w:r w:rsidRPr="23C3C96C">
        <w:rPr>
          <w:rStyle w:val="normaltextrun"/>
          <w:rFonts w:ascii="Verdana" w:eastAsia="Verdana" w:hAnsi="Verdana" w:cs="Verdana"/>
          <w:sz w:val="20"/>
          <w:szCs w:val="20"/>
          <w:lang w:val="en-US"/>
        </w:rPr>
        <w:t>3</w:t>
      </w:r>
      <w:r w:rsidRPr="23C3C96C">
        <w:rPr>
          <w:rStyle w:val="normaltextrun"/>
          <w:rFonts w:ascii="Verdana" w:eastAsia="Verdana" w:hAnsi="Verdana" w:cs="Verdana"/>
          <w:sz w:val="20"/>
          <w:szCs w:val="20"/>
        </w:rPr>
        <w:t>, LT-</w:t>
      </w:r>
      <w:r w:rsidRPr="23C3C96C">
        <w:rPr>
          <w:rStyle w:val="normaltextrun"/>
          <w:rFonts w:ascii="Verdana" w:eastAsia="Verdana" w:hAnsi="Verdana" w:cs="Verdana"/>
          <w:sz w:val="20"/>
          <w:szCs w:val="20"/>
          <w:lang w:val="en-US"/>
        </w:rPr>
        <w:t>08247</w:t>
      </w:r>
      <w:r w:rsidRPr="23C3C96C">
        <w:rPr>
          <w:rStyle w:val="normaltextrun"/>
          <w:rFonts w:ascii="Verdana" w:eastAsia="Verdana" w:hAnsi="Verdana" w:cs="Verdana"/>
          <w:sz w:val="20"/>
          <w:szCs w:val="20"/>
        </w:rPr>
        <w:t xml:space="preserve"> Vilnius, Lietuva (toliau – IA) vykdomomis funkcijomis bei turima informacija, įskaitant konfidencialią.</w:t>
      </w:r>
      <w:r w:rsidRPr="23C3C96C">
        <w:rPr>
          <w:rStyle w:val="eop"/>
          <w:rFonts w:ascii="Verdana" w:eastAsia="Verdana" w:hAnsi="Verdana" w:cs="Verdana"/>
          <w:sz w:val="20"/>
          <w:szCs w:val="20"/>
        </w:rPr>
        <w:t> </w:t>
      </w:r>
    </w:p>
    <w:p w14:paraId="1DA9F9DB" w14:textId="77777777" w:rsidR="00894F08" w:rsidRDefault="4B489DDD" w:rsidP="23C3C96C">
      <w:pPr>
        <w:pStyle w:val="paragraph"/>
        <w:spacing w:before="0" w:beforeAutospacing="0" w:after="0" w:afterAutospacing="0"/>
        <w:ind w:firstLine="720"/>
        <w:jc w:val="both"/>
        <w:textAlignment w:val="baseline"/>
        <w:rPr>
          <w:rFonts w:ascii="Verdana" w:eastAsia="Verdana" w:hAnsi="Verdana" w:cs="Verdana"/>
          <w:sz w:val="20"/>
          <w:szCs w:val="20"/>
        </w:rPr>
      </w:pPr>
      <w:r w:rsidRPr="23C3C96C">
        <w:rPr>
          <w:rStyle w:val="normaltextrun"/>
          <w:rFonts w:ascii="Verdana" w:eastAsia="Verdana" w:hAnsi="Verdana" w:cs="Verdana"/>
          <w:sz w:val="20"/>
          <w:szCs w:val="20"/>
        </w:rPr>
        <w:t>pasirašau šį Konfidencialumo ir nešališkumo užtikrinimo pasižadėjimą (toliau vadinama Pasižadėjimu):</w:t>
      </w:r>
      <w:r w:rsidRPr="23C3C96C">
        <w:rPr>
          <w:rStyle w:val="eop"/>
          <w:rFonts w:ascii="Verdana" w:eastAsia="Verdana" w:hAnsi="Verdana" w:cs="Verdana"/>
          <w:sz w:val="20"/>
          <w:szCs w:val="20"/>
        </w:rPr>
        <w:t> </w:t>
      </w:r>
    </w:p>
    <w:p w14:paraId="1CE31AEE" w14:textId="77777777" w:rsidR="00894F08" w:rsidRDefault="4B489DDD" w:rsidP="23C3C96C">
      <w:pPr>
        <w:pStyle w:val="paragraph"/>
        <w:spacing w:before="0" w:beforeAutospacing="0" w:after="0" w:afterAutospacing="0"/>
        <w:ind w:firstLine="720"/>
        <w:jc w:val="both"/>
        <w:textAlignment w:val="baseline"/>
        <w:rPr>
          <w:rFonts w:ascii="Verdana" w:eastAsia="Verdana" w:hAnsi="Verdana" w:cs="Verdana"/>
          <w:sz w:val="20"/>
          <w:szCs w:val="20"/>
        </w:rPr>
      </w:pPr>
      <w:r w:rsidRPr="23C3C96C">
        <w:rPr>
          <w:rStyle w:val="eop"/>
          <w:rFonts w:ascii="Verdana" w:eastAsia="Verdana" w:hAnsi="Verdana" w:cs="Verdana"/>
          <w:sz w:val="20"/>
          <w:szCs w:val="20"/>
        </w:rPr>
        <w:t> </w:t>
      </w:r>
    </w:p>
    <w:p w14:paraId="4F8CE42B" w14:textId="77777777" w:rsidR="00894F08" w:rsidRPr="0033098C" w:rsidRDefault="4B489DDD" w:rsidP="23C3C96C">
      <w:pPr>
        <w:pStyle w:val="paragraph"/>
        <w:numPr>
          <w:ilvl w:val="0"/>
          <w:numId w:val="23"/>
        </w:numPr>
        <w:spacing w:before="0" w:beforeAutospacing="0" w:after="0" w:afterAutospacing="0"/>
        <w:ind w:firstLine="0"/>
        <w:jc w:val="center"/>
        <w:textAlignment w:val="baseline"/>
        <w:rPr>
          <w:rStyle w:val="eop"/>
          <w:rFonts w:ascii="Verdana" w:eastAsia="Verdana" w:hAnsi="Verdana" w:cs="Verdana"/>
          <w:b/>
          <w:bCs/>
          <w:sz w:val="20"/>
          <w:szCs w:val="20"/>
        </w:rPr>
      </w:pPr>
      <w:r w:rsidRPr="23C3C96C">
        <w:rPr>
          <w:rStyle w:val="normaltextrun"/>
          <w:rFonts w:ascii="Verdana" w:eastAsia="Verdana" w:hAnsi="Verdana" w:cs="Verdana"/>
          <w:b/>
          <w:bCs/>
          <w:sz w:val="20"/>
          <w:szCs w:val="20"/>
        </w:rPr>
        <w:t>KONFIDENCIALIOS INFORMACIJOS SAMPRATA</w:t>
      </w:r>
      <w:r w:rsidRPr="23C3C96C">
        <w:rPr>
          <w:rStyle w:val="eop"/>
          <w:rFonts w:ascii="Verdana" w:eastAsia="Verdana" w:hAnsi="Verdana" w:cs="Verdana"/>
          <w:b/>
          <w:bCs/>
          <w:sz w:val="20"/>
          <w:szCs w:val="20"/>
        </w:rPr>
        <w:t> </w:t>
      </w:r>
    </w:p>
    <w:p w14:paraId="6B1A18F0" w14:textId="77777777" w:rsidR="00894F08" w:rsidRDefault="00894F08" w:rsidP="23C3C96C">
      <w:pPr>
        <w:pStyle w:val="paragraph"/>
        <w:spacing w:before="0" w:beforeAutospacing="0" w:after="0" w:afterAutospacing="0"/>
        <w:ind w:left="720"/>
        <w:textAlignment w:val="baseline"/>
        <w:rPr>
          <w:rFonts w:ascii="Verdana" w:eastAsia="Verdana" w:hAnsi="Verdana" w:cs="Verdana"/>
          <w:sz w:val="20"/>
          <w:szCs w:val="20"/>
        </w:rPr>
      </w:pPr>
    </w:p>
    <w:p w14:paraId="633BAECA" w14:textId="77777777" w:rsidR="00894F08" w:rsidRDefault="4B489DDD" w:rsidP="23C3C96C">
      <w:pPr>
        <w:pStyle w:val="paragraph"/>
        <w:spacing w:before="0" w:beforeAutospacing="0" w:after="0" w:afterAutospacing="0"/>
        <w:jc w:val="both"/>
        <w:textAlignment w:val="baseline"/>
        <w:rPr>
          <w:rFonts w:ascii="Verdana" w:eastAsia="Verdana" w:hAnsi="Verdana" w:cs="Verdana"/>
          <w:sz w:val="20"/>
          <w:szCs w:val="20"/>
        </w:rPr>
      </w:pPr>
      <w:r w:rsidRPr="23C3C96C">
        <w:rPr>
          <w:rStyle w:val="normaltextrun"/>
          <w:rFonts w:ascii="Verdana" w:eastAsia="Verdana" w:hAnsi="Verdana" w:cs="Verdana"/>
          <w:sz w:val="20"/>
          <w:szCs w:val="20"/>
        </w:rPr>
        <w:t>1.1. Konfidenciali informacija, kuriai taikomos šio Pasižadėjimo nuostatos, yra:</w:t>
      </w:r>
      <w:r w:rsidRPr="23C3C96C">
        <w:rPr>
          <w:rStyle w:val="eop"/>
          <w:rFonts w:ascii="Verdana" w:eastAsia="Verdana" w:hAnsi="Verdana" w:cs="Verdana"/>
          <w:sz w:val="20"/>
          <w:szCs w:val="20"/>
        </w:rPr>
        <w:t> </w:t>
      </w:r>
    </w:p>
    <w:p w14:paraId="03AD621D" w14:textId="77777777" w:rsidR="00894F08" w:rsidRDefault="4B489DDD" w:rsidP="23C3C96C">
      <w:pPr>
        <w:pStyle w:val="paragraph"/>
        <w:spacing w:before="0" w:beforeAutospacing="0" w:after="0" w:afterAutospacing="0"/>
        <w:ind w:firstLine="567"/>
        <w:jc w:val="both"/>
        <w:textAlignment w:val="baseline"/>
        <w:rPr>
          <w:rFonts w:ascii="Verdana" w:eastAsia="Verdana" w:hAnsi="Verdana" w:cs="Verdana"/>
          <w:sz w:val="20"/>
          <w:szCs w:val="20"/>
        </w:rPr>
      </w:pPr>
      <w:r w:rsidRPr="23C3C96C">
        <w:rPr>
          <w:rStyle w:val="normaltextrun"/>
          <w:rFonts w:ascii="Verdana" w:eastAsia="Verdana" w:hAnsi="Verdana" w:cs="Verdana"/>
          <w:sz w:val="20"/>
          <w:szCs w:val="20"/>
        </w:rPr>
        <w:t>1.1.1. su IA ir (ar) IA vertinamų ir (ar) administruojamų projektų pareiškėjais ir (ar) projektų vykdytojais susijusi informacija, kurią Ekspertas sužinojo vykdydamas – Ekspertinio vertinimo sutartį, apimant, bet neapsiribojant, bet kokia informacija apie IA ir (ar) su IA vertinamų ir (ar) administruojamų projektų pareiškėjus ir (ar) projektų vykdytojus – paraiškos duomenis, verslo planų informaciją, projekto finansavimo sutarties nuostatas, mokėjimo prašymų duomenis ir kitą su projektais susijusią informaciją, taip pat bet kokius kitus duomenis, susijusius su IA ir (ar) su IA vertinamų ir/ar administruojamų projektų pareiškėjų ir/ar projektų vykdytojų vykdoma veikla, bei informacija, kurią IA ir (ar) IA vertinamų ir/ar administruojamų projektų pareiškėjai ir (ar) projektų vykdytojai laiko konfidencialia informacija ar komercine paslaptimi;</w:t>
      </w:r>
      <w:r w:rsidRPr="23C3C96C">
        <w:rPr>
          <w:rStyle w:val="eop"/>
          <w:rFonts w:ascii="Verdana" w:eastAsia="Verdana" w:hAnsi="Verdana" w:cs="Verdana"/>
          <w:sz w:val="20"/>
          <w:szCs w:val="20"/>
        </w:rPr>
        <w:t> </w:t>
      </w:r>
    </w:p>
    <w:p w14:paraId="2D99A723" w14:textId="77777777" w:rsidR="00894F08" w:rsidRDefault="4B489DDD" w:rsidP="23C3C96C">
      <w:pPr>
        <w:pStyle w:val="paragraph"/>
        <w:spacing w:before="0" w:beforeAutospacing="0" w:after="0" w:afterAutospacing="0"/>
        <w:ind w:firstLine="567"/>
        <w:jc w:val="both"/>
        <w:textAlignment w:val="baseline"/>
        <w:rPr>
          <w:rFonts w:ascii="Verdana" w:eastAsia="Verdana" w:hAnsi="Verdana" w:cs="Verdana"/>
          <w:sz w:val="20"/>
          <w:szCs w:val="20"/>
        </w:rPr>
      </w:pPr>
      <w:r w:rsidRPr="23C3C96C">
        <w:rPr>
          <w:rFonts w:ascii="Verdana" w:eastAsia="Verdana" w:hAnsi="Verdana" w:cs="Verdana"/>
          <w:sz w:val="20"/>
          <w:szCs w:val="20"/>
        </w:rPr>
        <w:t xml:space="preserve">1.1.2. </w:t>
      </w:r>
      <w:r w:rsidRPr="23C3C96C">
        <w:rPr>
          <w:rStyle w:val="normaltextrun"/>
          <w:rFonts w:ascii="Verdana" w:eastAsia="Verdana" w:hAnsi="Verdana" w:cs="Verdana"/>
          <w:sz w:val="20"/>
          <w:szCs w:val="20"/>
        </w:rPr>
        <w:t>informacija, susijusi su Ekspertinio vertinimo sutarties dalyku ir gautais rezultatais;</w:t>
      </w:r>
      <w:r w:rsidRPr="23C3C96C">
        <w:rPr>
          <w:rStyle w:val="eop"/>
          <w:rFonts w:ascii="Verdana" w:eastAsia="Verdana" w:hAnsi="Verdana" w:cs="Verdana"/>
          <w:sz w:val="20"/>
          <w:szCs w:val="20"/>
        </w:rPr>
        <w:t> </w:t>
      </w:r>
    </w:p>
    <w:p w14:paraId="7AADB0D2" w14:textId="77777777" w:rsidR="00894F08" w:rsidRDefault="4B489DDD" w:rsidP="23C3C96C">
      <w:pPr>
        <w:pStyle w:val="paragraph"/>
        <w:spacing w:before="0" w:beforeAutospacing="0" w:after="0" w:afterAutospacing="0"/>
        <w:ind w:firstLine="567"/>
        <w:jc w:val="both"/>
        <w:textAlignment w:val="baseline"/>
        <w:rPr>
          <w:rFonts w:ascii="Verdana" w:eastAsia="Verdana" w:hAnsi="Verdana" w:cs="Verdana"/>
          <w:sz w:val="20"/>
          <w:szCs w:val="20"/>
        </w:rPr>
      </w:pPr>
      <w:r w:rsidRPr="23C3C96C">
        <w:rPr>
          <w:rFonts w:ascii="Verdana" w:eastAsia="Verdana" w:hAnsi="Verdana" w:cs="Verdana"/>
          <w:sz w:val="20"/>
          <w:szCs w:val="20"/>
        </w:rPr>
        <w:t xml:space="preserve">1.1.3. </w:t>
      </w:r>
      <w:r w:rsidRPr="23C3C96C">
        <w:rPr>
          <w:rStyle w:val="normaltextrun"/>
          <w:rFonts w:ascii="Verdana" w:eastAsia="Verdana" w:hAnsi="Verdana" w:cs="Verdana"/>
          <w:sz w:val="20"/>
          <w:szCs w:val="20"/>
        </w:rPr>
        <w:t>Konfidencialia informacija taip pat laikytina aukščiau nurodyta informacija apie trečiuosius asmenis ar susijusi su trečiaisiais asmenimis, kurią Ekspertas sužinojo vykdydamas Ekspertinio vertinimo sutartį.</w:t>
      </w:r>
      <w:r w:rsidRPr="23C3C96C">
        <w:rPr>
          <w:rStyle w:val="eop"/>
          <w:rFonts w:ascii="Verdana" w:eastAsia="Verdana" w:hAnsi="Verdana" w:cs="Verdana"/>
          <w:sz w:val="20"/>
          <w:szCs w:val="20"/>
        </w:rPr>
        <w:t> </w:t>
      </w:r>
    </w:p>
    <w:p w14:paraId="74655096" w14:textId="77777777" w:rsidR="00894F08" w:rsidRDefault="4B489DDD" w:rsidP="23C3C96C">
      <w:pPr>
        <w:pStyle w:val="paragraph"/>
        <w:spacing w:before="0" w:beforeAutospacing="0" w:after="0" w:afterAutospacing="0"/>
        <w:ind w:firstLine="142"/>
        <w:jc w:val="both"/>
        <w:textAlignment w:val="baseline"/>
        <w:rPr>
          <w:rFonts w:ascii="Verdana" w:eastAsia="Verdana" w:hAnsi="Verdana" w:cs="Verdana"/>
          <w:sz w:val="20"/>
          <w:szCs w:val="20"/>
        </w:rPr>
      </w:pPr>
      <w:r w:rsidRPr="23C3C96C">
        <w:rPr>
          <w:rStyle w:val="normaltextrun"/>
          <w:rFonts w:ascii="Verdana" w:eastAsia="Verdana" w:hAnsi="Verdana" w:cs="Verdana"/>
          <w:sz w:val="20"/>
          <w:szCs w:val="20"/>
        </w:rPr>
        <w:t>1.2. Ekspertas neturi jokių teisių į Konfidencialią informaciją ar į kurią nors jos dalį.</w:t>
      </w:r>
      <w:r w:rsidRPr="23C3C96C">
        <w:rPr>
          <w:rStyle w:val="eop"/>
          <w:rFonts w:ascii="Verdana" w:eastAsia="Verdana" w:hAnsi="Verdana" w:cs="Verdana"/>
          <w:sz w:val="20"/>
          <w:szCs w:val="20"/>
        </w:rPr>
        <w:t> </w:t>
      </w:r>
    </w:p>
    <w:p w14:paraId="6DD184B3" w14:textId="77777777" w:rsidR="00894F08" w:rsidRDefault="4B489DDD" w:rsidP="23C3C96C">
      <w:pPr>
        <w:pStyle w:val="paragraph"/>
        <w:spacing w:before="0" w:beforeAutospacing="0" w:after="0" w:afterAutospacing="0"/>
        <w:ind w:firstLine="142"/>
        <w:jc w:val="both"/>
        <w:textAlignment w:val="baseline"/>
        <w:rPr>
          <w:rFonts w:ascii="Verdana" w:eastAsia="Verdana" w:hAnsi="Verdana" w:cs="Verdana"/>
          <w:sz w:val="20"/>
          <w:szCs w:val="20"/>
        </w:rPr>
      </w:pPr>
      <w:r w:rsidRPr="23C3C96C">
        <w:rPr>
          <w:rStyle w:val="normaltextrun"/>
          <w:rFonts w:ascii="Verdana" w:eastAsia="Verdana" w:hAnsi="Verdana" w:cs="Verdana"/>
          <w:sz w:val="20"/>
          <w:szCs w:val="20"/>
        </w:rPr>
        <w:t>1.3. Pasibaigus ekspertinio vertinimo teikimo terminui Konfidenciali informacija negali būti panaudota ne IA interesais ir (ar) Ekspertinio vertinimo sutarties tikslais, atskleista ar platinama.</w:t>
      </w:r>
      <w:r w:rsidRPr="23C3C96C">
        <w:rPr>
          <w:rStyle w:val="eop"/>
          <w:rFonts w:ascii="Verdana" w:eastAsia="Verdana" w:hAnsi="Verdana" w:cs="Verdana"/>
          <w:sz w:val="20"/>
          <w:szCs w:val="20"/>
        </w:rPr>
        <w:t> </w:t>
      </w:r>
    </w:p>
    <w:p w14:paraId="19DCAAC2" w14:textId="77777777" w:rsidR="00894F08" w:rsidRDefault="4B489DDD" w:rsidP="23C3C96C">
      <w:pPr>
        <w:pStyle w:val="paragraph"/>
        <w:spacing w:before="0" w:beforeAutospacing="0" w:after="0" w:afterAutospacing="0"/>
        <w:ind w:firstLine="142"/>
        <w:jc w:val="both"/>
        <w:textAlignment w:val="baseline"/>
        <w:rPr>
          <w:rFonts w:ascii="Verdana" w:eastAsia="Verdana" w:hAnsi="Verdana" w:cs="Verdana"/>
          <w:sz w:val="20"/>
          <w:szCs w:val="20"/>
        </w:rPr>
      </w:pPr>
      <w:r w:rsidRPr="23C3C96C">
        <w:rPr>
          <w:rStyle w:val="normaltextrun"/>
          <w:rFonts w:ascii="Verdana" w:eastAsia="Verdana" w:hAnsi="Verdana" w:cs="Verdana"/>
          <w:sz w:val="20"/>
          <w:szCs w:val="20"/>
        </w:rPr>
        <w:t>1.4. Konfidencialia informacija nelaikoma informacija, kuri:</w:t>
      </w:r>
      <w:r w:rsidRPr="23C3C96C">
        <w:rPr>
          <w:rStyle w:val="eop"/>
          <w:rFonts w:ascii="Verdana" w:eastAsia="Verdana" w:hAnsi="Verdana" w:cs="Verdana"/>
          <w:sz w:val="20"/>
          <w:szCs w:val="20"/>
        </w:rPr>
        <w:t> </w:t>
      </w:r>
    </w:p>
    <w:p w14:paraId="418FA553" w14:textId="77777777" w:rsidR="00894F08" w:rsidRDefault="4B489DDD" w:rsidP="23C3C96C">
      <w:pPr>
        <w:pStyle w:val="paragraph"/>
        <w:spacing w:before="0" w:beforeAutospacing="0" w:after="0" w:afterAutospacing="0"/>
        <w:ind w:firstLine="567"/>
        <w:jc w:val="both"/>
        <w:textAlignment w:val="baseline"/>
        <w:rPr>
          <w:rFonts w:ascii="Verdana" w:eastAsia="Verdana" w:hAnsi="Verdana" w:cs="Verdana"/>
          <w:sz w:val="20"/>
          <w:szCs w:val="20"/>
        </w:rPr>
      </w:pPr>
      <w:r w:rsidRPr="23C3C96C">
        <w:rPr>
          <w:rStyle w:val="normaltextrun"/>
          <w:rFonts w:ascii="Verdana" w:eastAsia="Verdana" w:hAnsi="Verdana" w:cs="Verdana"/>
          <w:sz w:val="20"/>
          <w:szCs w:val="20"/>
        </w:rPr>
        <w:t>1.4.1. yra vieša, išskyrus, kai ji tapo vieša dėl šios ar Ekspertinio vertinimo sutarties pažeidimo;</w:t>
      </w:r>
      <w:r w:rsidRPr="23C3C96C">
        <w:rPr>
          <w:rStyle w:val="eop"/>
          <w:rFonts w:ascii="Verdana" w:eastAsia="Verdana" w:hAnsi="Verdana" w:cs="Verdana"/>
          <w:sz w:val="20"/>
          <w:szCs w:val="20"/>
        </w:rPr>
        <w:t> </w:t>
      </w:r>
    </w:p>
    <w:p w14:paraId="3EC63A9E" w14:textId="77777777" w:rsidR="00894F08" w:rsidRDefault="4B489DDD" w:rsidP="23C3C96C">
      <w:pPr>
        <w:pStyle w:val="paragraph"/>
        <w:spacing w:before="0" w:beforeAutospacing="0" w:after="0" w:afterAutospacing="0"/>
        <w:ind w:firstLine="567"/>
        <w:jc w:val="both"/>
        <w:textAlignment w:val="baseline"/>
        <w:rPr>
          <w:rFonts w:ascii="Verdana" w:eastAsia="Verdana" w:hAnsi="Verdana" w:cs="Verdana"/>
          <w:sz w:val="20"/>
          <w:szCs w:val="20"/>
        </w:rPr>
      </w:pPr>
      <w:r w:rsidRPr="23C3C96C">
        <w:rPr>
          <w:rStyle w:val="normaltextrun"/>
          <w:rFonts w:ascii="Verdana" w:eastAsia="Verdana" w:hAnsi="Verdana" w:cs="Verdana"/>
          <w:sz w:val="20"/>
          <w:szCs w:val="20"/>
        </w:rPr>
        <w:t>1.4.2. nelaikoma konfidencialia pagal raštišką IA ir Eksperto susitarimą.</w:t>
      </w:r>
      <w:r w:rsidRPr="23C3C96C">
        <w:rPr>
          <w:rStyle w:val="eop"/>
          <w:rFonts w:ascii="Verdana" w:eastAsia="Verdana" w:hAnsi="Verdana" w:cs="Verdana"/>
          <w:sz w:val="20"/>
          <w:szCs w:val="20"/>
        </w:rPr>
        <w:t> </w:t>
      </w:r>
    </w:p>
    <w:p w14:paraId="55C39497" w14:textId="77777777" w:rsidR="00894F08" w:rsidRDefault="4B489DDD" w:rsidP="23C3C96C">
      <w:pPr>
        <w:pStyle w:val="paragraph"/>
        <w:spacing w:before="0" w:beforeAutospacing="0" w:after="0" w:afterAutospacing="0"/>
        <w:ind w:firstLine="142"/>
        <w:jc w:val="both"/>
        <w:textAlignment w:val="baseline"/>
        <w:rPr>
          <w:rFonts w:ascii="Verdana" w:eastAsia="Verdana" w:hAnsi="Verdana" w:cs="Verdana"/>
          <w:sz w:val="20"/>
          <w:szCs w:val="20"/>
        </w:rPr>
      </w:pPr>
      <w:r w:rsidRPr="23C3C96C">
        <w:rPr>
          <w:rStyle w:val="eop"/>
          <w:rFonts w:ascii="Verdana" w:eastAsia="Verdana" w:hAnsi="Verdana" w:cs="Verdana"/>
          <w:sz w:val="20"/>
          <w:szCs w:val="20"/>
        </w:rPr>
        <w:t> </w:t>
      </w:r>
    </w:p>
    <w:p w14:paraId="4B2852DA" w14:textId="77777777" w:rsidR="00894F08" w:rsidRPr="0033098C" w:rsidRDefault="4B489DDD" w:rsidP="23C3C96C">
      <w:pPr>
        <w:pStyle w:val="paragraph"/>
        <w:numPr>
          <w:ilvl w:val="0"/>
          <w:numId w:val="23"/>
        </w:numPr>
        <w:spacing w:before="0" w:beforeAutospacing="0" w:after="0" w:afterAutospacing="0"/>
        <w:jc w:val="center"/>
        <w:textAlignment w:val="baseline"/>
        <w:rPr>
          <w:rStyle w:val="eop"/>
          <w:rFonts w:ascii="Verdana" w:eastAsia="Verdana" w:hAnsi="Verdana" w:cs="Verdana"/>
          <w:b/>
          <w:bCs/>
          <w:sz w:val="20"/>
          <w:szCs w:val="20"/>
        </w:rPr>
      </w:pPr>
      <w:r w:rsidRPr="23C3C96C">
        <w:rPr>
          <w:rStyle w:val="normaltextrun"/>
          <w:rFonts w:ascii="Verdana" w:eastAsia="Verdana" w:hAnsi="Verdana" w:cs="Verdana"/>
          <w:b/>
          <w:bCs/>
          <w:sz w:val="20"/>
          <w:szCs w:val="20"/>
        </w:rPr>
        <w:t>EKSPERTO ĮSIPAREIGOJIMAI</w:t>
      </w:r>
      <w:r w:rsidRPr="23C3C96C">
        <w:rPr>
          <w:rStyle w:val="eop"/>
          <w:rFonts w:ascii="Verdana" w:eastAsia="Verdana" w:hAnsi="Verdana" w:cs="Verdana"/>
          <w:b/>
          <w:bCs/>
          <w:sz w:val="20"/>
          <w:szCs w:val="20"/>
        </w:rPr>
        <w:t> </w:t>
      </w:r>
    </w:p>
    <w:p w14:paraId="64FF418C" w14:textId="77777777" w:rsidR="00894F08" w:rsidRDefault="00894F08" w:rsidP="23C3C96C">
      <w:pPr>
        <w:pStyle w:val="paragraph"/>
        <w:spacing w:before="0" w:beforeAutospacing="0" w:after="0" w:afterAutospacing="0"/>
        <w:ind w:left="720"/>
        <w:textAlignment w:val="baseline"/>
        <w:rPr>
          <w:rFonts w:ascii="Verdana" w:eastAsia="Verdana" w:hAnsi="Verdana" w:cs="Verdana"/>
          <w:sz w:val="20"/>
          <w:szCs w:val="20"/>
        </w:rPr>
      </w:pPr>
    </w:p>
    <w:p w14:paraId="2F827539" w14:textId="77777777" w:rsidR="00894F08" w:rsidRDefault="4B489DDD" w:rsidP="23C3C96C">
      <w:pPr>
        <w:pStyle w:val="paragraph"/>
        <w:spacing w:before="0" w:beforeAutospacing="0" w:after="0" w:afterAutospacing="0"/>
        <w:jc w:val="both"/>
        <w:textAlignment w:val="baseline"/>
        <w:rPr>
          <w:rFonts w:ascii="Verdana" w:eastAsia="Verdana" w:hAnsi="Verdana" w:cs="Verdana"/>
          <w:sz w:val="20"/>
          <w:szCs w:val="20"/>
        </w:rPr>
      </w:pPr>
      <w:r w:rsidRPr="23C3C96C">
        <w:rPr>
          <w:rStyle w:val="normaltextrun"/>
          <w:rFonts w:ascii="Verdana" w:eastAsia="Verdana" w:hAnsi="Verdana" w:cs="Verdana"/>
          <w:sz w:val="20"/>
          <w:szCs w:val="20"/>
        </w:rPr>
        <w:t>2.1. Ekspertas įsipareigoja:</w:t>
      </w:r>
      <w:r w:rsidRPr="23C3C96C">
        <w:rPr>
          <w:rStyle w:val="eop"/>
          <w:rFonts w:ascii="Verdana" w:eastAsia="Verdana" w:hAnsi="Verdana" w:cs="Verdana"/>
          <w:sz w:val="20"/>
          <w:szCs w:val="20"/>
        </w:rPr>
        <w:t> </w:t>
      </w:r>
    </w:p>
    <w:p w14:paraId="3AD7CB9F" w14:textId="77777777" w:rsidR="00894F08" w:rsidRDefault="4B489DDD" w:rsidP="23C3C96C">
      <w:pPr>
        <w:pStyle w:val="paragraph"/>
        <w:spacing w:before="0" w:beforeAutospacing="0" w:after="0" w:afterAutospacing="0"/>
        <w:ind w:firstLine="567"/>
        <w:jc w:val="both"/>
        <w:textAlignment w:val="baseline"/>
        <w:rPr>
          <w:rFonts w:ascii="Verdana" w:eastAsia="Verdana" w:hAnsi="Verdana" w:cs="Verdana"/>
          <w:sz w:val="20"/>
          <w:szCs w:val="20"/>
        </w:rPr>
      </w:pPr>
      <w:r w:rsidRPr="23C3C96C">
        <w:rPr>
          <w:rFonts w:ascii="Verdana" w:eastAsia="Verdana" w:hAnsi="Verdana" w:cs="Verdana"/>
          <w:sz w:val="20"/>
          <w:szCs w:val="20"/>
        </w:rPr>
        <w:t xml:space="preserve">2.1.1. </w:t>
      </w:r>
      <w:r w:rsidRPr="23C3C96C">
        <w:rPr>
          <w:rStyle w:val="normaltextrun"/>
          <w:rFonts w:ascii="Verdana" w:eastAsia="Verdana" w:hAnsi="Verdana" w:cs="Verdana"/>
          <w:sz w:val="20"/>
          <w:szCs w:val="20"/>
        </w:rPr>
        <w:t>konfidencialią informaciją laikyti slapta;</w:t>
      </w:r>
      <w:r w:rsidRPr="23C3C96C">
        <w:rPr>
          <w:rStyle w:val="eop"/>
          <w:rFonts w:ascii="Verdana" w:eastAsia="Verdana" w:hAnsi="Verdana" w:cs="Verdana"/>
          <w:sz w:val="20"/>
          <w:szCs w:val="20"/>
        </w:rPr>
        <w:t> </w:t>
      </w:r>
    </w:p>
    <w:p w14:paraId="03AB6A48" w14:textId="77777777" w:rsidR="00894F08" w:rsidRDefault="4B489DDD" w:rsidP="23C3C96C">
      <w:pPr>
        <w:pStyle w:val="paragraph"/>
        <w:spacing w:before="0" w:beforeAutospacing="0" w:after="0" w:afterAutospacing="0"/>
        <w:ind w:firstLine="567"/>
        <w:jc w:val="both"/>
        <w:textAlignment w:val="baseline"/>
        <w:rPr>
          <w:rFonts w:ascii="Verdana" w:eastAsia="Verdana" w:hAnsi="Verdana" w:cs="Verdana"/>
          <w:sz w:val="20"/>
          <w:szCs w:val="20"/>
        </w:rPr>
      </w:pPr>
      <w:r w:rsidRPr="23C3C96C">
        <w:rPr>
          <w:rFonts w:ascii="Verdana" w:eastAsia="Verdana" w:hAnsi="Verdana" w:cs="Verdana"/>
          <w:sz w:val="20"/>
          <w:szCs w:val="20"/>
        </w:rPr>
        <w:t xml:space="preserve">2.1.2. </w:t>
      </w:r>
      <w:r w:rsidRPr="23C3C96C">
        <w:rPr>
          <w:rStyle w:val="normaltextrun"/>
          <w:rFonts w:ascii="Verdana" w:eastAsia="Verdana" w:hAnsi="Verdana" w:cs="Verdana"/>
          <w:sz w:val="20"/>
          <w:szCs w:val="20"/>
        </w:rPr>
        <w:t>užtikrinti visos jam žinomos ir (ar) patikėtos Konfidencialios informacijos slaptumą ir neprieinamumą, bei pasibaigus sutartiniams santykiams pagal Ekspertinio vertinimo sutartį nedelsiant, bet ne vėliau kaip per 2 (du) mėnesius sunaikinti šią informaciją (rašytinę ir elektroninę);</w:t>
      </w:r>
      <w:r w:rsidRPr="23C3C96C">
        <w:rPr>
          <w:rStyle w:val="eop"/>
          <w:rFonts w:ascii="Verdana" w:eastAsia="Verdana" w:hAnsi="Verdana" w:cs="Verdana"/>
          <w:sz w:val="20"/>
          <w:szCs w:val="20"/>
        </w:rPr>
        <w:t> </w:t>
      </w:r>
    </w:p>
    <w:p w14:paraId="621905A0" w14:textId="77777777" w:rsidR="00894F08" w:rsidRDefault="4B489DDD" w:rsidP="23C3C96C">
      <w:pPr>
        <w:pStyle w:val="paragraph"/>
        <w:spacing w:before="0" w:beforeAutospacing="0" w:after="0" w:afterAutospacing="0"/>
        <w:ind w:firstLine="567"/>
        <w:jc w:val="both"/>
        <w:textAlignment w:val="baseline"/>
        <w:rPr>
          <w:rFonts w:ascii="Verdana" w:eastAsia="Verdana" w:hAnsi="Verdana" w:cs="Verdana"/>
          <w:sz w:val="20"/>
          <w:szCs w:val="20"/>
        </w:rPr>
      </w:pPr>
      <w:r w:rsidRPr="23C3C96C">
        <w:rPr>
          <w:rFonts w:ascii="Verdana" w:eastAsia="Verdana" w:hAnsi="Verdana" w:cs="Verdana"/>
          <w:sz w:val="20"/>
          <w:szCs w:val="20"/>
        </w:rPr>
        <w:t xml:space="preserve">2.1.3. </w:t>
      </w:r>
      <w:r w:rsidRPr="23C3C96C">
        <w:rPr>
          <w:rStyle w:val="normaltextrun"/>
          <w:rFonts w:ascii="Verdana" w:eastAsia="Verdana" w:hAnsi="Verdana" w:cs="Verdana"/>
          <w:sz w:val="20"/>
          <w:szCs w:val="20"/>
        </w:rPr>
        <w:t>nenaudoti ir neatskleisti Konfidencialios informacijos neteisėtu būdu ar kitiems nei Ekspertinio vertinimo sutarties vykdymo tikslams;</w:t>
      </w:r>
      <w:r w:rsidRPr="23C3C96C">
        <w:rPr>
          <w:rStyle w:val="eop"/>
          <w:rFonts w:ascii="Verdana" w:eastAsia="Verdana" w:hAnsi="Verdana" w:cs="Verdana"/>
          <w:sz w:val="20"/>
          <w:szCs w:val="20"/>
        </w:rPr>
        <w:t> </w:t>
      </w:r>
    </w:p>
    <w:p w14:paraId="74F9B12D" w14:textId="77777777" w:rsidR="00894F08" w:rsidRDefault="4B489DDD" w:rsidP="23C3C96C">
      <w:pPr>
        <w:pStyle w:val="paragraph"/>
        <w:spacing w:before="0" w:beforeAutospacing="0" w:after="0" w:afterAutospacing="0"/>
        <w:ind w:firstLine="567"/>
        <w:jc w:val="both"/>
        <w:textAlignment w:val="baseline"/>
        <w:rPr>
          <w:rFonts w:ascii="Verdana" w:eastAsia="Verdana" w:hAnsi="Verdana" w:cs="Verdana"/>
          <w:sz w:val="20"/>
          <w:szCs w:val="20"/>
        </w:rPr>
      </w:pPr>
      <w:r w:rsidRPr="23C3C96C">
        <w:rPr>
          <w:rFonts w:ascii="Verdana" w:eastAsia="Verdana" w:hAnsi="Verdana" w:cs="Verdana"/>
          <w:sz w:val="20"/>
          <w:szCs w:val="20"/>
        </w:rPr>
        <w:t xml:space="preserve">2.1.4. </w:t>
      </w:r>
      <w:r w:rsidRPr="23C3C96C">
        <w:rPr>
          <w:rStyle w:val="normaltextrun"/>
          <w:rFonts w:ascii="Verdana" w:eastAsia="Verdana" w:hAnsi="Verdana" w:cs="Verdana"/>
          <w:sz w:val="20"/>
          <w:szCs w:val="20"/>
        </w:rPr>
        <w:t>imtis visų reikalingų priemonių, kad būtų išvengta neteisėto Konfidencialios informacijos panaudojimo ir atskleidimo;</w:t>
      </w:r>
      <w:r w:rsidRPr="23C3C96C">
        <w:rPr>
          <w:rStyle w:val="eop"/>
          <w:rFonts w:ascii="Verdana" w:eastAsia="Verdana" w:hAnsi="Verdana" w:cs="Verdana"/>
          <w:sz w:val="20"/>
          <w:szCs w:val="20"/>
        </w:rPr>
        <w:t> </w:t>
      </w:r>
    </w:p>
    <w:p w14:paraId="2A0EF453" w14:textId="77777777" w:rsidR="00894F08" w:rsidRDefault="4B489DDD" w:rsidP="23C3C96C">
      <w:pPr>
        <w:pStyle w:val="paragraph"/>
        <w:spacing w:before="0" w:beforeAutospacing="0" w:after="0" w:afterAutospacing="0"/>
        <w:ind w:firstLine="567"/>
        <w:jc w:val="both"/>
        <w:textAlignment w:val="baseline"/>
        <w:rPr>
          <w:rFonts w:ascii="Verdana" w:eastAsia="Verdana" w:hAnsi="Verdana" w:cs="Verdana"/>
          <w:sz w:val="20"/>
          <w:szCs w:val="20"/>
        </w:rPr>
      </w:pPr>
      <w:r w:rsidRPr="23C3C96C">
        <w:rPr>
          <w:rFonts w:ascii="Verdana" w:eastAsia="Verdana" w:hAnsi="Verdana" w:cs="Verdana"/>
          <w:sz w:val="20"/>
          <w:szCs w:val="20"/>
        </w:rPr>
        <w:t xml:space="preserve">2.1.5. </w:t>
      </w:r>
      <w:r w:rsidRPr="23C3C96C">
        <w:rPr>
          <w:rStyle w:val="normaltextrun"/>
          <w:rFonts w:ascii="Verdana" w:eastAsia="Verdana" w:hAnsi="Verdana" w:cs="Verdana"/>
          <w:sz w:val="20"/>
          <w:szCs w:val="20"/>
        </w:rPr>
        <w:t>nedelsdamas informuoti IA, jeigu sužino ar įtaria, kad Konfidenciali informacija buvo atskleista ar gali būti atskleista neturintiems teisės su ja susipažinti asmenims. Ekspertas įsipareigoja informuoti IA apie visas jam žinomas aplinkybes, keliančias grėsmę Konfidencialios informacijos saugumui bei slaptumui;</w:t>
      </w:r>
      <w:r w:rsidRPr="23C3C96C">
        <w:rPr>
          <w:rStyle w:val="eop"/>
          <w:rFonts w:ascii="Verdana" w:eastAsia="Verdana" w:hAnsi="Verdana" w:cs="Verdana"/>
          <w:sz w:val="20"/>
          <w:szCs w:val="20"/>
        </w:rPr>
        <w:t> </w:t>
      </w:r>
    </w:p>
    <w:p w14:paraId="1ABFDA10" w14:textId="77777777" w:rsidR="00894F08" w:rsidRDefault="4B489DDD" w:rsidP="23C3C96C">
      <w:pPr>
        <w:pStyle w:val="paragraph"/>
        <w:spacing w:before="0" w:beforeAutospacing="0" w:after="0" w:afterAutospacing="0"/>
        <w:ind w:firstLine="567"/>
        <w:jc w:val="both"/>
        <w:textAlignment w:val="baseline"/>
        <w:rPr>
          <w:rFonts w:ascii="Verdana" w:eastAsia="Verdana" w:hAnsi="Verdana" w:cs="Verdana"/>
          <w:sz w:val="20"/>
          <w:szCs w:val="20"/>
        </w:rPr>
      </w:pPr>
      <w:r w:rsidRPr="23C3C96C">
        <w:rPr>
          <w:rFonts w:ascii="Verdana" w:eastAsia="Verdana" w:hAnsi="Verdana" w:cs="Verdana"/>
          <w:sz w:val="20"/>
          <w:szCs w:val="20"/>
        </w:rPr>
        <w:t xml:space="preserve">2.1.6. </w:t>
      </w:r>
      <w:r w:rsidRPr="23C3C96C">
        <w:rPr>
          <w:rStyle w:val="normaltextrun"/>
          <w:rFonts w:ascii="Verdana" w:eastAsia="Verdana" w:hAnsi="Verdana" w:cs="Verdana"/>
          <w:sz w:val="20"/>
          <w:szCs w:val="20"/>
        </w:rPr>
        <w:t xml:space="preserve">užtikrinti, kad IA ir (ar) IA vertinamų ir (ar) administruojamų projektų pareiškėjams ir (ar) projektų vykdytojams būtų atlyginti visi bet kokio pobūdžio tiesioginiai ir (ar) netiesioginiai nuostoliai, bei išlaidos, kurias patirs IA ir (ar)  IA vertinamų ir (ar) administruojamų projektų </w:t>
      </w:r>
      <w:r w:rsidRPr="23C3C96C">
        <w:rPr>
          <w:rStyle w:val="normaltextrun"/>
          <w:rFonts w:ascii="Verdana" w:eastAsia="Verdana" w:hAnsi="Verdana" w:cs="Verdana"/>
          <w:sz w:val="20"/>
          <w:szCs w:val="20"/>
        </w:rPr>
        <w:lastRenderedPageBreak/>
        <w:t>pareiškėjai ir (ar) projektų vykdytojai dėl Eksperto neleistino Konfidencialios informacijos naudojimo ar atskleidimo;</w:t>
      </w:r>
      <w:r w:rsidRPr="23C3C96C">
        <w:rPr>
          <w:rStyle w:val="eop"/>
          <w:rFonts w:ascii="Verdana" w:eastAsia="Verdana" w:hAnsi="Verdana" w:cs="Verdana"/>
          <w:sz w:val="20"/>
          <w:szCs w:val="20"/>
        </w:rPr>
        <w:t> </w:t>
      </w:r>
    </w:p>
    <w:p w14:paraId="4D1D5D58" w14:textId="77777777" w:rsidR="00894F08" w:rsidRDefault="4B489DDD" w:rsidP="23C3C96C">
      <w:pPr>
        <w:pStyle w:val="paragraph"/>
        <w:spacing w:before="0" w:beforeAutospacing="0" w:after="0" w:afterAutospacing="0"/>
        <w:ind w:firstLine="567"/>
        <w:jc w:val="both"/>
        <w:textAlignment w:val="baseline"/>
        <w:rPr>
          <w:rFonts w:ascii="Verdana" w:eastAsia="Verdana" w:hAnsi="Verdana" w:cs="Verdana"/>
          <w:sz w:val="20"/>
          <w:szCs w:val="20"/>
        </w:rPr>
      </w:pPr>
      <w:r w:rsidRPr="23C3C96C">
        <w:rPr>
          <w:rFonts w:ascii="Verdana" w:eastAsia="Verdana" w:hAnsi="Verdana" w:cs="Verdana"/>
          <w:sz w:val="20"/>
          <w:szCs w:val="20"/>
        </w:rPr>
        <w:t xml:space="preserve">2.1.7. </w:t>
      </w:r>
      <w:r w:rsidRPr="23C3C96C">
        <w:rPr>
          <w:rStyle w:val="normaltextrun"/>
          <w:rFonts w:ascii="Verdana" w:eastAsia="Verdana" w:hAnsi="Verdana" w:cs="Verdana"/>
          <w:sz w:val="20"/>
          <w:szCs w:val="20"/>
        </w:rPr>
        <w:t>vadovautis įstatymų viršenybės, lygiateisiškumo, lojalumo, politinio neutralumo, skaidrumo, atsakomybės už priimtus sprendimus principais ir svarbiausiais etikos principais, nustatytais Lietuvos Respublikos teisės aktų, taip pat laikytis nešališkumo principo, t. y. ne mažiau kaip 1 metus iki ekspertinio vertinimo pradžios nebūti turėjus darbo santykių arba jų esmę atitinkančių santykių su projekto pareiškėju ar partneriu ar vykdytoju, taip pat su projekto pareiškėju ar partneriu ar vykdytoju nebūti susijus artimos giminystės ir (ar) svainystės ryšiais (asmenimis, susijusiais artimos giminystės ir (ar) svainystės ryšiais, laikomi sutuoktinis, jų vaikai (įvaikiai), tėvai (įtėviai), seneliai, vaikaičiai, taip pat eksperto ir jo sutuoktinio broliai (įbroliai), seserys (įseserės) ir šių brolių (įbrolių) bei seserų (įseserių) sutuoktiniai, taip pat asmenys, įregistravę partnerystę įstatymų nustatyta tvarka). </w:t>
      </w:r>
      <w:r w:rsidRPr="23C3C96C">
        <w:rPr>
          <w:rStyle w:val="eop"/>
          <w:rFonts w:ascii="Verdana" w:eastAsia="Verdana" w:hAnsi="Verdana" w:cs="Verdana"/>
          <w:sz w:val="20"/>
          <w:szCs w:val="20"/>
        </w:rPr>
        <w:t> </w:t>
      </w:r>
    </w:p>
    <w:p w14:paraId="7A92E862" w14:textId="77777777" w:rsidR="00894F08" w:rsidRDefault="4B489DDD" w:rsidP="23C3C96C">
      <w:pPr>
        <w:pStyle w:val="paragraph"/>
        <w:spacing w:before="0" w:beforeAutospacing="0" w:after="0" w:afterAutospacing="0"/>
        <w:ind w:firstLine="567"/>
        <w:jc w:val="both"/>
        <w:textAlignment w:val="baseline"/>
        <w:rPr>
          <w:rFonts w:ascii="Verdana" w:eastAsia="Verdana" w:hAnsi="Verdana" w:cs="Verdana"/>
          <w:sz w:val="20"/>
          <w:szCs w:val="20"/>
        </w:rPr>
      </w:pPr>
      <w:r w:rsidRPr="23C3C96C">
        <w:rPr>
          <w:rFonts w:ascii="Verdana" w:eastAsia="Verdana" w:hAnsi="Verdana" w:cs="Verdana"/>
          <w:sz w:val="20"/>
          <w:szCs w:val="20"/>
        </w:rPr>
        <w:t xml:space="preserve">2.1.8. </w:t>
      </w:r>
      <w:r w:rsidRPr="23C3C96C">
        <w:rPr>
          <w:rStyle w:val="normaltextrun"/>
          <w:rFonts w:ascii="Verdana" w:eastAsia="Verdana" w:hAnsi="Verdana" w:cs="Verdana"/>
          <w:color w:val="000000"/>
          <w:sz w:val="20"/>
          <w:szCs w:val="20"/>
          <w:shd w:val="clear" w:color="auto" w:fill="FFFFFF"/>
        </w:rPr>
        <w:t>neatstovauti mokslo ir studijų institucijų ar verslo interesams, sureikšminti ar sumenkinti kurios nors mokslo krypties ar šakos pasiekimų ir svarbos, vadovautis tik savo kompetencija, pavestą darbą atlikti korektiškai ir laiku. </w:t>
      </w:r>
      <w:r w:rsidRPr="23C3C96C">
        <w:rPr>
          <w:rStyle w:val="eop"/>
          <w:rFonts w:ascii="Verdana" w:eastAsia="Verdana" w:hAnsi="Verdana" w:cs="Verdana"/>
          <w:color w:val="000000"/>
          <w:sz w:val="20"/>
          <w:szCs w:val="20"/>
        </w:rPr>
        <w:t> </w:t>
      </w:r>
    </w:p>
    <w:p w14:paraId="70E9FB9F" w14:textId="77777777" w:rsidR="00894F08" w:rsidRDefault="4B489DDD" w:rsidP="23C3C96C">
      <w:pPr>
        <w:pStyle w:val="paragraph"/>
        <w:spacing w:before="0" w:beforeAutospacing="0" w:after="0" w:afterAutospacing="0"/>
        <w:ind w:firstLine="567"/>
        <w:jc w:val="both"/>
        <w:textAlignment w:val="baseline"/>
        <w:rPr>
          <w:rFonts w:ascii="Verdana" w:eastAsia="Verdana" w:hAnsi="Verdana" w:cs="Verdana"/>
          <w:sz w:val="20"/>
          <w:szCs w:val="20"/>
        </w:rPr>
      </w:pPr>
      <w:r w:rsidRPr="23C3C96C">
        <w:rPr>
          <w:rFonts w:ascii="Verdana" w:eastAsia="Verdana" w:hAnsi="Verdana" w:cs="Verdana"/>
          <w:sz w:val="20"/>
          <w:szCs w:val="20"/>
        </w:rPr>
        <w:t xml:space="preserve">2.1.9. </w:t>
      </w:r>
      <w:r w:rsidRPr="23C3C96C">
        <w:rPr>
          <w:rStyle w:val="normaltextrun"/>
          <w:rFonts w:ascii="Verdana" w:eastAsia="Verdana" w:hAnsi="Verdana" w:cs="Verdana"/>
          <w:sz w:val="20"/>
          <w:szCs w:val="20"/>
        </w:rPr>
        <w:t>raštu informuoti IA ir asmenis, kurie kartu dalyvauja ekspertinio vertinimo procedūroje, apie esamą ar galimą interesų konfliktą ir nusišalinti nuo dalyvavimo tolesnėje procedūroje, jei paaiškėja, kad šiose procedūrose kaip projektų pareiškėjai ar partneriai ar vykdytojai (įskaitant galutinius naudos gavėjus) dalyvauja asmenys, iš kurių Ekspertas, asmenys, susiję su Ekspertu artimos giminystės ar svainystės ryšiais, gauna bet kurios rūšies pajamų ar Ekspertas, asmenys, susiję su Ekspertu artimos giminystės ar svainystės ryšiais, turi ar valdo pagal kito asmens įgaliojimą daugiau kaip 10 procentų juridinio asmens įstatinio kapitalo arba akcijų, arba kiti asmenys dėl kurių kyla ar gali kilti interesų konfliktas.</w:t>
      </w:r>
      <w:r w:rsidRPr="23C3C96C">
        <w:rPr>
          <w:rStyle w:val="eop"/>
          <w:rFonts w:ascii="Verdana" w:eastAsia="Verdana" w:hAnsi="Verdana" w:cs="Verdana"/>
          <w:sz w:val="20"/>
          <w:szCs w:val="20"/>
        </w:rPr>
        <w:t> </w:t>
      </w:r>
    </w:p>
    <w:p w14:paraId="5B670510" w14:textId="77777777" w:rsidR="00894F08" w:rsidRDefault="4B489DDD" w:rsidP="23C3C96C">
      <w:pPr>
        <w:pStyle w:val="paragraph"/>
        <w:spacing w:before="0" w:beforeAutospacing="0" w:after="0" w:afterAutospacing="0"/>
        <w:ind w:firstLine="567"/>
        <w:jc w:val="both"/>
        <w:textAlignment w:val="baseline"/>
        <w:rPr>
          <w:rFonts w:ascii="Verdana" w:eastAsia="Verdana" w:hAnsi="Verdana" w:cs="Verdana"/>
          <w:sz w:val="20"/>
          <w:szCs w:val="20"/>
        </w:rPr>
      </w:pPr>
      <w:r w:rsidRPr="23C3C96C">
        <w:rPr>
          <w:rFonts w:ascii="Verdana" w:eastAsia="Verdana" w:hAnsi="Verdana" w:cs="Verdana"/>
          <w:sz w:val="20"/>
          <w:szCs w:val="20"/>
        </w:rPr>
        <w:t>2.1.</w:t>
      </w:r>
      <w:r w:rsidRPr="23C3C96C">
        <w:rPr>
          <w:rStyle w:val="normaltextrun"/>
          <w:rFonts w:ascii="Verdana" w:eastAsia="Verdana" w:hAnsi="Verdana" w:cs="Verdana"/>
          <w:color w:val="000000"/>
          <w:sz w:val="20"/>
          <w:szCs w:val="20"/>
          <w:shd w:val="clear" w:color="auto" w:fill="FFFFFF"/>
        </w:rPr>
        <w:t>10. 1 metus po paraiškos, ar projekto ekspertinio vertinimo atlikimo neturėti darbo, komercinių, ar kitokio pobūdžio bendradarbiavimo santykių (tiek kaip fizinis asmuo, tiek atstovaujant juridinius asmenis) su atitinkamu pareiškėju, projekto vykdytoju, ar juridiniu asmeniu dėl kurio buvo teikiama ekspertinė išvada ar nuomonė. </w:t>
      </w:r>
      <w:r w:rsidRPr="23C3C96C">
        <w:rPr>
          <w:rStyle w:val="eop"/>
          <w:rFonts w:ascii="Verdana" w:eastAsia="Verdana" w:hAnsi="Verdana" w:cs="Verdana"/>
          <w:color w:val="000000"/>
          <w:sz w:val="20"/>
          <w:szCs w:val="20"/>
        </w:rPr>
        <w:t> </w:t>
      </w:r>
    </w:p>
    <w:p w14:paraId="1A3A0BDC" w14:textId="77777777" w:rsidR="00894F08" w:rsidRDefault="4B489DDD" w:rsidP="23C3C96C">
      <w:pPr>
        <w:pStyle w:val="paragraph"/>
        <w:spacing w:before="0" w:beforeAutospacing="0" w:after="0" w:afterAutospacing="0"/>
        <w:ind w:left="135" w:firstLine="420"/>
        <w:jc w:val="both"/>
        <w:textAlignment w:val="baseline"/>
        <w:rPr>
          <w:rFonts w:ascii="Verdana" w:eastAsia="Verdana" w:hAnsi="Verdana" w:cs="Verdana"/>
          <w:sz w:val="20"/>
          <w:szCs w:val="20"/>
        </w:rPr>
      </w:pPr>
      <w:r w:rsidRPr="23C3C96C">
        <w:rPr>
          <w:rStyle w:val="normaltextrun"/>
          <w:rFonts w:ascii="Verdana" w:eastAsia="Verdana" w:hAnsi="Verdana" w:cs="Verdana"/>
          <w:sz w:val="20"/>
          <w:szCs w:val="20"/>
        </w:rPr>
        <w:t>2.2. Ekspertas patvirtina, kad Konfidenciali informacija yra teikiama IA tik Ekspertinio vertinimo sutarties vykdymo tikslais ir bus naudojama tik su šiuo tikslu Pasižadėjime aptartomis sąlygomis.</w:t>
      </w:r>
      <w:r w:rsidRPr="23C3C96C">
        <w:rPr>
          <w:rStyle w:val="eop"/>
          <w:rFonts w:ascii="Verdana" w:eastAsia="Verdana" w:hAnsi="Verdana" w:cs="Verdana"/>
          <w:sz w:val="20"/>
          <w:szCs w:val="20"/>
        </w:rPr>
        <w:t> </w:t>
      </w:r>
    </w:p>
    <w:p w14:paraId="3FE5B09E" w14:textId="77777777" w:rsidR="00894F08" w:rsidRDefault="4B489DDD" w:rsidP="23C3C96C">
      <w:pPr>
        <w:pStyle w:val="paragraph"/>
        <w:spacing w:before="0" w:beforeAutospacing="0" w:after="0" w:afterAutospacing="0"/>
        <w:ind w:firstLine="720"/>
        <w:jc w:val="both"/>
        <w:textAlignment w:val="baseline"/>
        <w:rPr>
          <w:rFonts w:ascii="Verdana" w:eastAsia="Verdana" w:hAnsi="Verdana" w:cs="Verdana"/>
          <w:sz w:val="20"/>
          <w:szCs w:val="20"/>
        </w:rPr>
      </w:pPr>
      <w:r w:rsidRPr="23C3C96C">
        <w:rPr>
          <w:rStyle w:val="eop"/>
          <w:rFonts w:ascii="Verdana" w:eastAsia="Verdana" w:hAnsi="Verdana" w:cs="Verdana"/>
          <w:sz w:val="20"/>
          <w:szCs w:val="20"/>
        </w:rPr>
        <w:t> </w:t>
      </w:r>
    </w:p>
    <w:p w14:paraId="69B571FE" w14:textId="77777777" w:rsidR="00894F08" w:rsidRPr="00C26DD3" w:rsidRDefault="4B489DDD" w:rsidP="23C3C96C">
      <w:pPr>
        <w:pStyle w:val="paragraph"/>
        <w:numPr>
          <w:ilvl w:val="0"/>
          <w:numId w:val="23"/>
        </w:numPr>
        <w:spacing w:before="0" w:beforeAutospacing="0" w:after="0" w:afterAutospacing="0"/>
        <w:jc w:val="center"/>
        <w:textAlignment w:val="baseline"/>
        <w:rPr>
          <w:rStyle w:val="eop"/>
          <w:rFonts w:ascii="Verdana" w:eastAsia="Verdana" w:hAnsi="Verdana" w:cs="Verdana"/>
          <w:b/>
          <w:bCs/>
          <w:sz w:val="20"/>
          <w:szCs w:val="20"/>
        </w:rPr>
      </w:pPr>
      <w:r w:rsidRPr="23C3C96C">
        <w:rPr>
          <w:rStyle w:val="normaltextrun"/>
          <w:rFonts w:ascii="Verdana" w:eastAsia="Verdana" w:hAnsi="Verdana" w:cs="Verdana"/>
          <w:b/>
          <w:bCs/>
          <w:sz w:val="20"/>
          <w:szCs w:val="20"/>
        </w:rPr>
        <w:t>EKSPERTO TEISĖS</w:t>
      </w:r>
      <w:r w:rsidRPr="23C3C96C">
        <w:rPr>
          <w:rStyle w:val="eop"/>
          <w:rFonts w:ascii="Verdana" w:eastAsia="Verdana" w:hAnsi="Verdana" w:cs="Verdana"/>
          <w:b/>
          <w:bCs/>
          <w:sz w:val="20"/>
          <w:szCs w:val="20"/>
        </w:rPr>
        <w:t> </w:t>
      </w:r>
    </w:p>
    <w:p w14:paraId="70E2F9E2" w14:textId="77777777" w:rsidR="00894F08" w:rsidRDefault="00894F08" w:rsidP="23C3C96C">
      <w:pPr>
        <w:pStyle w:val="paragraph"/>
        <w:spacing w:before="0" w:beforeAutospacing="0" w:after="0" w:afterAutospacing="0"/>
        <w:ind w:left="720"/>
        <w:textAlignment w:val="baseline"/>
        <w:rPr>
          <w:rFonts w:ascii="Verdana" w:eastAsia="Verdana" w:hAnsi="Verdana" w:cs="Verdana"/>
          <w:sz w:val="20"/>
          <w:szCs w:val="20"/>
        </w:rPr>
      </w:pPr>
    </w:p>
    <w:p w14:paraId="4E99406C" w14:textId="77777777" w:rsidR="00894F08" w:rsidRDefault="4B489DDD" w:rsidP="23C3C96C">
      <w:pPr>
        <w:pStyle w:val="paragraph"/>
        <w:spacing w:before="0" w:beforeAutospacing="0" w:after="0" w:afterAutospacing="0"/>
        <w:ind w:firstLine="720"/>
        <w:jc w:val="both"/>
        <w:textAlignment w:val="baseline"/>
        <w:rPr>
          <w:rFonts w:ascii="Verdana" w:eastAsia="Verdana" w:hAnsi="Verdana" w:cs="Verdana"/>
          <w:sz w:val="20"/>
          <w:szCs w:val="20"/>
        </w:rPr>
      </w:pPr>
      <w:r w:rsidRPr="23C3C96C">
        <w:rPr>
          <w:rStyle w:val="normaltextrun"/>
          <w:rFonts w:ascii="Verdana" w:eastAsia="Verdana" w:hAnsi="Verdana" w:cs="Verdana"/>
          <w:sz w:val="20"/>
          <w:szCs w:val="20"/>
        </w:rPr>
        <w:t>3.1. Ekspertas turi teisę atskleisti konfidencialią informaciją tik teisės aktų numatytais atvejais, nepažeidžiant šio Pasižadėjimo sąlygų. Tokiu atveju Ekspertas įsipareigoja kiek tai protingai įmanoma iš anksto pranešti IA, kad gautas reikalavimas atskleisti konfidencialią informaciją ir kad ji bus atskleista.</w:t>
      </w:r>
      <w:r w:rsidRPr="23C3C96C">
        <w:rPr>
          <w:rStyle w:val="eop"/>
          <w:rFonts w:ascii="Verdana" w:eastAsia="Verdana" w:hAnsi="Verdana" w:cs="Verdana"/>
          <w:sz w:val="20"/>
          <w:szCs w:val="20"/>
        </w:rPr>
        <w:t> </w:t>
      </w:r>
    </w:p>
    <w:p w14:paraId="684949AC" w14:textId="77777777" w:rsidR="00894F08" w:rsidRDefault="4B489DDD" w:rsidP="23C3C96C">
      <w:pPr>
        <w:pStyle w:val="paragraph"/>
        <w:spacing w:before="0" w:beforeAutospacing="0" w:after="0" w:afterAutospacing="0"/>
        <w:ind w:firstLine="720"/>
        <w:jc w:val="center"/>
        <w:textAlignment w:val="baseline"/>
        <w:rPr>
          <w:rFonts w:ascii="Verdana" w:eastAsia="Verdana" w:hAnsi="Verdana" w:cs="Verdana"/>
          <w:sz w:val="20"/>
          <w:szCs w:val="20"/>
        </w:rPr>
      </w:pPr>
      <w:r w:rsidRPr="23C3C96C">
        <w:rPr>
          <w:rStyle w:val="eop"/>
          <w:rFonts w:ascii="Verdana" w:eastAsia="Verdana" w:hAnsi="Verdana" w:cs="Verdana"/>
          <w:sz w:val="20"/>
          <w:szCs w:val="20"/>
        </w:rPr>
        <w:t> </w:t>
      </w:r>
    </w:p>
    <w:p w14:paraId="5E9C2E8A" w14:textId="77777777" w:rsidR="00894F08" w:rsidRPr="00C26DD3" w:rsidRDefault="4B489DDD" w:rsidP="23C3C96C">
      <w:pPr>
        <w:pStyle w:val="paragraph"/>
        <w:numPr>
          <w:ilvl w:val="0"/>
          <w:numId w:val="23"/>
        </w:numPr>
        <w:spacing w:before="0" w:beforeAutospacing="0" w:after="0" w:afterAutospacing="0"/>
        <w:jc w:val="center"/>
        <w:textAlignment w:val="baseline"/>
        <w:rPr>
          <w:rStyle w:val="eop"/>
          <w:rFonts w:ascii="Verdana" w:eastAsia="Verdana" w:hAnsi="Verdana" w:cs="Verdana"/>
          <w:b/>
          <w:bCs/>
          <w:sz w:val="20"/>
          <w:szCs w:val="20"/>
        </w:rPr>
      </w:pPr>
      <w:r w:rsidRPr="23C3C96C">
        <w:rPr>
          <w:rStyle w:val="normaltextrun"/>
          <w:rFonts w:ascii="Verdana" w:eastAsia="Verdana" w:hAnsi="Verdana" w:cs="Verdana"/>
          <w:b/>
          <w:bCs/>
          <w:sz w:val="20"/>
          <w:szCs w:val="20"/>
        </w:rPr>
        <w:t>ATSAKOMYBĖ IR NUOSTOLIŲ ATLYGINIMAS</w:t>
      </w:r>
      <w:r w:rsidRPr="23C3C96C">
        <w:rPr>
          <w:rStyle w:val="eop"/>
          <w:rFonts w:ascii="Verdana" w:eastAsia="Verdana" w:hAnsi="Verdana" w:cs="Verdana"/>
          <w:b/>
          <w:bCs/>
          <w:sz w:val="20"/>
          <w:szCs w:val="20"/>
        </w:rPr>
        <w:t> </w:t>
      </w:r>
    </w:p>
    <w:p w14:paraId="28B242EB" w14:textId="77777777" w:rsidR="00894F08" w:rsidRDefault="00894F08" w:rsidP="23C3C96C">
      <w:pPr>
        <w:pStyle w:val="paragraph"/>
        <w:spacing w:before="0" w:beforeAutospacing="0" w:after="0" w:afterAutospacing="0"/>
        <w:ind w:left="720"/>
        <w:textAlignment w:val="baseline"/>
        <w:rPr>
          <w:rFonts w:ascii="Verdana" w:eastAsia="Verdana" w:hAnsi="Verdana" w:cs="Verdana"/>
          <w:sz w:val="20"/>
          <w:szCs w:val="20"/>
        </w:rPr>
      </w:pPr>
    </w:p>
    <w:p w14:paraId="59BE0298" w14:textId="77777777" w:rsidR="00894F08" w:rsidRDefault="4B489DDD" w:rsidP="23C3C96C">
      <w:pPr>
        <w:pStyle w:val="paragraph"/>
        <w:spacing w:before="0" w:beforeAutospacing="0" w:after="0" w:afterAutospacing="0"/>
        <w:ind w:firstLine="720"/>
        <w:jc w:val="both"/>
        <w:textAlignment w:val="baseline"/>
        <w:rPr>
          <w:rFonts w:ascii="Verdana" w:eastAsia="Verdana" w:hAnsi="Verdana" w:cs="Verdana"/>
          <w:sz w:val="20"/>
          <w:szCs w:val="20"/>
        </w:rPr>
      </w:pPr>
      <w:r w:rsidRPr="23C3C96C">
        <w:rPr>
          <w:rStyle w:val="normaltextrun"/>
          <w:rFonts w:ascii="Verdana" w:eastAsia="Verdana" w:hAnsi="Verdana" w:cs="Verdana"/>
          <w:sz w:val="20"/>
          <w:szCs w:val="20"/>
        </w:rPr>
        <w:t>4.1. Ekspertas, pažeidęs šį Pasižadėjimą IA pareikalavus įsipareigoja kompensuoti visą IA padarytą žalą bei atlyginti nuostolius. </w:t>
      </w:r>
      <w:r w:rsidRPr="23C3C96C">
        <w:rPr>
          <w:rStyle w:val="eop"/>
          <w:rFonts w:ascii="Verdana" w:eastAsia="Verdana" w:hAnsi="Verdana" w:cs="Verdana"/>
          <w:sz w:val="20"/>
          <w:szCs w:val="20"/>
        </w:rPr>
        <w:t> </w:t>
      </w:r>
    </w:p>
    <w:p w14:paraId="69765729" w14:textId="77777777" w:rsidR="00894F08" w:rsidRDefault="4B489DDD" w:rsidP="23C3C96C">
      <w:pPr>
        <w:pStyle w:val="paragraph"/>
        <w:spacing w:before="0" w:beforeAutospacing="0" w:after="0" w:afterAutospacing="0"/>
        <w:ind w:firstLine="720"/>
        <w:jc w:val="center"/>
        <w:textAlignment w:val="baseline"/>
        <w:rPr>
          <w:rFonts w:ascii="Verdana" w:eastAsia="Verdana" w:hAnsi="Verdana" w:cs="Verdana"/>
          <w:sz w:val="20"/>
          <w:szCs w:val="20"/>
        </w:rPr>
      </w:pPr>
      <w:r w:rsidRPr="23C3C96C">
        <w:rPr>
          <w:rStyle w:val="eop"/>
          <w:rFonts w:ascii="Verdana" w:eastAsia="Verdana" w:hAnsi="Verdana" w:cs="Verdana"/>
          <w:sz w:val="20"/>
          <w:szCs w:val="20"/>
        </w:rPr>
        <w:t> </w:t>
      </w:r>
    </w:p>
    <w:p w14:paraId="7BFAA6D8" w14:textId="77777777" w:rsidR="00894F08" w:rsidRPr="00C26DD3" w:rsidRDefault="4B489DDD" w:rsidP="23C3C96C">
      <w:pPr>
        <w:pStyle w:val="paragraph"/>
        <w:numPr>
          <w:ilvl w:val="0"/>
          <w:numId w:val="23"/>
        </w:numPr>
        <w:spacing w:before="0" w:beforeAutospacing="0" w:after="0" w:afterAutospacing="0"/>
        <w:jc w:val="center"/>
        <w:textAlignment w:val="baseline"/>
        <w:rPr>
          <w:rStyle w:val="eop"/>
          <w:rFonts w:ascii="Verdana" w:eastAsia="Verdana" w:hAnsi="Verdana" w:cs="Verdana"/>
          <w:b/>
          <w:bCs/>
          <w:sz w:val="20"/>
          <w:szCs w:val="20"/>
        </w:rPr>
      </w:pPr>
      <w:r w:rsidRPr="23C3C96C">
        <w:rPr>
          <w:rStyle w:val="normaltextrun"/>
          <w:rFonts w:ascii="Verdana" w:eastAsia="Verdana" w:hAnsi="Verdana" w:cs="Verdana"/>
          <w:b/>
          <w:bCs/>
          <w:sz w:val="20"/>
          <w:szCs w:val="20"/>
        </w:rPr>
        <w:t>KITOS NUOSTATOS</w:t>
      </w:r>
      <w:r w:rsidRPr="23C3C96C">
        <w:rPr>
          <w:rStyle w:val="eop"/>
          <w:rFonts w:ascii="Verdana" w:eastAsia="Verdana" w:hAnsi="Verdana" w:cs="Verdana"/>
          <w:b/>
          <w:bCs/>
          <w:sz w:val="20"/>
          <w:szCs w:val="20"/>
        </w:rPr>
        <w:t> </w:t>
      </w:r>
    </w:p>
    <w:p w14:paraId="59DF9C56" w14:textId="77777777" w:rsidR="00894F08" w:rsidRDefault="00894F08" w:rsidP="23C3C96C">
      <w:pPr>
        <w:pStyle w:val="paragraph"/>
        <w:spacing w:before="0" w:beforeAutospacing="0" w:after="0" w:afterAutospacing="0"/>
        <w:ind w:left="720"/>
        <w:textAlignment w:val="baseline"/>
        <w:rPr>
          <w:rFonts w:ascii="Verdana" w:eastAsia="Verdana" w:hAnsi="Verdana" w:cs="Verdana"/>
          <w:sz w:val="20"/>
          <w:szCs w:val="20"/>
        </w:rPr>
      </w:pPr>
    </w:p>
    <w:p w14:paraId="727D706C" w14:textId="77777777" w:rsidR="00894F08" w:rsidRDefault="4B489DDD" w:rsidP="23C3C96C">
      <w:pPr>
        <w:pStyle w:val="paragraph"/>
        <w:spacing w:before="0" w:beforeAutospacing="0" w:after="0" w:afterAutospacing="0"/>
        <w:ind w:firstLine="720"/>
        <w:jc w:val="both"/>
        <w:textAlignment w:val="baseline"/>
        <w:rPr>
          <w:rFonts w:ascii="Verdana" w:eastAsia="Verdana" w:hAnsi="Verdana" w:cs="Verdana"/>
          <w:sz w:val="20"/>
          <w:szCs w:val="20"/>
        </w:rPr>
      </w:pPr>
      <w:r w:rsidRPr="23C3C96C">
        <w:rPr>
          <w:rStyle w:val="normaltextrun"/>
          <w:rFonts w:ascii="Verdana" w:eastAsia="Verdana" w:hAnsi="Verdana" w:cs="Verdana"/>
          <w:sz w:val="20"/>
          <w:szCs w:val="20"/>
        </w:rPr>
        <w:t>5.1. Pasižadėjimas įsigalioja jį pasirašius ir galioja 7 (septynerius) metus nuo Ekspertinio vertinimo sutarties galiojimo pasibaigimo.</w:t>
      </w:r>
      <w:r w:rsidRPr="23C3C96C">
        <w:rPr>
          <w:rStyle w:val="eop"/>
          <w:rFonts w:ascii="Verdana" w:eastAsia="Verdana" w:hAnsi="Verdana" w:cs="Verdana"/>
          <w:sz w:val="20"/>
          <w:szCs w:val="20"/>
        </w:rPr>
        <w:t> </w:t>
      </w:r>
    </w:p>
    <w:p w14:paraId="514ECFA0" w14:textId="77777777" w:rsidR="00894F08" w:rsidRDefault="4B489DDD" w:rsidP="23C3C96C">
      <w:pPr>
        <w:pStyle w:val="paragraph"/>
        <w:spacing w:before="0" w:beforeAutospacing="0" w:after="0" w:afterAutospacing="0"/>
        <w:ind w:firstLine="720"/>
        <w:jc w:val="both"/>
        <w:textAlignment w:val="baseline"/>
        <w:rPr>
          <w:rFonts w:ascii="Verdana" w:eastAsia="Verdana" w:hAnsi="Verdana" w:cs="Verdana"/>
          <w:sz w:val="20"/>
          <w:szCs w:val="20"/>
        </w:rPr>
      </w:pPr>
      <w:r w:rsidRPr="23C3C96C">
        <w:rPr>
          <w:rStyle w:val="normaltextrun"/>
          <w:rFonts w:ascii="Verdana" w:eastAsia="Verdana" w:hAnsi="Verdana" w:cs="Verdana"/>
          <w:sz w:val="20"/>
          <w:szCs w:val="20"/>
        </w:rPr>
        <w:t>5.2. Pasižadėjimas yra neatskiriama IA ir Eksperto Ekspertinio vertinimo sutarties dalis.</w:t>
      </w:r>
      <w:r w:rsidRPr="23C3C96C">
        <w:rPr>
          <w:rStyle w:val="eop"/>
          <w:rFonts w:ascii="Verdana" w:eastAsia="Verdana" w:hAnsi="Verdana" w:cs="Verdana"/>
          <w:sz w:val="20"/>
          <w:szCs w:val="20"/>
        </w:rPr>
        <w:t> </w:t>
      </w:r>
    </w:p>
    <w:p w14:paraId="578018A5" w14:textId="77777777" w:rsidR="00894F08" w:rsidRDefault="4B489DDD" w:rsidP="23C3C96C">
      <w:pPr>
        <w:pStyle w:val="paragraph"/>
        <w:spacing w:before="0" w:beforeAutospacing="0" w:after="0" w:afterAutospacing="0"/>
        <w:jc w:val="right"/>
        <w:textAlignment w:val="baseline"/>
        <w:rPr>
          <w:rFonts w:ascii="Verdana" w:eastAsia="Verdana" w:hAnsi="Verdana" w:cs="Verdana"/>
          <w:sz w:val="20"/>
          <w:szCs w:val="20"/>
        </w:rPr>
      </w:pPr>
      <w:r w:rsidRPr="23C3C96C">
        <w:rPr>
          <w:rStyle w:val="eop"/>
          <w:rFonts w:ascii="Verdana" w:eastAsia="Verdana" w:hAnsi="Verdana" w:cs="Verdana"/>
          <w:sz w:val="20"/>
          <w:szCs w:val="20"/>
        </w:rPr>
        <w:t> </w:t>
      </w:r>
    </w:p>
    <w:p w14:paraId="683E64E1" w14:textId="77777777" w:rsidR="00894F08" w:rsidRDefault="00894F08" w:rsidP="23C3C96C">
      <w:pPr>
        <w:pStyle w:val="paragraph"/>
        <w:spacing w:before="0" w:beforeAutospacing="0" w:after="0" w:afterAutospacing="0"/>
        <w:jc w:val="right"/>
        <w:textAlignment w:val="baseline"/>
        <w:rPr>
          <w:rStyle w:val="normaltextrun"/>
          <w:rFonts w:ascii="Verdana" w:eastAsia="Verdana" w:hAnsi="Verdana" w:cs="Verdana"/>
          <w:sz w:val="20"/>
          <w:szCs w:val="20"/>
        </w:rPr>
      </w:pPr>
    </w:p>
    <w:p w14:paraId="3CB0FE01" w14:textId="77777777" w:rsidR="00894F08" w:rsidRDefault="4B489DDD" w:rsidP="23C3C96C">
      <w:pPr>
        <w:pStyle w:val="paragraph"/>
        <w:spacing w:before="0" w:beforeAutospacing="0" w:after="0" w:afterAutospacing="0"/>
        <w:jc w:val="right"/>
        <w:textAlignment w:val="baseline"/>
        <w:rPr>
          <w:rFonts w:ascii="Verdana" w:eastAsia="Verdana" w:hAnsi="Verdana" w:cs="Verdana"/>
          <w:sz w:val="20"/>
          <w:szCs w:val="20"/>
        </w:rPr>
      </w:pPr>
      <w:r w:rsidRPr="23C3C96C">
        <w:rPr>
          <w:rStyle w:val="normaltextrun"/>
          <w:rFonts w:ascii="Verdana" w:eastAsia="Verdana" w:hAnsi="Verdana" w:cs="Verdana"/>
          <w:sz w:val="20"/>
          <w:szCs w:val="20"/>
        </w:rPr>
        <w:t>Ekspertas</w:t>
      </w:r>
      <w:r w:rsidRPr="23C3C96C">
        <w:rPr>
          <w:rStyle w:val="eop"/>
          <w:rFonts w:ascii="Verdana" w:eastAsia="Verdana" w:hAnsi="Verdana" w:cs="Verdana"/>
          <w:sz w:val="20"/>
          <w:szCs w:val="20"/>
        </w:rPr>
        <w:t> </w:t>
      </w:r>
    </w:p>
    <w:p w14:paraId="314DEA6F" w14:textId="77777777" w:rsidR="00894F08" w:rsidRPr="007A3DFE" w:rsidRDefault="00894F08" w:rsidP="00894F08">
      <w:pPr>
        <w:pStyle w:val="paragraph"/>
        <w:spacing w:before="0" w:beforeAutospacing="0" w:after="0" w:afterAutospacing="0"/>
        <w:textAlignment w:val="baseline"/>
        <w:rPr>
          <w:rFonts w:ascii="Segoe UI" w:hAnsi="Segoe UI" w:cs="Segoe UI"/>
          <w:sz w:val="18"/>
          <w:szCs w:val="18"/>
        </w:rPr>
      </w:pPr>
    </w:p>
    <w:p w14:paraId="23F1B908" w14:textId="77777777" w:rsidR="00535ACB" w:rsidRPr="00B87623" w:rsidRDefault="00535ACB" w:rsidP="00AE1EDE">
      <w:pPr>
        <w:pStyle w:val="ListParagraph"/>
        <w:spacing w:after="0" w:line="240" w:lineRule="auto"/>
        <w:ind w:left="1134"/>
        <w:jc w:val="both"/>
        <w:rPr>
          <w:rFonts w:ascii="Verdana" w:eastAsia="Calibri" w:hAnsi="Verdana" w:cs="Times New Roman"/>
          <w:sz w:val="20"/>
          <w:szCs w:val="20"/>
        </w:rPr>
      </w:pPr>
    </w:p>
    <w:sectPr w:rsidR="00535ACB" w:rsidRPr="00B87623" w:rsidSect="007445BD">
      <w:footerReference w:type="default" r:id="rId15"/>
      <w:endnotePr>
        <w:numFmt w:val="decimal"/>
      </w:endnotePr>
      <w:pgSz w:w="11906" w:h="16838"/>
      <w:pgMar w:top="1134" w:right="567" w:bottom="1134" w:left="1701"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gnė Braškutė" w:date="2025-10-27T13:36:00Z" w:initials="AB">
    <w:p w14:paraId="29E296C9" w14:textId="58023C3D" w:rsidR="000D09D0" w:rsidRDefault="000D09D0">
      <w:pPr>
        <w:pStyle w:val="CommentText"/>
      </w:pPr>
      <w:r>
        <w:rPr>
          <w:rStyle w:val="CommentReference"/>
        </w:rPr>
        <w:annotationRef/>
      </w:r>
      <w:r w:rsidRPr="2ED7C532">
        <w:t>kas turėta minty?</w:t>
      </w:r>
    </w:p>
  </w:comment>
  <w:comment w:id="1" w:author="Vaidas Lileika" w:date="2025-10-27T16:19:00Z" w:initials="VL">
    <w:p w14:paraId="2F2C5425" w14:textId="6239E362" w:rsidR="000D09D0" w:rsidRDefault="000D09D0">
      <w:pPr>
        <w:pStyle w:val="CommentText"/>
      </w:pPr>
      <w:r>
        <w:rPr>
          <w:rStyle w:val="CommentReference"/>
        </w:rPr>
        <w:annotationRef/>
      </w:r>
      <w:r w:rsidRPr="5CF19F73">
        <w:t>jei tarkim turėsim 10 tiekėjų, jiems skirstom po 5 paraiškas, ir visiems priskyrę po 5 (t.y. viso 50), grįžtama prie pirmojo tiekėjo. "Jei dar yra nepaskirstytų užsakymų" - nežinome kiek paraiškų turėsime, gal 49, gal 750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E296C9" w15:done="0"/>
  <w15:commentEx w15:paraId="2F2C5425" w15:paraIdParent="29E296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16317D" w16cex:dateUtc="2025-10-27T11:36:00Z"/>
  <w16cex:commentExtensible w16cex:durableId="3C522BD0" w16cex:dateUtc="2025-10-27T14:19:00Z">
    <w16cex:extLst>
      <w16:ext w16:uri="{CE6994B0-6A32-4C9F-8C6B-6E91EDA988CE}">
        <cr:reactions xmlns:cr="http://schemas.microsoft.com/office/comments/2020/reactions">
          <cr:reaction reactionType="1">
            <cr:reactionInfo dateUtc="2025-10-27T14:26:41Z">
              <cr:user userId="S::a.braskute@inovacijuagentura.lt::34a35828-8f81-46c6-a079-e77ee42d83af" userProvider="AD" userName="Agnė Braškutė"/>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E296C9" w16cid:durableId="1E16317D"/>
  <w16cid:commentId w16cid:paraId="2F2C5425" w16cid:durableId="3C522B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64CAD" w14:textId="77777777" w:rsidR="00787A7E" w:rsidRDefault="00787A7E" w:rsidP="001F2D9E">
      <w:pPr>
        <w:spacing w:after="0" w:line="240" w:lineRule="auto"/>
      </w:pPr>
      <w:r>
        <w:separator/>
      </w:r>
    </w:p>
  </w:endnote>
  <w:endnote w:type="continuationSeparator" w:id="0">
    <w:p w14:paraId="4E0CC98A" w14:textId="77777777" w:rsidR="00787A7E" w:rsidRDefault="00787A7E" w:rsidP="001F2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723B" w14:textId="06CA4862" w:rsidR="00216D3B" w:rsidRDefault="00216D3B" w:rsidP="00CE41A5">
    <w:pPr>
      <w:pStyle w:val="Footer"/>
    </w:pPr>
  </w:p>
  <w:p w14:paraId="602E3472" w14:textId="77777777" w:rsidR="00216D3B" w:rsidRDefault="00216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1843A" w14:textId="77777777" w:rsidR="00787A7E" w:rsidRDefault="00787A7E" w:rsidP="001F2D9E">
      <w:pPr>
        <w:spacing w:after="0" w:line="240" w:lineRule="auto"/>
      </w:pPr>
      <w:r>
        <w:separator/>
      </w:r>
    </w:p>
  </w:footnote>
  <w:footnote w:type="continuationSeparator" w:id="0">
    <w:p w14:paraId="4CD621DF" w14:textId="77777777" w:rsidR="00787A7E" w:rsidRDefault="00787A7E" w:rsidP="001F2D9E">
      <w:pPr>
        <w:spacing w:after="0" w:line="240" w:lineRule="auto"/>
      </w:pPr>
      <w:r>
        <w:continuationSeparator/>
      </w:r>
    </w:p>
  </w:footnote>
  <w:footnote w:id="1">
    <w:p w14:paraId="64F70E57" w14:textId="77777777" w:rsidR="00C20407" w:rsidRPr="008B570A" w:rsidRDefault="00C20407" w:rsidP="00C20407">
      <w:pPr>
        <w:pStyle w:val="FootnoteText"/>
        <w:jc w:val="both"/>
        <w:rPr>
          <w:rFonts w:ascii="Verdana" w:hAnsi="Verdana" w:cstheme="majorBidi"/>
          <w:sz w:val="16"/>
          <w:szCs w:val="16"/>
        </w:rPr>
      </w:pPr>
      <w:r w:rsidRPr="008B570A">
        <w:rPr>
          <w:rStyle w:val="FootnoteReference"/>
          <w:rFonts w:ascii="Verdana" w:hAnsi="Verdana" w:cstheme="majorBidi"/>
          <w:sz w:val="16"/>
          <w:szCs w:val="16"/>
        </w:rPr>
        <w:footnoteRef/>
      </w:r>
      <w:r w:rsidRPr="008B570A">
        <w:rPr>
          <w:rFonts w:ascii="Verdana" w:hAnsi="Verdana" w:cstheme="majorBidi"/>
          <w:sz w:val="16"/>
          <w:szCs w:val="16"/>
        </w:rPr>
        <w:t xml:space="preserve"> Perkančioji organizacija neįsipareigoja įsigyti viso nurodyto paslaugų kiekio. Paslaugų kiekiai yra preliminarūs ir gali keistis (didėti, mažėti) priklausomai nuo perkančiosios organizacijos poreikio, bet negali būti viršyta maksimali preliminariosios(-</w:t>
      </w:r>
      <w:r w:rsidRPr="008B570A">
        <w:rPr>
          <w:rFonts w:ascii="Verdana" w:hAnsi="Verdana" w:cstheme="majorBidi"/>
          <w:sz w:val="16"/>
          <w:szCs w:val="16"/>
          <w:lang w:val="la-Latn"/>
        </w:rPr>
        <w:t>iųjų</w:t>
      </w:r>
      <w:r w:rsidRPr="008B570A">
        <w:rPr>
          <w:rFonts w:ascii="Verdana" w:hAnsi="Verdana" w:cstheme="majorBidi"/>
          <w:sz w:val="16"/>
          <w:szCs w:val="16"/>
        </w:rPr>
        <w:t>) pirkimo sutarties(-č</w:t>
      </w:r>
      <w:r w:rsidRPr="008B570A">
        <w:rPr>
          <w:rFonts w:ascii="Verdana" w:hAnsi="Verdana" w:cstheme="majorBidi"/>
          <w:sz w:val="16"/>
          <w:szCs w:val="16"/>
          <w:lang w:val="la-Latn"/>
        </w:rPr>
        <w:t>ių</w:t>
      </w:r>
      <w:r w:rsidRPr="008B570A">
        <w:rPr>
          <w:rFonts w:ascii="Verdana" w:hAnsi="Verdana" w:cstheme="majorBidi"/>
          <w:sz w:val="16"/>
          <w:szCs w:val="16"/>
        </w:rPr>
        <w:t>) vertė.</w:t>
      </w:r>
    </w:p>
    <w:p w14:paraId="74EE0CD9" w14:textId="77777777" w:rsidR="00C20407" w:rsidRPr="008B570A" w:rsidRDefault="00C20407" w:rsidP="00C20407">
      <w:pPr>
        <w:pStyle w:val="FootnoteText"/>
        <w:jc w:val="both"/>
        <w:rPr>
          <w:rFonts w:ascii="Verdana" w:hAnsi="Verdana" w:cstheme="majorBidi"/>
          <w:sz w:val="16"/>
          <w:szCs w:val="16"/>
        </w:rPr>
      </w:pPr>
    </w:p>
  </w:footnote>
  <w:footnote w:id="2">
    <w:p w14:paraId="6B6FDA97" w14:textId="77777777" w:rsidR="00C20407" w:rsidRPr="008B570A" w:rsidRDefault="00C20407" w:rsidP="00C20407">
      <w:pPr>
        <w:pStyle w:val="FootnoteText"/>
        <w:jc w:val="both"/>
        <w:rPr>
          <w:rFonts w:ascii="Verdana" w:hAnsi="Verdana" w:cstheme="majorBidi"/>
          <w:sz w:val="16"/>
          <w:szCs w:val="16"/>
        </w:rPr>
      </w:pPr>
      <w:r w:rsidRPr="008B570A">
        <w:rPr>
          <w:rStyle w:val="FootnoteReference"/>
          <w:rFonts w:ascii="Verdana" w:hAnsi="Verdana" w:cstheme="majorBidi"/>
          <w:sz w:val="16"/>
          <w:szCs w:val="16"/>
        </w:rPr>
        <w:footnoteRef/>
      </w:r>
      <w:r w:rsidRPr="008B570A">
        <w:rPr>
          <w:rFonts w:ascii="Verdana" w:hAnsi="Verdana" w:cstheme="majorBidi"/>
          <w:sz w:val="16"/>
          <w:szCs w:val="16"/>
        </w:rPr>
        <w:t xml:space="preserve"> </w:t>
      </w:r>
      <w:r w:rsidRPr="008B570A">
        <w:rPr>
          <w:rFonts w:ascii="Verdana" w:hAnsi="Verdana" w:cstheme="majorBidi"/>
          <w:sz w:val="16"/>
          <w:szCs w:val="16"/>
        </w:rPr>
        <w:t>Perkančioji organizacija neįsipareigoja įsigyti viso nurodyto paslaugų kiekio. Paslaugų kiekiai yra preliminarūs ir gali keistis (didėti, mažėti) priklausomai nuo perkančiosios organizacijos poreikio, bet negali būti viršyta maksimali preliminariosios(-</w:t>
      </w:r>
      <w:r w:rsidRPr="008B570A">
        <w:rPr>
          <w:rFonts w:ascii="Verdana" w:hAnsi="Verdana" w:cstheme="majorBidi"/>
          <w:sz w:val="16"/>
          <w:szCs w:val="16"/>
          <w:lang w:val="la-Latn"/>
        </w:rPr>
        <w:t>iųjų</w:t>
      </w:r>
      <w:r w:rsidRPr="008B570A">
        <w:rPr>
          <w:rFonts w:ascii="Verdana" w:hAnsi="Verdana" w:cstheme="majorBidi"/>
          <w:sz w:val="16"/>
          <w:szCs w:val="16"/>
        </w:rPr>
        <w:t>) pirkimo sutarties(-č</w:t>
      </w:r>
      <w:r w:rsidRPr="008B570A">
        <w:rPr>
          <w:rFonts w:ascii="Verdana" w:hAnsi="Verdana" w:cstheme="majorBidi"/>
          <w:sz w:val="16"/>
          <w:szCs w:val="16"/>
          <w:lang w:val="la-Latn"/>
        </w:rPr>
        <w:t>ių</w:t>
      </w:r>
      <w:r w:rsidRPr="008B570A">
        <w:rPr>
          <w:rFonts w:ascii="Verdana" w:hAnsi="Verdana" w:cstheme="majorBidi"/>
          <w:sz w:val="16"/>
          <w:szCs w:val="16"/>
        </w:rPr>
        <w:t>) vertė.</w:t>
      </w:r>
    </w:p>
    <w:p w14:paraId="3D21B324" w14:textId="77777777" w:rsidR="00C20407" w:rsidRPr="008B570A" w:rsidRDefault="00C20407" w:rsidP="00C20407">
      <w:pPr>
        <w:pStyle w:val="FootnoteText"/>
        <w:jc w:val="both"/>
        <w:rPr>
          <w:rFonts w:ascii="Verdana" w:hAnsi="Verdana" w:cstheme="majorBidi"/>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35E7"/>
    <w:multiLevelType w:val="multilevel"/>
    <w:tmpl w:val="2C226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F53544"/>
    <w:multiLevelType w:val="hybridMultilevel"/>
    <w:tmpl w:val="C212D9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DA10EC"/>
    <w:multiLevelType w:val="multilevel"/>
    <w:tmpl w:val="B5C61866"/>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 w15:restartNumberingAfterBreak="0">
    <w:nsid w:val="11C97CCF"/>
    <w:multiLevelType w:val="multilevel"/>
    <w:tmpl w:val="BAF83424"/>
    <w:lvl w:ilvl="0">
      <w:start w:val="2"/>
      <w:numFmt w:val="decimal"/>
      <w:lvlText w:val="%1."/>
      <w:lvlJc w:val="left"/>
      <w:pPr>
        <w:ind w:left="360" w:hanging="360"/>
      </w:pPr>
      <w:rPr>
        <w:rFonts w:eastAsiaTheme="minorHAnsi" w:cstheme="minorBidi" w:hint="default"/>
        <w:b/>
      </w:rPr>
    </w:lvl>
    <w:lvl w:ilvl="1">
      <w:start w:val="1"/>
      <w:numFmt w:val="decimal"/>
      <w:lvlText w:val="%1.%2."/>
      <w:lvlJc w:val="left"/>
      <w:pPr>
        <w:ind w:left="720" w:hanging="360"/>
      </w:pPr>
      <w:rPr>
        <w:rFonts w:eastAsiaTheme="minorHAnsi" w:cstheme="minorBidi" w:hint="default"/>
        <w:b w:val="0"/>
      </w:rPr>
    </w:lvl>
    <w:lvl w:ilvl="2">
      <w:start w:val="1"/>
      <w:numFmt w:val="decimal"/>
      <w:lvlText w:val="%1.%2.%3."/>
      <w:lvlJc w:val="left"/>
      <w:pPr>
        <w:ind w:left="1440" w:hanging="720"/>
      </w:pPr>
      <w:rPr>
        <w:rFonts w:eastAsiaTheme="minorHAnsi" w:cstheme="minorBidi" w:hint="default"/>
        <w:b/>
      </w:rPr>
    </w:lvl>
    <w:lvl w:ilvl="3">
      <w:start w:val="1"/>
      <w:numFmt w:val="decimal"/>
      <w:lvlText w:val="%1.%2.%3.%4."/>
      <w:lvlJc w:val="left"/>
      <w:pPr>
        <w:ind w:left="1800" w:hanging="720"/>
      </w:pPr>
      <w:rPr>
        <w:rFonts w:eastAsiaTheme="minorHAnsi" w:cstheme="minorBidi" w:hint="default"/>
        <w:b/>
      </w:rPr>
    </w:lvl>
    <w:lvl w:ilvl="4">
      <w:start w:val="1"/>
      <w:numFmt w:val="decimal"/>
      <w:lvlText w:val="%1.%2.%3.%4.%5."/>
      <w:lvlJc w:val="left"/>
      <w:pPr>
        <w:ind w:left="2520" w:hanging="1080"/>
      </w:pPr>
      <w:rPr>
        <w:rFonts w:eastAsiaTheme="minorHAnsi" w:cstheme="minorBidi" w:hint="default"/>
        <w:b/>
      </w:rPr>
    </w:lvl>
    <w:lvl w:ilvl="5">
      <w:start w:val="1"/>
      <w:numFmt w:val="decimal"/>
      <w:lvlText w:val="%1.%2.%3.%4.%5.%6."/>
      <w:lvlJc w:val="left"/>
      <w:pPr>
        <w:ind w:left="2880" w:hanging="1080"/>
      </w:pPr>
      <w:rPr>
        <w:rFonts w:eastAsiaTheme="minorHAnsi" w:cstheme="minorBidi" w:hint="default"/>
        <w:b/>
      </w:rPr>
    </w:lvl>
    <w:lvl w:ilvl="6">
      <w:start w:val="1"/>
      <w:numFmt w:val="decimal"/>
      <w:lvlText w:val="%1.%2.%3.%4.%5.%6.%7."/>
      <w:lvlJc w:val="left"/>
      <w:pPr>
        <w:ind w:left="3600" w:hanging="1440"/>
      </w:pPr>
      <w:rPr>
        <w:rFonts w:eastAsiaTheme="minorHAnsi" w:cstheme="minorBidi" w:hint="default"/>
        <w:b/>
      </w:rPr>
    </w:lvl>
    <w:lvl w:ilvl="7">
      <w:start w:val="1"/>
      <w:numFmt w:val="decimal"/>
      <w:lvlText w:val="%1.%2.%3.%4.%5.%6.%7.%8."/>
      <w:lvlJc w:val="left"/>
      <w:pPr>
        <w:ind w:left="3960" w:hanging="1440"/>
      </w:pPr>
      <w:rPr>
        <w:rFonts w:eastAsiaTheme="minorHAnsi" w:cstheme="minorBidi" w:hint="default"/>
        <w:b/>
      </w:rPr>
    </w:lvl>
    <w:lvl w:ilvl="8">
      <w:start w:val="1"/>
      <w:numFmt w:val="decimal"/>
      <w:lvlText w:val="%1.%2.%3.%4.%5.%6.%7.%8.%9."/>
      <w:lvlJc w:val="left"/>
      <w:pPr>
        <w:ind w:left="4680" w:hanging="1800"/>
      </w:pPr>
      <w:rPr>
        <w:rFonts w:eastAsiaTheme="minorHAnsi" w:cstheme="minorBidi" w:hint="default"/>
        <w:b/>
      </w:rPr>
    </w:lvl>
  </w:abstractNum>
  <w:abstractNum w:abstractNumId="4" w15:restartNumberingAfterBreak="0">
    <w:nsid w:val="1667228F"/>
    <w:multiLevelType w:val="hybridMultilevel"/>
    <w:tmpl w:val="E1CE21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73451A"/>
    <w:multiLevelType w:val="multilevel"/>
    <w:tmpl w:val="9D7E6340"/>
    <w:lvl w:ilvl="0">
      <w:start w:val="1"/>
      <w:numFmt w:val="decimal"/>
      <w:lvlText w:val="%1."/>
      <w:lvlJc w:val="left"/>
      <w:pPr>
        <w:ind w:left="1350" w:hanging="360"/>
      </w:pPr>
      <w:rPr>
        <w:rFonts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6" w15:restartNumberingAfterBreak="0">
    <w:nsid w:val="190A3A67"/>
    <w:multiLevelType w:val="hybridMultilevel"/>
    <w:tmpl w:val="99BC25A4"/>
    <w:lvl w:ilvl="0" w:tplc="B5D6800A">
      <w:numFmt w:val="bullet"/>
      <w:lvlText w:val="-"/>
      <w:lvlJc w:val="left"/>
      <w:pPr>
        <w:ind w:left="927" w:hanging="360"/>
      </w:pPr>
      <w:rPr>
        <w:rFonts w:ascii="Verdana" w:eastAsia="Times New Roman" w:hAnsi="Verdana"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BCC0741"/>
    <w:multiLevelType w:val="hybridMultilevel"/>
    <w:tmpl w:val="437EA552"/>
    <w:lvl w:ilvl="0" w:tplc="8304D1B2">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8" w15:restartNumberingAfterBreak="0">
    <w:nsid w:val="29E1509C"/>
    <w:multiLevelType w:val="hybridMultilevel"/>
    <w:tmpl w:val="ED7677B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2A37E4"/>
    <w:multiLevelType w:val="multilevel"/>
    <w:tmpl w:val="9D7E6340"/>
    <w:lvl w:ilvl="0">
      <w:start w:val="1"/>
      <w:numFmt w:val="decimal"/>
      <w:lvlText w:val="%1."/>
      <w:lvlJc w:val="left"/>
      <w:pPr>
        <w:ind w:left="1350" w:hanging="360"/>
      </w:pPr>
      <w:rPr>
        <w:rFonts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10" w15:restartNumberingAfterBreak="0">
    <w:nsid w:val="2AA369AB"/>
    <w:multiLevelType w:val="hybridMultilevel"/>
    <w:tmpl w:val="CF28D2BE"/>
    <w:lvl w:ilvl="0" w:tplc="0F7A2DFE">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1" w15:restartNumberingAfterBreak="0">
    <w:nsid w:val="394965FB"/>
    <w:multiLevelType w:val="hybridMultilevel"/>
    <w:tmpl w:val="7F484F88"/>
    <w:lvl w:ilvl="0" w:tplc="8CD412FE">
      <w:start w:val="1"/>
      <w:numFmt w:val="decimal"/>
      <w:lvlText w:val="%1."/>
      <w:lvlJc w:val="left"/>
      <w:pPr>
        <w:ind w:left="720" w:hanging="360"/>
      </w:pPr>
      <w:rPr>
        <w:rFonts w:eastAsiaTheme="minorHAns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A23252"/>
    <w:multiLevelType w:val="multilevel"/>
    <w:tmpl w:val="B31CCD56"/>
    <w:lvl w:ilvl="0">
      <w:start w:val="1"/>
      <w:numFmt w:val="decimal"/>
      <w:lvlText w:val="%1."/>
      <w:lvlJc w:val="left"/>
      <w:pPr>
        <w:ind w:left="720" w:hanging="360"/>
      </w:pPr>
      <w:rPr>
        <w:rFonts w:eastAsiaTheme="minorHAnsi" w:hint="default"/>
        <w:b w:val="0"/>
      </w:rPr>
    </w:lvl>
    <w:lvl w:ilvl="1">
      <w:start w:val="1"/>
      <w:numFmt w:val="decimal"/>
      <w:isLgl/>
      <w:lvlText w:val="%1.%2."/>
      <w:lvlJc w:val="left"/>
      <w:pPr>
        <w:ind w:left="780" w:hanging="420"/>
      </w:pPr>
      <w:rPr>
        <w:rFonts w:ascii="Verdana" w:hAnsi="Verdana" w:hint="default"/>
        <w:b w:val="0"/>
        <w:bCs/>
        <w:sz w:val="20"/>
      </w:rPr>
    </w:lvl>
    <w:lvl w:ilvl="2">
      <w:start w:val="1"/>
      <w:numFmt w:val="decimal"/>
      <w:isLgl/>
      <w:lvlText w:val="%1.%2.%3."/>
      <w:lvlJc w:val="left"/>
      <w:pPr>
        <w:ind w:left="1080" w:hanging="720"/>
      </w:pPr>
      <w:rPr>
        <w:rFonts w:ascii="Verdana" w:hAnsi="Verdana" w:hint="default"/>
        <w:b/>
        <w:sz w:val="20"/>
      </w:rPr>
    </w:lvl>
    <w:lvl w:ilvl="3">
      <w:start w:val="1"/>
      <w:numFmt w:val="decimal"/>
      <w:isLgl/>
      <w:lvlText w:val="%1.%2.%3.%4."/>
      <w:lvlJc w:val="left"/>
      <w:pPr>
        <w:ind w:left="1080" w:hanging="720"/>
      </w:pPr>
      <w:rPr>
        <w:rFonts w:ascii="Verdana" w:hAnsi="Verdana" w:hint="default"/>
        <w:b/>
        <w:sz w:val="20"/>
      </w:rPr>
    </w:lvl>
    <w:lvl w:ilvl="4">
      <w:start w:val="1"/>
      <w:numFmt w:val="decimal"/>
      <w:isLgl/>
      <w:lvlText w:val="%1.%2.%3.%4.%5."/>
      <w:lvlJc w:val="left"/>
      <w:pPr>
        <w:ind w:left="1440" w:hanging="1080"/>
      </w:pPr>
      <w:rPr>
        <w:rFonts w:ascii="Verdana" w:hAnsi="Verdana" w:hint="default"/>
        <w:b/>
        <w:sz w:val="20"/>
      </w:rPr>
    </w:lvl>
    <w:lvl w:ilvl="5">
      <w:start w:val="1"/>
      <w:numFmt w:val="decimal"/>
      <w:isLgl/>
      <w:lvlText w:val="%1.%2.%3.%4.%5.%6."/>
      <w:lvlJc w:val="left"/>
      <w:pPr>
        <w:ind w:left="1440" w:hanging="1080"/>
      </w:pPr>
      <w:rPr>
        <w:rFonts w:ascii="Verdana" w:hAnsi="Verdana" w:hint="default"/>
        <w:b/>
        <w:sz w:val="20"/>
      </w:rPr>
    </w:lvl>
    <w:lvl w:ilvl="6">
      <w:start w:val="1"/>
      <w:numFmt w:val="decimal"/>
      <w:isLgl/>
      <w:lvlText w:val="%1.%2.%3.%4.%5.%6.%7."/>
      <w:lvlJc w:val="left"/>
      <w:pPr>
        <w:ind w:left="1800" w:hanging="1440"/>
      </w:pPr>
      <w:rPr>
        <w:rFonts w:ascii="Verdana" w:hAnsi="Verdana" w:hint="default"/>
        <w:b/>
        <w:sz w:val="20"/>
      </w:rPr>
    </w:lvl>
    <w:lvl w:ilvl="7">
      <w:start w:val="1"/>
      <w:numFmt w:val="decimal"/>
      <w:isLgl/>
      <w:lvlText w:val="%1.%2.%3.%4.%5.%6.%7.%8."/>
      <w:lvlJc w:val="left"/>
      <w:pPr>
        <w:ind w:left="1800" w:hanging="1440"/>
      </w:pPr>
      <w:rPr>
        <w:rFonts w:ascii="Verdana" w:hAnsi="Verdana" w:hint="default"/>
        <w:b/>
        <w:sz w:val="20"/>
      </w:rPr>
    </w:lvl>
    <w:lvl w:ilvl="8">
      <w:start w:val="1"/>
      <w:numFmt w:val="decimal"/>
      <w:isLgl/>
      <w:lvlText w:val="%1.%2.%3.%4.%5.%6.%7.%8.%9."/>
      <w:lvlJc w:val="left"/>
      <w:pPr>
        <w:ind w:left="2160" w:hanging="1800"/>
      </w:pPr>
      <w:rPr>
        <w:rFonts w:ascii="Verdana" w:hAnsi="Verdana" w:hint="default"/>
        <w:b/>
        <w:sz w:val="20"/>
      </w:rPr>
    </w:lvl>
  </w:abstractNum>
  <w:abstractNum w:abstractNumId="13" w15:restartNumberingAfterBreak="0">
    <w:nsid w:val="4F4D7B62"/>
    <w:multiLevelType w:val="multilevel"/>
    <w:tmpl w:val="9D7E6340"/>
    <w:lvl w:ilvl="0">
      <w:start w:val="1"/>
      <w:numFmt w:val="decimal"/>
      <w:lvlText w:val="%1."/>
      <w:lvlJc w:val="left"/>
      <w:pPr>
        <w:ind w:left="1353" w:hanging="360"/>
      </w:pPr>
    </w:lvl>
    <w:lvl w:ilvl="1">
      <w:start w:val="1"/>
      <w:numFmt w:val="decimal"/>
      <w:isLgl/>
      <w:lvlText w:val="%1.%2."/>
      <w:lvlJc w:val="left"/>
      <w:pPr>
        <w:ind w:left="1350" w:hanging="360"/>
      </w:pPr>
    </w:lvl>
    <w:lvl w:ilvl="2">
      <w:start w:val="1"/>
      <w:numFmt w:val="decimal"/>
      <w:isLgl/>
      <w:lvlText w:val="%1.%2.%3."/>
      <w:lvlJc w:val="left"/>
      <w:pPr>
        <w:ind w:left="1710" w:hanging="720"/>
      </w:pPr>
    </w:lvl>
    <w:lvl w:ilvl="3">
      <w:start w:val="1"/>
      <w:numFmt w:val="decimal"/>
      <w:isLgl/>
      <w:lvlText w:val="%1.%2.%3.%4."/>
      <w:lvlJc w:val="left"/>
      <w:pPr>
        <w:ind w:left="1710" w:hanging="720"/>
      </w:pPr>
    </w:lvl>
    <w:lvl w:ilvl="4">
      <w:start w:val="1"/>
      <w:numFmt w:val="decimal"/>
      <w:isLgl/>
      <w:lvlText w:val="%1.%2.%3.%4.%5."/>
      <w:lvlJc w:val="left"/>
      <w:pPr>
        <w:ind w:left="2070" w:hanging="1080"/>
      </w:pPr>
    </w:lvl>
    <w:lvl w:ilvl="5">
      <w:start w:val="1"/>
      <w:numFmt w:val="decimal"/>
      <w:isLgl/>
      <w:lvlText w:val="%1.%2.%3.%4.%5.%6."/>
      <w:lvlJc w:val="left"/>
      <w:pPr>
        <w:ind w:left="2070" w:hanging="1080"/>
      </w:pPr>
    </w:lvl>
    <w:lvl w:ilvl="6">
      <w:start w:val="1"/>
      <w:numFmt w:val="decimal"/>
      <w:isLgl/>
      <w:lvlText w:val="%1.%2.%3.%4.%5.%6.%7."/>
      <w:lvlJc w:val="left"/>
      <w:pPr>
        <w:ind w:left="2430" w:hanging="1440"/>
      </w:pPr>
    </w:lvl>
    <w:lvl w:ilvl="7">
      <w:start w:val="1"/>
      <w:numFmt w:val="decimal"/>
      <w:isLgl/>
      <w:lvlText w:val="%1.%2.%3.%4.%5.%6.%7.%8."/>
      <w:lvlJc w:val="left"/>
      <w:pPr>
        <w:ind w:left="2430" w:hanging="1440"/>
      </w:pPr>
    </w:lvl>
    <w:lvl w:ilvl="8">
      <w:start w:val="1"/>
      <w:numFmt w:val="decimal"/>
      <w:isLgl/>
      <w:lvlText w:val="%1.%2.%3.%4.%5.%6.%7.%8.%9."/>
      <w:lvlJc w:val="left"/>
      <w:pPr>
        <w:ind w:left="2790" w:hanging="1800"/>
      </w:pPr>
    </w:lvl>
  </w:abstractNum>
  <w:abstractNum w:abstractNumId="14" w15:restartNumberingAfterBreak="0">
    <w:nsid w:val="513D58A1"/>
    <w:multiLevelType w:val="hybridMultilevel"/>
    <w:tmpl w:val="40020B68"/>
    <w:lvl w:ilvl="0" w:tplc="F4DA0594">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31629D0"/>
    <w:multiLevelType w:val="multilevel"/>
    <w:tmpl w:val="7BA4B76C"/>
    <w:lvl w:ilvl="0">
      <w:start w:val="1"/>
      <w:numFmt w:val="bullet"/>
      <w:lvlText w:val=""/>
      <w:lvlJc w:val="left"/>
      <w:pPr>
        <w:ind w:left="1350" w:hanging="360"/>
      </w:pPr>
      <w:rPr>
        <w:rFonts w:ascii="Symbol" w:hAnsi="Symbol"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16" w15:restartNumberingAfterBreak="0">
    <w:nsid w:val="53175C83"/>
    <w:multiLevelType w:val="hybridMultilevel"/>
    <w:tmpl w:val="BC3860FA"/>
    <w:lvl w:ilvl="0" w:tplc="E6748B90">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4B310C5"/>
    <w:multiLevelType w:val="multilevel"/>
    <w:tmpl w:val="997A70A6"/>
    <w:lvl w:ilvl="0">
      <w:start w:val="1"/>
      <w:numFmt w:val="decimal"/>
      <w:lvlText w:val="%1."/>
      <w:lvlJc w:val="left"/>
      <w:pPr>
        <w:tabs>
          <w:tab w:val="num" w:pos="720"/>
        </w:tabs>
        <w:ind w:left="720" w:hanging="360"/>
      </w:pPr>
      <w:rPr>
        <w:rFonts w:ascii="Verdana" w:eastAsia="Times New Roman" w:hAnsi="Verdan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3765B5"/>
    <w:multiLevelType w:val="hybridMultilevel"/>
    <w:tmpl w:val="DC789962"/>
    <w:lvl w:ilvl="0" w:tplc="B52CE2B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55F5DE2"/>
    <w:multiLevelType w:val="hybridMultilevel"/>
    <w:tmpl w:val="F6D4DCA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E74E28"/>
    <w:multiLevelType w:val="hybridMultilevel"/>
    <w:tmpl w:val="D3BC5C6C"/>
    <w:lvl w:ilvl="0" w:tplc="C784BE36">
      <w:start w:val="5"/>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1" w15:restartNumberingAfterBreak="0">
    <w:nsid w:val="76735A47"/>
    <w:multiLevelType w:val="hybridMultilevel"/>
    <w:tmpl w:val="E4149420"/>
    <w:lvl w:ilvl="0" w:tplc="A22CDCFA">
      <w:start w:val="1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2" w15:restartNumberingAfterBreak="0">
    <w:nsid w:val="7B913C34"/>
    <w:multiLevelType w:val="multilevel"/>
    <w:tmpl w:val="D8C47758"/>
    <w:lvl w:ilvl="0">
      <w:start w:val="1"/>
      <w:numFmt w:val="decimal"/>
      <w:lvlText w:val="%1."/>
      <w:lvlJc w:val="left"/>
      <w:pPr>
        <w:tabs>
          <w:tab w:val="num" w:pos="495"/>
        </w:tabs>
        <w:ind w:left="495" w:hanging="495"/>
      </w:pPr>
      <w:rPr>
        <w:rFonts w:ascii="Verdana" w:eastAsia="Times New Roman" w:hAnsi="Verdana" w:cs="Times New Roman" w:hint="default"/>
      </w:rPr>
    </w:lvl>
    <w:lvl w:ilvl="1">
      <w:start w:val="1"/>
      <w:numFmt w:val="decimal"/>
      <w:lvlText w:val="%1.%2."/>
      <w:lvlJc w:val="left"/>
      <w:pPr>
        <w:tabs>
          <w:tab w:val="num" w:pos="778"/>
        </w:tabs>
        <w:ind w:left="778" w:hanging="495"/>
      </w:pPr>
    </w:lvl>
    <w:lvl w:ilvl="2">
      <w:start w:val="1"/>
      <w:numFmt w:val="decimal"/>
      <w:lvlText w:val="%1.%2.%3."/>
      <w:lvlJc w:val="left"/>
      <w:pPr>
        <w:tabs>
          <w:tab w:val="num" w:pos="1286"/>
        </w:tabs>
        <w:ind w:left="1286" w:hanging="720"/>
      </w:pPr>
    </w:lvl>
    <w:lvl w:ilvl="3">
      <w:start w:val="1"/>
      <w:numFmt w:val="decimal"/>
      <w:lvlText w:val="%1.%2.%3.%4."/>
      <w:lvlJc w:val="left"/>
      <w:pPr>
        <w:tabs>
          <w:tab w:val="num" w:pos="1569"/>
        </w:tabs>
        <w:ind w:left="1569" w:hanging="720"/>
      </w:pPr>
    </w:lvl>
    <w:lvl w:ilvl="4">
      <w:start w:val="1"/>
      <w:numFmt w:val="decimal"/>
      <w:lvlText w:val="%1.%2.%3.%4.%5."/>
      <w:lvlJc w:val="left"/>
      <w:pPr>
        <w:tabs>
          <w:tab w:val="num" w:pos="2212"/>
        </w:tabs>
        <w:ind w:left="2212" w:hanging="1080"/>
      </w:pPr>
    </w:lvl>
    <w:lvl w:ilvl="5">
      <w:start w:val="1"/>
      <w:numFmt w:val="decimal"/>
      <w:lvlText w:val="%1.%2.%3.%4.%5.%6."/>
      <w:lvlJc w:val="left"/>
      <w:pPr>
        <w:tabs>
          <w:tab w:val="num" w:pos="2495"/>
        </w:tabs>
        <w:ind w:left="2495" w:hanging="1080"/>
      </w:pPr>
    </w:lvl>
    <w:lvl w:ilvl="6">
      <w:start w:val="1"/>
      <w:numFmt w:val="decimal"/>
      <w:lvlText w:val="%1.%2.%3.%4.%5.%6.%7."/>
      <w:lvlJc w:val="left"/>
      <w:pPr>
        <w:tabs>
          <w:tab w:val="num" w:pos="3138"/>
        </w:tabs>
        <w:ind w:left="3138" w:hanging="1440"/>
      </w:pPr>
    </w:lvl>
    <w:lvl w:ilvl="7">
      <w:start w:val="1"/>
      <w:numFmt w:val="decimal"/>
      <w:lvlText w:val="%1.%2.%3.%4.%5.%6.%7.%8."/>
      <w:lvlJc w:val="left"/>
      <w:pPr>
        <w:tabs>
          <w:tab w:val="num" w:pos="3421"/>
        </w:tabs>
        <w:ind w:left="3421" w:hanging="1440"/>
      </w:pPr>
    </w:lvl>
    <w:lvl w:ilvl="8">
      <w:start w:val="1"/>
      <w:numFmt w:val="decimal"/>
      <w:lvlText w:val="%1.%2.%3.%4.%5.%6.%7.%8.%9."/>
      <w:lvlJc w:val="left"/>
      <w:pPr>
        <w:tabs>
          <w:tab w:val="num" w:pos="4064"/>
        </w:tabs>
        <w:ind w:left="4064" w:hanging="1800"/>
      </w:pPr>
    </w:lvl>
  </w:abstractNum>
  <w:abstractNum w:abstractNumId="23" w15:restartNumberingAfterBreak="0">
    <w:nsid w:val="7D1201CD"/>
    <w:multiLevelType w:val="hybridMultilevel"/>
    <w:tmpl w:val="7F484F88"/>
    <w:lvl w:ilvl="0" w:tplc="8CD412FE">
      <w:start w:val="1"/>
      <w:numFmt w:val="decimal"/>
      <w:lvlText w:val="%1."/>
      <w:lvlJc w:val="left"/>
      <w:pPr>
        <w:ind w:left="720" w:hanging="360"/>
      </w:pPr>
      <w:rPr>
        <w:rFonts w:eastAsiaTheme="minorHAns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FB45DD8"/>
    <w:multiLevelType w:val="hybridMultilevel"/>
    <w:tmpl w:val="3C90DE20"/>
    <w:lvl w:ilvl="0" w:tplc="52CEFA7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48709749">
    <w:abstractNumId w:val="13"/>
  </w:num>
  <w:num w:numId="2" w16cid:durableId="629021120">
    <w:abstractNumId w:val="24"/>
  </w:num>
  <w:num w:numId="3" w16cid:durableId="1801339634">
    <w:abstractNumId w:val="15"/>
  </w:num>
  <w:num w:numId="4" w16cid:durableId="1027876316">
    <w:abstractNumId w:val="8"/>
  </w:num>
  <w:num w:numId="5" w16cid:durableId="1054085229">
    <w:abstractNumId w:val="19"/>
  </w:num>
  <w:num w:numId="6" w16cid:durableId="558636650">
    <w:abstractNumId w:val="23"/>
  </w:num>
  <w:num w:numId="7" w16cid:durableId="11816276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9204711">
    <w:abstractNumId w:val="3"/>
  </w:num>
  <w:num w:numId="9" w16cid:durableId="468940898">
    <w:abstractNumId w:val="11"/>
  </w:num>
  <w:num w:numId="10" w16cid:durableId="1266185984">
    <w:abstractNumId w:val="9"/>
  </w:num>
  <w:num w:numId="11" w16cid:durableId="1768430471">
    <w:abstractNumId w:val="7"/>
  </w:num>
  <w:num w:numId="12" w16cid:durableId="1774395143">
    <w:abstractNumId w:val="5"/>
  </w:num>
  <w:num w:numId="13" w16cid:durableId="2082172518">
    <w:abstractNumId w:val="12"/>
  </w:num>
  <w:num w:numId="14" w16cid:durableId="1978487958">
    <w:abstractNumId w:val="18"/>
  </w:num>
  <w:num w:numId="15" w16cid:durableId="2103642621">
    <w:abstractNumId w:val="4"/>
  </w:num>
  <w:num w:numId="16" w16cid:durableId="1921789937">
    <w:abstractNumId w:val="10"/>
  </w:num>
  <w:num w:numId="17" w16cid:durableId="779835883">
    <w:abstractNumId w:val="1"/>
  </w:num>
  <w:num w:numId="18" w16cid:durableId="578104454">
    <w:abstractNumId w:val="21"/>
  </w:num>
  <w:num w:numId="19" w16cid:durableId="9878306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3780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2836654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0155029">
    <w:abstractNumId w:val="20"/>
  </w:num>
  <w:num w:numId="23" w16cid:durableId="1319267006">
    <w:abstractNumId w:val="0"/>
  </w:num>
  <w:num w:numId="24" w16cid:durableId="1664235852">
    <w:abstractNumId w:val="6"/>
  </w:num>
  <w:num w:numId="25" w16cid:durableId="98096243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nė Braškutė">
    <w15:presenceInfo w15:providerId="AD" w15:userId="S::a.braskute@inovacijuagentura.lt::34a35828-8f81-46c6-a079-e77ee42d83af"/>
  </w15:person>
  <w15:person w15:author="Vaidas Lileika">
    <w15:presenceInfo w15:providerId="AD" w15:userId="S::v.lileika@inovacijuagentura.lt::c87f1522-cb3a-4133-a819-fa02c087bd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567"/>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D9E"/>
    <w:rsid w:val="00001E64"/>
    <w:rsid w:val="00002CDA"/>
    <w:rsid w:val="0001143F"/>
    <w:rsid w:val="0002114C"/>
    <w:rsid w:val="00022DC8"/>
    <w:rsid w:val="00025A47"/>
    <w:rsid w:val="00036C56"/>
    <w:rsid w:val="0004711E"/>
    <w:rsid w:val="000530C9"/>
    <w:rsid w:val="000550CD"/>
    <w:rsid w:val="0006113F"/>
    <w:rsid w:val="0006364B"/>
    <w:rsid w:val="0006603F"/>
    <w:rsid w:val="00085714"/>
    <w:rsid w:val="0009781A"/>
    <w:rsid w:val="00097A90"/>
    <w:rsid w:val="000A0F83"/>
    <w:rsid w:val="000A21FB"/>
    <w:rsid w:val="000A2AFA"/>
    <w:rsid w:val="000B4490"/>
    <w:rsid w:val="000B6202"/>
    <w:rsid w:val="000C47DB"/>
    <w:rsid w:val="000D09D0"/>
    <w:rsid w:val="000D2097"/>
    <w:rsid w:val="000D7BFB"/>
    <w:rsid w:val="000E17CB"/>
    <w:rsid w:val="000E4EA1"/>
    <w:rsid w:val="000E6827"/>
    <w:rsid w:val="000F6388"/>
    <w:rsid w:val="00101A9B"/>
    <w:rsid w:val="0011293D"/>
    <w:rsid w:val="00114E45"/>
    <w:rsid w:val="001343EA"/>
    <w:rsid w:val="0013696F"/>
    <w:rsid w:val="00137B25"/>
    <w:rsid w:val="001517C3"/>
    <w:rsid w:val="001553EF"/>
    <w:rsid w:val="00160F65"/>
    <w:rsid w:val="00177E10"/>
    <w:rsid w:val="00181D23"/>
    <w:rsid w:val="00186A05"/>
    <w:rsid w:val="001968AC"/>
    <w:rsid w:val="001977C5"/>
    <w:rsid w:val="001A010D"/>
    <w:rsid w:val="001A684E"/>
    <w:rsid w:val="001B36A8"/>
    <w:rsid w:val="001D6271"/>
    <w:rsid w:val="001D66D1"/>
    <w:rsid w:val="001E3232"/>
    <w:rsid w:val="001E6F3B"/>
    <w:rsid w:val="001F17CB"/>
    <w:rsid w:val="001F2D9E"/>
    <w:rsid w:val="002066E6"/>
    <w:rsid w:val="00216D3B"/>
    <w:rsid w:val="00221E23"/>
    <w:rsid w:val="00222FC0"/>
    <w:rsid w:val="002312DC"/>
    <w:rsid w:val="00232CED"/>
    <w:rsid w:val="0024068A"/>
    <w:rsid w:val="00240821"/>
    <w:rsid w:val="00245914"/>
    <w:rsid w:val="002525F8"/>
    <w:rsid w:val="00267902"/>
    <w:rsid w:val="0027293A"/>
    <w:rsid w:val="00272F40"/>
    <w:rsid w:val="00282052"/>
    <w:rsid w:val="00287367"/>
    <w:rsid w:val="00293475"/>
    <w:rsid w:val="002A6959"/>
    <w:rsid w:val="002C5CBB"/>
    <w:rsid w:val="002D3179"/>
    <w:rsid w:val="002E0CCF"/>
    <w:rsid w:val="002E787D"/>
    <w:rsid w:val="002F3E72"/>
    <w:rsid w:val="003019A0"/>
    <w:rsid w:val="00302261"/>
    <w:rsid w:val="003025F7"/>
    <w:rsid w:val="0030652A"/>
    <w:rsid w:val="00326D68"/>
    <w:rsid w:val="00330E2C"/>
    <w:rsid w:val="00337075"/>
    <w:rsid w:val="00345D59"/>
    <w:rsid w:val="003540E3"/>
    <w:rsid w:val="00361EF2"/>
    <w:rsid w:val="0037002D"/>
    <w:rsid w:val="00375163"/>
    <w:rsid w:val="00385D74"/>
    <w:rsid w:val="00390786"/>
    <w:rsid w:val="00390A62"/>
    <w:rsid w:val="003A1467"/>
    <w:rsid w:val="003B1B5A"/>
    <w:rsid w:val="003C05D9"/>
    <w:rsid w:val="003C2BA7"/>
    <w:rsid w:val="003C3DCA"/>
    <w:rsid w:val="003C595F"/>
    <w:rsid w:val="003E7C02"/>
    <w:rsid w:val="003F0381"/>
    <w:rsid w:val="003F5119"/>
    <w:rsid w:val="003F70F2"/>
    <w:rsid w:val="00404769"/>
    <w:rsid w:val="00404B4E"/>
    <w:rsid w:val="004150E2"/>
    <w:rsid w:val="00424186"/>
    <w:rsid w:val="00437B92"/>
    <w:rsid w:val="00446FFD"/>
    <w:rsid w:val="0046504B"/>
    <w:rsid w:val="00470CBD"/>
    <w:rsid w:val="004717E8"/>
    <w:rsid w:val="00476F48"/>
    <w:rsid w:val="004777B3"/>
    <w:rsid w:val="004852EE"/>
    <w:rsid w:val="00490DF6"/>
    <w:rsid w:val="004B3A0E"/>
    <w:rsid w:val="004B4A6D"/>
    <w:rsid w:val="004C0348"/>
    <w:rsid w:val="004C1B45"/>
    <w:rsid w:val="004D1CF7"/>
    <w:rsid w:val="004E15C5"/>
    <w:rsid w:val="00500A54"/>
    <w:rsid w:val="00521154"/>
    <w:rsid w:val="005242D0"/>
    <w:rsid w:val="00526823"/>
    <w:rsid w:val="00531375"/>
    <w:rsid w:val="00535ACB"/>
    <w:rsid w:val="005376E9"/>
    <w:rsid w:val="00557DC1"/>
    <w:rsid w:val="00562735"/>
    <w:rsid w:val="00564EE7"/>
    <w:rsid w:val="005651AD"/>
    <w:rsid w:val="00567D73"/>
    <w:rsid w:val="0057103D"/>
    <w:rsid w:val="00583157"/>
    <w:rsid w:val="005947F6"/>
    <w:rsid w:val="005A01A5"/>
    <w:rsid w:val="005A2941"/>
    <w:rsid w:val="005B5234"/>
    <w:rsid w:val="005F67D8"/>
    <w:rsid w:val="0060637F"/>
    <w:rsid w:val="00613657"/>
    <w:rsid w:val="006165D6"/>
    <w:rsid w:val="00621C43"/>
    <w:rsid w:val="006318D3"/>
    <w:rsid w:val="00634D5A"/>
    <w:rsid w:val="00635D47"/>
    <w:rsid w:val="0064064F"/>
    <w:rsid w:val="0065312F"/>
    <w:rsid w:val="006625A6"/>
    <w:rsid w:val="00664231"/>
    <w:rsid w:val="00681001"/>
    <w:rsid w:val="00687A25"/>
    <w:rsid w:val="00690AD2"/>
    <w:rsid w:val="006C2604"/>
    <w:rsid w:val="006D0168"/>
    <w:rsid w:val="006D05E4"/>
    <w:rsid w:val="006D107D"/>
    <w:rsid w:val="006E1F01"/>
    <w:rsid w:val="006F65F4"/>
    <w:rsid w:val="006F789F"/>
    <w:rsid w:val="00700BA1"/>
    <w:rsid w:val="00702CAE"/>
    <w:rsid w:val="00712151"/>
    <w:rsid w:val="0071280C"/>
    <w:rsid w:val="00714648"/>
    <w:rsid w:val="00714E2F"/>
    <w:rsid w:val="00715E42"/>
    <w:rsid w:val="00733C0C"/>
    <w:rsid w:val="007367CB"/>
    <w:rsid w:val="0074226D"/>
    <w:rsid w:val="007445BD"/>
    <w:rsid w:val="007629C7"/>
    <w:rsid w:val="0077264F"/>
    <w:rsid w:val="007726E0"/>
    <w:rsid w:val="0078089C"/>
    <w:rsid w:val="007810C7"/>
    <w:rsid w:val="00787A7E"/>
    <w:rsid w:val="00796598"/>
    <w:rsid w:val="007979C7"/>
    <w:rsid w:val="007A4881"/>
    <w:rsid w:val="007A507D"/>
    <w:rsid w:val="007A75D8"/>
    <w:rsid w:val="007A7EAC"/>
    <w:rsid w:val="007B40F8"/>
    <w:rsid w:val="007B5161"/>
    <w:rsid w:val="007C15B7"/>
    <w:rsid w:val="007C1BF1"/>
    <w:rsid w:val="007C2BBB"/>
    <w:rsid w:val="007D34B6"/>
    <w:rsid w:val="007E0E6D"/>
    <w:rsid w:val="007E1006"/>
    <w:rsid w:val="007E259E"/>
    <w:rsid w:val="007E39EB"/>
    <w:rsid w:val="00802921"/>
    <w:rsid w:val="00806378"/>
    <w:rsid w:val="00816ADF"/>
    <w:rsid w:val="008215D3"/>
    <w:rsid w:val="00826658"/>
    <w:rsid w:val="00830E49"/>
    <w:rsid w:val="00830FA9"/>
    <w:rsid w:val="008320FC"/>
    <w:rsid w:val="00842DB1"/>
    <w:rsid w:val="00861273"/>
    <w:rsid w:val="008664C6"/>
    <w:rsid w:val="008732A8"/>
    <w:rsid w:val="00880CB3"/>
    <w:rsid w:val="0088447B"/>
    <w:rsid w:val="00887D1C"/>
    <w:rsid w:val="00891BDC"/>
    <w:rsid w:val="008946A8"/>
    <w:rsid w:val="00894F08"/>
    <w:rsid w:val="008A7747"/>
    <w:rsid w:val="008B2D9C"/>
    <w:rsid w:val="008B570A"/>
    <w:rsid w:val="008B7702"/>
    <w:rsid w:val="008C5068"/>
    <w:rsid w:val="008E417E"/>
    <w:rsid w:val="008F00A2"/>
    <w:rsid w:val="008F04BF"/>
    <w:rsid w:val="008F303C"/>
    <w:rsid w:val="008F391B"/>
    <w:rsid w:val="00901A7E"/>
    <w:rsid w:val="00904348"/>
    <w:rsid w:val="009078AB"/>
    <w:rsid w:val="00921BFB"/>
    <w:rsid w:val="0092356B"/>
    <w:rsid w:val="00925037"/>
    <w:rsid w:val="0093573D"/>
    <w:rsid w:val="0094059F"/>
    <w:rsid w:val="0094403B"/>
    <w:rsid w:val="0094513B"/>
    <w:rsid w:val="009522F9"/>
    <w:rsid w:val="0096100F"/>
    <w:rsid w:val="009616DC"/>
    <w:rsid w:val="0098348A"/>
    <w:rsid w:val="00990E99"/>
    <w:rsid w:val="009A1E8D"/>
    <w:rsid w:val="009A365B"/>
    <w:rsid w:val="009A4FE1"/>
    <w:rsid w:val="009A513B"/>
    <w:rsid w:val="009B1C85"/>
    <w:rsid w:val="009B45F5"/>
    <w:rsid w:val="009B6422"/>
    <w:rsid w:val="009C105B"/>
    <w:rsid w:val="009C3674"/>
    <w:rsid w:val="009C52BB"/>
    <w:rsid w:val="009E0749"/>
    <w:rsid w:val="009F4440"/>
    <w:rsid w:val="00A139A0"/>
    <w:rsid w:val="00A17C4E"/>
    <w:rsid w:val="00A21C2C"/>
    <w:rsid w:val="00A31F88"/>
    <w:rsid w:val="00A50891"/>
    <w:rsid w:val="00A530E8"/>
    <w:rsid w:val="00A559F1"/>
    <w:rsid w:val="00A60AC9"/>
    <w:rsid w:val="00A613DB"/>
    <w:rsid w:val="00A73173"/>
    <w:rsid w:val="00A73217"/>
    <w:rsid w:val="00A73658"/>
    <w:rsid w:val="00A77D52"/>
    <w:rsid w:val="00A82631"/>
    <w:rsid w:val="00A84F7E"/>
    <w:rsid w:val="00AC4F19"/>
    <w:rsid w:val="00AE1EDE"/>
    <w:rsid w:val="00AE3AD4"/>
    <w:rsid w:val="00AF362A"/>
    <w:rsid w:val="00AF7070"/>
    <w:rsid w:val="00B00296"/>
    <w:rsid w:val="00B024E0"/>
    <w:rsid w:val="00B05EFE"/>
    <w:rsid w:val="00B1431D"/>
    <w:rsid w:val="00B1636A"/>
    <w:rsid w:val="00B209BE"/>
    <w:rsid w:val="00B229ED"/>
    <w:rsid w:val="00B24A54"/>
    <w:rsid w:val="00B41CEE"/>
    <w:rsid w:val="00B45AAC"/>
    <w:rsid w:val="00B46245"/>
    <w:rsid w:val="00B807DE"/>
    <w:rsid w:val="00B87623"/>
    <w:rsid w:val="00B905B2"/>
    <w:rsid w:val="00B930C7"/>
    <w:rsid w:val="00BB6F2C"/>
    <w:rsid w:val="00BC251B"/>
    <w:rsid w:val="00BC2B24"/>
    <w:rsid w:val="00BC5253"/>
    <w:rsid w:val="00BC5584"/>
    <w:rsid w:val="00BC743A"/>
    <w:rsid w:val="00BD63FB"/>
    <w:rsid w:val="00BE4A5A"/>
    <w:rsid w:val="00BF1E42"/>
    <w:rsid w:val="00BF7B12"/>
    <w:rsid w:val="00C10084"/>
    <w:rsid w:val="00C20407"/>
    <w:rsid w:val="00C21B4C"/>
    <w:rsid w:val="00C228ED"/>
    <w:rsid w:val="00C24AB3"/>
    <w:rsid w:val="00C24FDA"/>
    <w:rsid w:val="00C32122"/>
    <w:rsid w:val="00C33B59"/>
    <w:rsid w:val="00C3617A"/>
    <w:rsid w:val="00C361E0"/>
    <w:rsid w:val="00C371A7"/>
    <w:rsid w:val="00C431C7"/>
    <w:rsid w:val="00C5497C"/>
    <w:rsid w:val="00C56229"/>
    <w:rsid w:val="00C62DF8"/>
    <w:rsid w:val="00C67DC6"/>
    <w:rsid w:val="00C67EC3"/>
    <w:rsid w:val="00C7070B"/>
    <w:rsid w:val="00C80F21"/>
    <w:rsid w:val="00C8199E"/>
    <w:rsid w:val="00C85F92"/>
    <w:rsid w:val="00C86E4C"/>
    <w:rsid w:val="00C8783B"/>
    <w:rsid w:val="00C938AE"/>
    <w:rsid w:val="00C94A2E"/>
    <w:rsid w:val="00C9754E"/>
    <w:rsid w:val="00CA0ABD"/>
    <w:rsid w:val="00CA5089"/>
    <w:rsid w:val="00CA5CFD"/>
    <w:rsid w:val="00CB55D6"/>
    <w:rsid w:val="00CB6AE0"/>
    <w:rsid w:val="00CC43A3"/>
    <w:rsid w:val="00CE3A83"/>
    <w:rsid w:val="00CE41A5"/>
    <w:rsid w:val="00CE561C"/>
    <w:rsid w:val="00CF1510"/>
    <w:rsid w:val="00CF2FED"/>
    <w:rsid w:val="00CF556D"/>
    <w:rsid w:val="00CF65C0"/>
    <w:rsid w:val="00D05FF7"/>
    <w:rsid w:val="00D07463"/>
    <w:rsid w:val="00D152E7"/>
    <w:rsid w:val="00D25637"/>
    <w:rsid w:val="00D3452D"/>
    <w:rsid w:val="00D34DEA"/>
    <w:rsid w:val="00D42517"/>
    <w:rsid w:val="00D47190"/>
    <w:rsid w:val="00D556DE"/>
    <w:rsid w:val="00D55FDF"/>
    <w:rsid w:val="00D57DD4"/>
    <w:rsid w:val="00D64AC8"/>
    <w:rsid w:val="00D75050"/>
    <w:rsid w:val="00D82550"/>
    <w:rsid w:val="00D92D2F"/>
    <w:rsid w:val="00D97991"/>
    <w:rsid w:val="00DA24A5"/>
    <w:rsid w:val="00DB0C37"/>
    <w:rsid w:val="00DC6CD2"/>
    <w:rsid w:val="00DD0342"/>
    <w:rsid w:val="00DD4A65"/>
    <w:rsid w:val="00DE2EBB"/>
    <w:rsid w:val="00DE6028"/>
    <w:rsid w:val="00DF574E"/>
    <w:rsid w:val="00E1497D"/>
    <w:rsid w:val="00E16C02"/>
    <w:rsid w:val="00E200FD"/>
    <w:rsid w:val="00E3244F"/>
    <w:rsid w:val="00E33E54"/>
    <w:rsid w:val="00E4172F"/>
    <w:rsid w:val="00E422FE"/>
    <w:rsid w:val="00E57A1F"/>
    <w:rsid w:val="00E6667E"/>
    <w:rsid w:val="00E71890"/>
    <w:rsid w:val="00E7622F"/>
    <w:rsid w:val="00E824F8"/>
    <w:rsid w:val="00E8332E"/>
    <w:rsid w:val="00E84634"/>
    <w:rsid w:val="00E93557"/>
    <w:rsid w:val="00E95ACB"/>
    <w:rsid w:val="00EA00D7"/>
    <w:rsid w:val="00EA6D16"/>
    <w:rsid w:val="00EB71A6"/>
    <w:rsid w:val="00EC1DCC"/>
    <w:rsid w:val="00EE18F1"/>
    <w:rsid w:val="00EE2002"/>
    <w:rsid w:val="00F11D62"/>
    <w:rsid w:val="00F12B90"/>
    <w:rsid w:val="00F175AA"/>
    <w:rsid w:val="00F2115D"/>
    <w:rsid w:val="00F3055D"/>
    <w:rsid w:val="00F32127"/>
    <w:rsid w:val="00F34699"/>
    <w:rsid w:val="00F43203"/>
    <w:rsid w:val="00F43B41"/>
    <w:rsid w:val="00F44B3B"/>
    <w:rsid w:val="00F46E60"/>
    <w:rsid w:val="00F570A9"/>
    <w:rsid w:val="00F6039D"/>
    <w:rsid w:val="00F665E6"/>
    <w:rsid w:val="00F67D3C"/>
    <w:rsid w:val="00F71DB7"/>
    <w:rsid w:val="00F82F44"/>
    <w:rsid w:val="00F831E2"/>
    <w:rsid w:val="00F90C4B"/>
    <w:rsid w:val="00F911BE"/>
    <w:rsid w:val="00F96A22"/>
    <w:rsid w:val="00FA075F"/>
    <w:rsid w:val="00FA2F5C"/>
    <w:rsid w:val="00FA348F"/>
    <w:rsid w:val="00FB2341"/>
    <w:rsid w:val="00FB2DED"/>
    <w:rsid w:val="00FB2F59"/>
    <w:rsid w:val="00FC6E1D"/>
    <w:rsid w:val="00FC73CF"/>
    <w:rsid w:val="00FD0135"/>
    <w:rsid w:val="00FD3EFB"/>
    <w:rsid w:val="00FE76F6"/>
    <w:rsid w:val="00FF3D3D"/>
    <w:rsid w:val="00FF3D51"/>
    <w:rsid w:val="00FF50A2"/>
    <w:rsid w:val="06489CB3"/>
    <w:rsid w:val="193E12ED"/>
    <w:rsid w:val="19A13D83"/>
    <w:rsid w:val="23C3C96C"/>
    <w:rsid w:val="25772505"/>
    <w:rsid w:val="260F9D2F"/>
    <w:rsid w:val="2C6E9F98"/>
    <w:rsid w:val="31004497"/>
    <w:rsid w:val="34DA1F09"/>
    <w:rsid w:val="3827CB02"/>
    <w:rsid w:val="4569C2E6"/>
    <w:rsid w:val="489A7A86"/>
    <w:rsid w:val="4B489DDD"/>
    <w:rsid w:val="534F2A0E"/>
    <w:rsid w:val="58D93526"/>
    <w:rsid w:val="5CE9CD35"/>
    <w:rsid w:val="5E5143D6"/>
    <w:rsid w:val="64B94971"/>
    <w:rsid w:val="67233E6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8ECDC"/>
  <w15:chartTrackingRefBased/>
  <w15:docId w15:val="{D25B6069-098A-45C1-A404-4398C65E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D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2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F2D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2D9E"/>
    <w:rPr>
      <w:sz w:val="20"/>
      <w:szCs w:val="20"/>
    </w:rPr>
  </w:style>
  <w:style w:type="character" w:styleId="FootnoteReference">
    <w:name w:val="footnote reference"/>
    <w:basedOn w:val="DefaultParagraphFont"/>
    <w:uiPriority w:val="99"/>
    <w:semiHidden/>
    <w:unhideWhenUsed/>
    <w:rsid w:val="001F2D9E"/>
    <w:rPr>
      <w:vertAlign w:val="superscript"/>
    </w:rPr>
  </w:style>
  <w:style w:type="paragraph" w:styleId="EndnoteText">
    <w:name w:val="endnote text"/>
    <w:basedOn w:val="Normal"/>
    <w:link w:val="EndnoteTextChar"/>
    <w:uiPriority w:val="99"/>
    <w:semiHidden/>
    <w:unhideWhenUsed/>
    <w:rsid w:val="001F2D9E"/>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1F2D9E"/>
    <w:rPr>
      <w:rFonts w:ascii="Calibri" w:eastAsia="Calibri" w:hAnsi="Calibri" w:cs="Times New Roman"/>
      <w:sz w:val="20"/>
      <w:szCs w:val="20"/>
    </w:rPr>
  </w:style>
  <w:style w:type="paragraph" w:styleId="ListParagraph">
    <w:name w:val="List Paragraph"/>
    <w:basedOn w:val="Normal"/>
    <w:uiPriority w:val="34"/>
    <w:qFormat/>
    <w:rsid w:val="00C5497C"/>
    <w:pPr>
      <w:ind w:left="720"/>
      <w:contextualSpacing/>
    </w:pPr>
  </w:style>
  <w:style w:type="paragraph" w:styleId="Header">
    <w:name w:val="header"/>
    <w:basedOn w:val="Normal"/>
    <w:link w:val="HeaderChar"/>
    <w:uiPriority w:val="99"/>
    <w:unhideWhenUsed/>
    <w:rsid w:val="00216D3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6D3B"/>
  </w:style>
  <w:style w:type="paragraph" w:styleId="Footer">
    <w:name w:val="footer"/>
    <w:basedOn w:val="Normal"/>
    <w:link w:val="FooterChar"/>
    <w:uiPriority w:val="99"/>
    <w:unhideWhenUsed/>
    <w:rsid w:val="00216D3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6D3B"/>
  </w:style>
  <w:style w:type="character" w:styleId="CommentReference">
    <w:name w:val="annotation reference"/>
    <w:basedOn w:val="DefaultParagraphFont"/>
    <w:unhideWhenUsed/>
    <w:rsid w:val="00345D59"/>
    <w:rPr>
      <w:sz w:val="16"/>
      <w:szCs w:val="16"/>
    </w:rPr>
  </w:style>
  <w:style w:type="paragraph" w:styleId="CommentText">
    <w:name w:val="annotation text"/>
    <w:basedOn w:val="Normal"/>
    <w:link w:val="CommentTextChar"/>
    <w:unhideWhenUsed/>
    <w:rsid w:val="00345D59"/>
    <w:pPr>
      <w:spacing w:line="240" w:lineRule="auto"/>
    </w:pPr>
    <w:rPr>
      <w:sz w:val="20"/>
      <w:szCs w:val="20"/>
    </w:rPr>
  </w:style>
  <w:style w:type="character" w:customStyle="1" w:styleId="CommentTextChar">
    <w:name w:val="Comment Text Char"/>
    <w:basedOn w:val="DefaultParagraphFont"/>
    <w:link w:val="CommentText"/>
    <w:rsid w:val="00345D59"/>
    <w:rPr>
      <w:sz w:val="20"/>
      <w:szCs w:val="20"/>
    </w:rPr>
  </w:style>
  <w:style w:type="paragraph" w:styleId="BalloonText">
    <w:name w:val="Balloon Text"/>
    <w:basedOn w:val="Normal"/>
    <w:link w:val="BalloonTextChar"/>
    <w:uiPriority w:val="99"/>
    <w:semiHidden/>
    <w:unhideWhenUsed/>
    <w:rsid w:val="00345D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D5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00A54"/>
    <w:rPr>
      <w:b/>
      <w:bCs/>
    </w:rPr>
  </w:style>
  <w:style w:type="character" w:customStyle="1" w:styleId="CommentSubjectChar">
    <w:name w:val="Comment Subject Char"/>
    <w:basedOn w:val="CommentTextChar"/>
    <w:link w:val="CommentSubject"/>
    <w:uiPriority w:val="99"/>
    <w:semiHidden/>
    <w:rsid w:val="00500A54"/>
    <w:rPr>
      <w:b/>
      <w:bCs/>
      <w:sz w:val="20"/>
      <w:szCs w:val="20"/>
    </w:rPr>
  </w:style>
  <w:style w:type="paragraph" w:styleId="Revision">
    <w:name w:val="Revision"/>
    <w:hidden/>
    <w:uiPriority w:val="99"/>
    <w:semiHidden/>
    <w:rsid w:val="002E0CCF"/>
    <w:pPr>
      <w:spacing w:after="0" w:line="240" w:lineRule="auto"/>
    </w:pPr>
  </w:style>
  <w:style w:type="character" w:styleId="Hyperlink">
    <w:name w:val="Hyperlink"/>
    <w:basedOn w:val="DefaultParagraphFont"/>
    <w:uiPriority w:val="99"/>
    <w:unhideWhenUsed/>
    <w:rsid w:val="00A60AC9"/>
    <w:rPr>
      <w:color w:val="0563C1" w:themeColor="hyperlink"/>
      <w:u w:val="single"/>
    </w:rPr>
  </w:style>
  <w:style w:type="character" w:styleId="UnresolvedMention">
    <w:name w:val="Unresolved Mention"/>
    <w:basedOn w:val="DefaultParagraphFont"/>
    <w:uiPriority w:val="99"/>
    <w:semiHidden/>
    <w:unhideWhenUsed/>
    <w:rsid w:val="00A60AC9"/>
    <w:rPr>
      <w:color w:val="605E5C"/>
      <w:shd w:val="clear" w:color="auto" w:fill="E1DFDD"/>
    </w:rPr>
  </w:style>
  <w:style w:type="character" w:styleId="EndnoteReference">
    <w:name w:val="endnote reference"/>
    <w:basedOn w:val="DefaultParagraphFont"/>
    <w:uiPriority w:val="99"/>
    <w:semiHidden/>
    <w:unhideWhenUsed/>
    <w:rsid w:val="00A60AC9"/>
    <w:rPr>
      <w:vertAlign w:val="superscript"/>
    </w:rPr>
  </w:style>
  <w:style w:type="character" w:styleId="FollowedHyperlink">
    <w:name w:val="FollowedHyperlink"/>
    <w:basedOn w:val="DefaultParagraphFont"/>
    <w:uiPriority w:val="99"/>
    <w:semiHidden/>
    <w:unhideWhenUsed/>
    <w:rsid w:val="009B45F5"/>
    <w:rPr>
      <w:color w:val="954F72" w:themeColor="followedHyperlink"/>
      <w:u w:val="single"/>
    </w:rPr>
  </w:style>
  <w:style w:type="character" w:customStyle="1" w:styleId="normaltextrun">
    <w:name w:val="normaltextrun"/>
    <w:basedOn w:val="DefaultParagraphFont"/>
    <w:rsid w:val="00894F08"/>
  </w:style>
  <w:style w:type="paragraph" w:customStyle="1" w:styleId="paragraph">
    <w:name w:val="paragraph"/>
    <w:basedOn w:val="Normal"/>
    <w:rsid w:val="00894F0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894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447609">
      <w:bodyDiv w:val="1"/>
      <w:marLeft w:val="0"/>
      <w:marRight w:val="0"/>
      <w:marTop w:val="0"/>
      <w:marBottom w:val="0"/>
      <w:divBdr>
        <w:top w:val="none" w:sz="0" w:space="0" w:color="auto"/>
        <w:left w:val="none" w:sz="0" w:space="0" w:color="auto"/>
        <w:bottom w:val="none" w:sz="0" w:space="0" w:color="auto"/>
        <w:right w:val="none" w:sz="0" w:space="0" w:color="auto"/>
      </w:divBdr>
    </w:div>
    <w:div w:id="128084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46e192d82b531037016539977959da21">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487082ce29064e27ca3025d8c969c02"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432656-C050-45B5-BF0A-47308A4B40C0}">
  <ds:schemaRefs>
    <ds:schemaRef ds:uri="http://schemas.openxmlformats.org/officeDocument/2006/bibliography"/>
  </ds:schemaRefs>
</ds:datastoreItem>
</file>

<file path=customXml/itemProps2.xml><?xml version="1.0" encoding="utf-8"?>
<ds:datastoreItem xmlns:ds="http://schemas.openxmlformats.org/officeDocument/2006/customXml" ds:itemID="{79CFDE58-6F85-4C71-90AC-A4540ED27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EE8342-2A56-4AC8-85A9-E2466397B812}">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4.xml><?xml version="1.0" encoding="utf-8"?>
<ds:datastoreItem xmlns:ds="http://schemas.openxmlformats.org/officeDocument/2006/customXml" ds:itemID="{E3EE212B-77D2-4591-A825-A114FE96EB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2016</Words>
  <Characters>14220</Characters>
  <Application>Microsoft Office Word</Application>
  <DocSecurity>0</DocSecurity>
  <Lines>284</Lines>
  <Paragraphs>98</Paragraphs>
  <ScaleCrop>false</ScaleCrop>
  <Company>LVPA</Company>
  <LinksUpToDate>false</LinksUpToDate>
  <CharactersWithSpaces>16138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Lileika</dc:creator>
  <cp:lastModifiedBy>Audrius Kuznicovas</cp:lastModifiedBy>
  <cp:revision>26</cp:revision>
  <dcterms:created xsi:type="dcterms:W3CDTF">2025-02-24T08:08:00Z</dcterms:created>
  <dcterms:modified xsi:type="dcterms:W3CDTF">2025-10-30T08:45:00Z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