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Pr="00E87130" w:rsidRDefault="00AF2D3A" w:rsidP="00426C85">
      <w:pPr>
        <w:spacing w:line="276" w:lineRule="auto"/>
        <w:rPr>
          <w:rFonts w:ascii="Verdana" w:hAnsi="Verdana"/>
          <w:b/>
          <w:bCs/>
          <w:caps/>
          <w:sz w:val="20"/>
        </w:rPr>
      </w:pPr>
    </w:p>
    <w:p w14:paraId="7A3CB271" w14:textId="01A541DD" w:rsidR="00AF2D3A" w:rsidRPr="00E87130" w:rsidRDefault="007023AE" w:rsidP="528F31EE">
      <w:pPr>
        <w:spacing w:line="276" w:lineRule="auto"/>
        <w:jc w:val="center"/>
        <w:rPr>
          <w:rFonts w:ascii="Verdana" w:hAnsi="Verdana"/>
          <w:b/>
          <w:bCs/>
          <w:caps/>
          <w:sz w:val="20"/>
        </w:rPr>
      </w:pPr>
      <w:r w:rsidRPr="528F31EE">
        <w:rPr>
          <w:rFonts w:ascii="Verdana" w:hAnsi="Verdana"/>
          <w:b/>
          <w:bCs/>
          <w:caps/>
          <w:kern w:val="2"/>
          <w:sz w:val="20"/>
        </w:rPr>
        <w:t>INFORMACINIŲ TECHNOLOGIJŲ (</w:t>
      </w:r>
      <w:r w:rsidR="3CCCEC41" w:rsidRPr="528F31EE">
        <w:rPr>
          <w:rFonts w:ascii="Verdana" w:hAnsi="Verdana"/>
          <w:b/>
          <w:bCs/>
          <w:caps/>
          <w:kern w:val="2"/>
          <w:sz w:val="20"/>
        </w:rPr>
        <w:t>DIRBTINIS INTELEKTAS</w:t>
      </w:r>
      <w:r w:rsidRPr="528F31EE">
        <w:rPr>
          <w:rFonts w:ascii="Verdana" w:hAnsi="Verdana"/>
          <w:b/>
          <w:bCs/>
          <w:caps/>
          <w:kern w:val="2"/>
          <w:sz w:val="20"/>
        </w:rPr>
        <w:t>) SRITIES EKSPERTŲ VERTINIMO KONSULTACIN</w:t>
      </w:r>
      <w:r w:rsidR="078F4BF3" w:rsidRPr="528F31EE">
        <w:rPr>
          <w:rFonts w:ascii="Verdana" w:hAnsi="Verdana"/>
          <w:b/>
          <w:bCs/>
          <w:caps/>
          <w:kern w:val="2"/>
          <w:sz w:val="20"/>
        </w:rPr>
        <w:t>IŲ</w:t>
      </w:r>
      <w:r w:rsidRPr="528F31EE">
        <w:rPr>
          <w:rFonts w:ascii="Verdana" w:hAnsi="Verdana"/>
          <w:b/>
          <w:bCs/>
          <w:caps/>
          <w:kern w:val="2"/>
          <w:sz w:val="20"/>
        </w:rPr>
        <w:t xml:space="preserve"> PASLAUGŲ</w:t>
      </w:r>
      <w:r w:rsidR="007A12B1" w:rsidRPr="528F31EE" w:rsidDel="007A12B1">
        <w:rPr>
          <w:rFonts w:ascii="Verdana" w:hAnsi="Verdana"/>
          <w:b/>
          <w:bCs/>
          <w:caps/>
          <w:kern w:val="2"/>
          <w:sz w:val="20"/>
        </w:rPr>
        <w:t xml:space="preserve"> </w:t>
      </w:r>
      <w:r w:rsidR="0048083F" w:rsidRPr="528F31EE">
        <w:rPr>
          <w:rFonts w:ascii="Verdana" w:hAnsi="Verdana"/>
          <w:b/>
          <w:bCs/>
          <w:caps/>
          <w:sz w:val="20"/>
        </w:rPr>
        <w:t>PRELIMINARIOJI SUTARTIS</w:t>
      </w:r>
      <w:r w:rsidR="000B0897" w:rsidRPr="528F31EE">
        <w:rPr>
          <w:rFonts w:ascii="Verdana" w:hAnsi="Verdana"/>
          <w:b/>
          <w:bCs/>
          <w:caps/>
          <w:sz w:val="20"/>
        </w:rPr>
        <w:t xml:space="preserve"> </w:t>
      </w:r>
    </w:p>
    <w:p w14:paraId="69E4DE8A" w14:textId="77777777" w:rsidR="00AF2D3A" w:rsidRPr="008F2114"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AEB5649">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3BDC7BCD" w:rsidR="00027B83" w:rsidRPr="00F956F6" w:rsidRDefault="00E1505C" w:rsidP="0AEB5649">
            <w:pPr>
              <w:jc w:val="both"/>
              <w:rPr>
                <w:rFonts w:ascii="Verdana" w:hAnsi="Verdana"/>
                <w:kern w:val="2"/>
                <w:sz w:val="20"/>
              </w:rPr>
            </w:pPr>
            <w:r w:rsidRPr="0AEB5649">
              <w:rPr>
                <w:rFonts w:ascii="Verdana" w:hAnsi="Verdana"/>
                <w:b/>
                <w:bCs/>
                <w:kern w:val="2"/>
                <w:sz w:val="20"/>
              </w:rPr>
              <w:t>Informacinių technologijų (</w:t>
            </w:r>
            <w:r w:rsidR="69B867E2" w:rsidRPr="0AEB5649">
              <w:rPr>
                <w:rFonts w:ascii="Verdana" w:hAnsi="Verdana"/>
                <w:b/>
                <w:bCs/>
                <w:kern w:val="2"/>
                <w:sz w:val="20"/>
              </w:rPr>
              <w:t>dirbtinis intelektas</w:t>
            </w:r>
            <w:r w:rsidRPr="0AEB5649">
              <w:rPr>
                <w:rFonts w:ascii="Verdana" w:hAnsi="Verdana"/>
                <w:b/>
                <w:bCs/>
                <w:kern w:val="2"/>
                <w:sz w:val="20"/>
              </w:rPr>
              <w:t>) srities ekspertų vertinimo konsultacinės paslaugos</w:t>
            </w:r>
          </w:p>
        </w:tc>
      </w:tr>
      <w:tr w:rsidR="00AF2D3A" w:rsidRPr="00F956F6" w14:paraId="6E42CC99" w14:textId="77777777" w:rsidTr="0AEB5649">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36F0797B">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36F0797B">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36F0797B">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36F0797B">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36F0797B">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15A25BAD" w:rsidR="00D6194B" w:rsidRPr="00F956F6" w:rsidRDefault="289FF0DD" w:rsidP="36F0797B">
            <w:r w:rsidRPr="36F0797B">
              <w:rPr>
                <w:rFonts w:ascii="Verdana" w:eastAsia="Verdana" w:hAnsi="Verdana" w:cs="Verdana"/>
                <w:sz w:val="20"/>
              </w:rPr>
              <w:t>LT254471716</w:t>
            </w:r>
          </w:p>
        </w:tc>
      </w:tr>
      <w:tr w:rsidR="00AF2D3A" w:rsidRPr="00F956F6" w14:paraId="00BB1DB9" w14:textId="77777777" w:rsidTr="36F0797B">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36F0797B">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36F0797B">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36F0797B">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36F0797B">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36F0797B">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36F0797B">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36F0797B">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36F0797B">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36F0797B">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36F0797B">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36F0797B">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36F0797B">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36F0797B">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36F0797B">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36F0797B">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0AEB5649">
        <w:trPr>
          <w:trHeight w:val="300"/>
        </w:trPr>
        <w:tc>
          <w:tcPr>
            <w:tcW w:w="9535" w:type="dxa"/>
            <w:gridSpan w:val="4"/>
          </w:tcPr>
          <w:p w14:paraId="08908DE5" w14:textId="77777777" w:rsidR="00027B83" w:rsidRPr="00F956F6" w:rsidRDefault="000B0897" w:rsidP="00993A09">
            <w:pPr>
              <w:jc w:val="both"/>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0AEB5649">
        <w:trPr>
          <w:trHeight w:val="300"/>
        </w:trPr>
        <w:tc>
          <w:tcPr>
            <w:tcW w:w="3094" w:type="dxa"/>
            <w:gridSpan w:val="2"/>
          </w:tcPr>
          <w:p w14:paraId="18F4EB9C" w14:textId="77777777" w:rsidR="00027B83" w:rsidRPr="00F956F6" w:rsidRDefault="000B0897" w:rsidP="00993A09">
            <w:pPr>
              <w:jc w:val="both"/>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72F48E50" w:rsidR="00027B83" w:rsidRPr="00F956F6" w:rsidRDefault="00027B83" w:rsidP="00993A09">
            <w:pPr>
              <w:jc w:val="both"/>
              <w:rPr>
                <w:rFonts w:ascii="Verdana" w:hAnsi="Verdana"/>
                <w:color w:val="4472C4"/>
                <w:kern w:val="2"/>
                <w:sz w:val="20"/>
              </w:rPr>
            </w:pPr>
          </w:p>
        </w:tc>
      </w:tr>
      <w:tr w:rsidR="00027B83" w:rsidRPr="00F956F6" w14:paraId="06E169DF" w14:textId="77777777" w:rsidTr="0AEB5649">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0AEB5649">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0AEB5649">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66530CE7" w:rsidR="00027B83" w:rsidRPr="00F956F6" w:rsidRDefault="000B0897" w:rsidP="715CC674">
            <w:pPr>
              <w:jc w:val="both"/>
              <w:rPr>
                <w:rFonts w:ascii="Verdana" w:hAnsi="Verdana"/>
                <w:color w:val="000000"/>
                <w:kern w:val="2"/>
                <w:sz w:val="20"/>
              </w:rPr>
            </w:pPr>
            <w:r w:rsidRPr="715CC674">
              <w:rPr>
                <w:rFonts w:ascii="Verdana" w:hAnsi="Verdana"/>
                <w:kern w:val="2"/>
                <w:sz w:val="20"/>
              </w:rPr>
              <w:t xml:space="preserve">Tiekėjas įsipareigoja Sutartyje numatytomis sąlygomis suteikti Pirkėjui </w:t>
            </w:r>
            <w:r w:rsidR="00E1505C" w:rsidRPr="715CC674">
              <w:rPr>
                <w:rFonts w:ascii="Verdana" w:hAnsi="Verdana"/>
                <w:sz w:val="20"/>
              </w:rPr>
              <w:t>Informacinių technologijų (</w:t>
            </w:r>
            <w:r w:rsidR="05E7B3EF" w:rsidRPr="715CC674">
              <w:rPr>
                <w:rFonts w:ascii="Verdana" w:hAnsi="Verdana"/>
                <w:sz w:val="20"/>
              </w:rPr>
              <w:t>dirbtinis intelektas</w:t>
            </w:r>
            <w:r w:rsidR="00E1505C" w:rsidRPr="715CC674">
              <w:rPr>
                <w:rFonts w:ascii="Verdana" w:hAnsi="Verdana"/>
                <w:sz w:val="20"/>
              </w:rPr>
              <w:t>) srities ekspertų vertinimo konsultacin</w:t>
            </w:r>
            <w:r w:rsidR="5A59E71F" w:rsidRPr="0AEB5649">
              <w:rPr>
                <w:rFonts w:ascii="Verdana" w:hAnsi="Verdana"/>
                <w:sz w:val="20"/>
              </w:rPr>
              <w:t>e</w:t>
            </w:r>
            <w:r w:rsidR="00E1505C" w:rsidRPr="715CC674">
              <w:rPr>
                <w:rFonts w:ascii="Verdana" w:hAnsi="Verdana"/>
                <w:sz w:val="20"/>
              </w:rPr>
              <w:t>s paslaug</w:t>
            </w:r>
            <w:r w:rsidR="7ACF1F41" w:rsidRPr="715CC674">
              <w:rPr>
                <w:rFonts w:ascii="Verdana" w:hAnsi="Verdana"/>
                <w:sz w:val="20"/>
              </w:rPr>
              <w:t>a</w:t>
            </w:r>
            <w:r w:rsidR="00E1505C" w:rsidRPr="715CC674">
              <w:rPr>
                <w:rFonts w:ascii="Verdana" w:hAnsi="Verdana"/>
                <w:sz w:val="20"/>
              </w:rPr>
              <w:t xml:space="preserve">s </w:t>
            </w:r>
            <w:r w:rsidRPr="715CC674">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0AEB5649">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1B22DC74" w:rsidR="00027B83" w:rsidRPr="00F956F6" w:rsidRDefault="00E1505C" w:rsidP="0AEB5649">
            <w:pPr>
              <w:rPr>
                <w:rFonts w:ascii="Verdana" w:hAnsi="Verdana"/>
                <w:kern w:val="2"/>
                <w:sz w:val="20"/>
              </w:rPr>
            </w:pPr>
            <w:r w:rsidRPr="0AEB5649">
              <w:rPr>
                <w:rFonts w:ascii="Verdana" w:hAnsi="Verdana"/>
                <w:sz w:val="20"/>
              </w:rPr>
              <w:t>Informacinių technologijų (</w:t>
            </w:r>
            <w:r w:rsidR="1602827A" w:rsidRPr="0AEB5649">
              <w:rPr>
                <w:rFonts w:ascii="Verdana" w:hAnsi="Verdana"/>
                <w:sz w:val="20"/>
              </w:rPr>
              <w:t>dirbtinis intelektas</w:t>
            </w:r>
            <w:r w:rsidRPr="0AEB5649">
              <w:rPr>
                <w:rFonts w:ascii="Verdana" w:hAnsi="Verdana"/>
                <w:sz w:val="20"/>
              </w:rPr>
              <w:t>) srities ekspertų vertinimo konsultacinės paslaugos</w:t>
            </w:r>
            <w:r w:rsidR="68DB7F83" w:rsidRPr="0AEB5649">
              <w:rPr>
                <w:rFonts w:ascii="Verdana" w:hAnsi="Verdana"/>
                <w:kern w:val="2"/>
                <w:sz w:val="20"/>
              </w:rPr>
              <w:t xml:space="preserve">, pirkimo Nr. </w:t>
            </w:r>
            <w:r w:rsidR="5ACBD81D" w:rsidRPr="0AEB5649">
              <w:rPr>
                <w:rFonts w:ascii="Verdana" w:hAnsi="Verdana"/>
                <w:color w:val="4472C4" w:themeColor="accent1"/>
                <w:kern w:val="2"/>
                <w:sz w:val="20"/>
              </w:rPr>
              <w:t>(įrašyti)</w:t>
            </w:r>
            <w:r w:rsidR="1DC1DB1A" w:rsidRPr="0AEB5649">
              <w:rPr>
                <w:rFonts w:ascii="Verdana" w:hAnsi="Verdana"/>
                <w:color w:val="4472C4" w:themeColor="accent1"/>
                <w:kern w:val="2"/>
                <w:sz w:val="20"/>
              </w:rPr>
              <w:t xml:space="preserve"> </w:t>
            </w:r>
            <w:r w:rsidR="1DC1DB1A" w:rsidRPr="0AEB5649">
              <w:rPr>
                <w:rFonts w:ascii="Verdana" w:hAnsi="Verdana"/>
                <w:kern w:val="2"/>
                <w:sz w:val="20"/>
              </w:rPr>
              <w:t>(toliau – Pirkimas)</w:t>
            </w:r>
          </w:p>
        </w:tc>
      </w:tr>
      <w:tr w:rsidR="00027B83" w14:paraId="0933D8C9" w14:textId="77777777" w:rsidTr="0AEB5649">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0" w:name="_Hlk187915386"/>
            <w:r w:rsidRPr="00F956F6">
              <w:rPr>
                <w:rFonts w:ascii="Verdana" w:hAnsi="Verdana"/>
                <w:b/>
                <w:kern w:val="2"/>
                <w:sz w:val="20"/>
              </w:rPr>
              <w:t>Informacija apie Europos Sąjungos lėšomis finansuojamą projektą arba kitą projektą</w:t>
            </w:r>
            <w:bookmarkEnd w:id="0"/>
          </w:p>
        </w:tc>
        <w:tc>
          <w:tcPr>
            <w:tcW w:w="6441" w:type="dxa"/>
            <w:gridSpan w:val="2"/>
          </w:tcPr>
          <w:p w14:paraId="01667396" w14:textId="77777777" w:rsidR="00027B83" w:rsidRPr="00F956F6" w:rsidRDefault="00027B83">
            <w:pPr>
              <w:rPr>
                <w:rFonts w:ascii="Verdana" w:hAnsi="Verdana"/>
                <w:kern w:val="2"/>
                <w:sz w:val="20"/>
              </w:rPr>
            </w:pPr>
          </w:p>
          <w:p w14:paraId="526D0274" w14:textId="44E000B4" w:rsidR="00027B83" w:rsidRPr="00F956F6" w:rsidRDefault="00964AB9" w:rsidP="00C810CC">
            <w:pPr>
              <w:jc w:val="both"/>
              <w:rPr>
                <w:rFonts w:ascii="Verdana" w:hAnsi="Verdana"/>
                <w:kern w:val="2"/>
                <w:sz w:val="20"/>
              </w:rPr>
            </w:pPr>
            <w:bookmarkStart w:id="1" w:name="_Hlk187915430"/>
            <w:r>
              <w:rPr>
                <w:rFonts w:ascii="Verdana" w:hAnsi="Verdana"/>
                <w:kern w:val="2"/>
                <w:sz w:val="20"/>
              </w:rPr>
              <w:t>Ne</w:t>
            </w:r>
            <w:r w:rsidR="00D76C7F">
              <w:rPr>
                <w:rFonts w:ascii="Verdana" w:hAnsi="Verdana"/>
                <w:kern w:val="2"/>
                <w:sz w:val="20"/>
              </w:rPr>
              <w:t>taikoma</w:t>
            </w:r>
          </w:p>
          <w:bookmarkEnd w:id="1"/>
          <w:p w14:paraId="2E04CCDC" w14:textId="582512F0" w:rsidR="00027B83" w:rsidRPr="00F956F6" w:rsidRDefault="00027B83">
            <w:pPr>
              <w:rPr>
                <w:rFonts w:ascii="Verdana" w:hAnsi="Verdana"/>
                <w:kern w:val="2"/>
                <w:sz w:val="20"/>
              </w:rPr>
            </w:pPr>
          </w:p>
        </w:tc>
      </w:tr>
      <w:tr w:rsidR="00027B83" w14:paraId="7C9C6097" w14:textId="77777777" w:rsidTr="0AEB5649">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0AEB5649">
        <w:trPr>
          <w:trHeight w:val="300"/>
        </w:trPr>
        <w:tc>
          <w:tcPr>
            <w:tcW w:w="3094" w:type="dxa"/>
            <w:gridSpan w:val="2"/>
          </w:tcPr>
          <w:p w14:paraId="6E71ED7B" w14:textId="33A3CC61" w:rsidR="00027B83" w:rsidRPr="00D12E5F" w:rsidRDefault="000B0897">
            <w:pPr>
              <w:rPr>
                <w:rFonts w:ascii="Verdana" w:hAnsi="Verdana"/>
                <w:b/>
                <w:sz w:val="20"/>
              </w:rPr>
            </w:pPr>
            <w:r w:rsidRPr="00D12E5F">
              <w:rPr>
                <w:rFonts w:ascii="Verdana" w:hAnsi="Verdana"/>
                <w:b/>
                <w:kern w:val="2"/>
                <w:sz w:val="20"/>
              </w:rPr>
              <w:t xml:space="preserve">4.1. </w:t>
            </w:r>
            <w:r w:rsidR="00761366" w:rsidRPr="00761366">
              <w:rPr>
                <w:rFonts w:ascii="Verdana" w:hAnsi="Verdana"/>
                <w:b/>
                <w:sz w:val="20"/>
              </w:rPr>
              <w:t>Paslaugų suteikimo terminas, kai Paslaugos yra vienkartinio pobūdžio, teikiamos periodiškai arba pagal Pirkėjo Užsakymą</w:t>
            </w:r>
          </w:p>
        </w:tc>
        <w:tc>
          <w:tcPr>
            <w:tcW w:w="6441" w:type="dxa"/>
            <w:gridSpan w:val="2"/>
          </w:tcPr>
          <w:p w14:paraId="4E9FDEAF" w14:textId="16BDD6D2" w:rsidR="00027B83" w:rsidRPr="00DF46A7" w:rsidRDefault="009F44D7" w:rsidP="004E772A">
            <w:pPr>
              <w:jc w:val="both"/>
              <w:rPr>
                <w:rFonts w:ascii="Verdana" w:hAnsi="Verdana"/>
                <w:kern w:val="2"/>
                <w:sz w:val="20"/>
                <w:lang w:val="en-US"/>
              </w:rPr>
            </w:pPr>
            <w:r w:rsidRPr="009F44D7">
              <w:rPr>
                <w:rFonts w:ascii="Verdana" w:hAnsi="Verdana"/>
                <w:kern w:val="2"/>
                <w:sz w:val="20"/>
              </w:rPr>
              <w:t xml:space="preserve">Visos Paslaugos </w:t>
            </w:r>
            <w:r w:rsidR="00EB05C5">
              <w:rPr>
                <w:rFonts w:ascii="Verdana" w:hAnsi="Verdana"/>
                <w:kern w:val="2"/>
                <w:sz w:val="20"/>
              </w:rPr>
              <w:t>teikiamos 9 mėn</w:t>
            </w:r>
            <w:r w:rsidR="000A3449">
              <w:rPr>
                <w:rFonts w:ascii="Verdana" w:hAnsi="Verdana"/>
                <w:kern w:val="2"/>
                <w:sz w:val="20"/>
              </w:rPr>
              <w:t>.</w:t>
            </w:r>
            <w:r w:rsidR="00EB05C5">
              <w:rPr>
                <w:rFonts w:ascii="Verdana" w:hAnsi="Verdana"/>
                <w:kern w:val="2"/>
                <w:sz w:val="20"/>
              </w:rPr>
              <w:t xml:space="preserve"> nuo sutarties sudarymo dienos</w:t>
            </w:r>
            <w:r w:rsidRPr="009F44D7">
              <w:rPr>
                <w:rFonts w:ascii="Verdana" w:hAnsi="Verdana"/>
                <w:kern w:val="2"/>
                <w:sz w:val="20"/>
              </w:rPr>
              <w:t xml:space="preserve">. </w:t>
            </w:r>
          </w:p>
        </w:tc>
      </w:tr>
      <w:tr w:rsidR="00027B83" w14:paraId="5B5F7CC9" w14:textId="77777777" w:rsidTr="0AEB5649">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5C698F62" w14:textId="77777777" w:rsidR="00E8095E" w:rsidRPr="00E8095E" w:rsidRDefault="00E8095E" w:rsidP="00E8095E">
            <w:pPr>
              <w:pStyle w:val="ListParagraph"/>
              <w:tabs>
                <w:tab w:val="left" w:pos="567"/>
                <w:tab w:val="left" w:pos="1134"/>
              </w:tabs>
              <w:ind w:left="0"/>
              <w:jc w:val="both"/>
              <w:rPr>
                <w:rFonts w:ascii="Verdana" w:hAnsi="Verdana"/>
                <w:sz w:val="20"/>
              </w:rPr>
            </w:pPr>
            <w:r w:rsidRPr="00E8095E">
              <w:rPr>
                <w:rFonts w:ascii="Verdana" w:hAnsi="Verdana"/>
                <w:sz w:val="20"/>
              </w:rPr>
              <w:t>Netaikoma</w:t>
            </w:r>
          </w:p>
          <w:p w14:paraId="6654B98E" w14:textId="1CD96E4F" w:rsidR="00027B83" w:rsidRPr="00571958" w:rsidRDefault="00027B83" w:rsidP="00E8095E">
            <w:pPr>
              <w:pStyle w:val="ListParagraph"/>
              <w:ind w:left="0"/>
              <w:jc w:val="both"/>
              <w:rPr>
                <w:rFonts w:ascii="Verdana" w:hAnsi="Verdana"/>
                <w:sz w:val="20"/>
              </w:rPr>
            </w:pPr>
          </w:p>
        </w:tc>
      </w:tr>
      <w:tr w:rsidR="00027B83" w14:paraId="15E89759" w14:textId="77777777" w:rsidTr="0AEB5649">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0D639131" w14:textId="49073EE2" w:rsidR="00B246C3" w:rsidRPr="00B246C3" w:rsidRDefault="00B246C3" w:rsidP="00B246C3">
            <w:pPr>
              <w:jc w:val="both"/>
              <w:rPr>
                <w:rFonts w:ascii="Verdana" w:hAnsi="Verdana"/>
                <w:color w:val="000000" w:themeColor="text1"/>
                <w:kern w:val="2"/>
                <w:sz w:val="20"/>
              </w:rPr>
            </w:pPr>
            <w:r w:rsidRPr="00B246C3">
              <w:rPr>
                <w:rFonts w:ascii="Verdana" w:hAnsi="Verdana"/>
                <w:color w:val="000000" w:themeColor="text1"/>
                <w:kern w:val="2"/>
                <w:sz w:val="20"/>
              </w:rPr>
              <w:t>Raštiškos ekspertinės išvados ir žodinės išvados pateikimo terminai:</w:t>
            </w:r>
          </w:p>
          <w:p w14:paraId="3FC5AEE9" w14:textId="77777777" w:rsidR="00B246C3" w:rsidRPr="00B246C3" w:rsidRDefault="00B246C3" w:rsidP="00B246C3">
            <w:pPr>
              <w:jc w:val="both"/>
              <w:rPr>
                <w:rFonts w:ascii="Verdana" w:hAnsi="Verdana"/>
                <w:color w:val="000000" w:themeColor="text1"/>
                <w:kern w:val="2"/>
                <w:sz w:val="20"/>
              </w:rPr>
            </w:pPr>
            <w:r w:rsidRPr="00B246C3">
              <w:rPr>
                <w:rFonts w:ascii="Verdana" w:hAnsi="Verdana"/>
                <w:color w:val="000000" w:themeColor="text1"/>
                <w:kern w:val="2"/>
                <w:sz w:val="20"/>
              </w:rPr>
              <w:t>-</w:t>
            </w:r>
            <w:r w:rsidRPr="00B246C3">
              <w:rPr>
                <w:rFonts w:ascii="Verdana" w:hAnsi="Verdana"/>
                <w:color w:val="000000" w:themeColor="text1"/>
                <w:kern w:val="2"/>
                <w:sz w:val="20"/>
              </w:rPr>
              <w:tab/>
              <w:t>Kai ekspertui priskirta vertinti iki 5 paraiškų vienu metu - per 7 darbo dienų laikotarpį;</w:t>
            </w:r>
          </w:p>
          <w:p w14:paraId="1DD3FDA2" w14:textId="77777777" w:rsidR="00B246C3" w:rsidRPr="00B246C3" w:rsidRDefault="00B246C3" w:rsidP="00B246C3">
            <w:pPr>
              <w:jc w:val="both"/>
              <w:rPr>
                <w:rFonts w:ascii="Verdana" w:hAnsi="Verdana"/>
                <w:color w:val="000000" w:themeColor="text1"/>
                <w:kern w:val="2"/>
                <w:sz w:val="20"/>
              </w:rPr>
            </w:pPr>
            <w:r w:rsidRPr="00B246C3">
              <w:rPr>
                <w:rFonts w:ascii="Verdana" w:hAnsi="Verdana"/>
                <w:color w:val="000000" w:themeColor="text1"/>
                <w:kern w:val="2"/>
                <w:sz w:val="20"/>
              </w:rPr>
              <w:t>-</w:t>
            </w:r>
            <w:r w:rsidRPr="00B246C3">
              <w:rPr>
                <w:rFonts w:ascii="Verdana" w:hAnsi="Verdana"/>
                <w:color w:val="000000" w:themeColor="text1"/>
                <w:kern w:val="2"/>
                <w:sz w:val="20"/>
              </w:rPr>
              <w:tab/>
              <w:t>Kai ekspertui priskirta vertinti nuo 6 iki 15 paraiškų vienu metu – per 12 darbo dienų laikotarpį;</w:t>
            </w:r>
          </w:p>
          <w:p w14:paraId="68B5F349" w14:textId="77777777" w:rsidR="00B246C3" w:rsidRPr="00B246C3" w:rsidRDefault="00B246C3" w:rsidP="00B246C3">
            <w:pPr>
              <w:jc w:val="both"/>
              <w:rPr>
                <w:rFonts w:ascii="Verdana" w:hAnsi="Verdana"/>
                <w:color w:val="000000" w:themeColor="text1"/>
                <w:kern w:val="2"/>
                <w:sz w:val="20"/>
              </w:rPr>
            </w:pPr>
            <w:r w:rsidRPr="00B246C3">
              <w:rPr>
                <w:rFonts w:ascii="Verdana" w:hAnsi="Verdana"/>
                <w:color w:val="000000" w:themeColor="text1"/>
                <w:kern w:val="2"/>
                <w:sz w:val="20"/>
              </w:rPr>
              <w:t>-</w:t>
            </w:r>
            <w:r w:rsidRPr="00B246C3">
              <w:rPr>
                <w:rFonts w:ascii="Verdana" w:hAnsi="Verdana"/>
                <w:color w:val="000000" w:themeColor="text1"/>
                <w:kern w:val="2"/>
                <w:sz w:val="20"/>
              </w:rPr>
              <w:tab/>
              <w:t>Kai ekspertui priskirta vertinti nuo 16 iki 25 paraiškų vienu metu – per 17 darbo dienų laikotarpį;</w:t>
            </w:r>
          </w:p>
          <w:p w14:paraId="274323A5" w14:textId="77777777" w:rsidR="00B246C3" w:rsidRPr="00B246C3" w:rsidRDefault="00B246C3" w:rsidP="00B246C3">
            <w:pPr>
              <w:jc w:val="both"/>
              <w:rPr>
                <w:rFonts w:ascii="Verdana" w:hAnsi="Verdana"/>
                <w:color w:val="000000" w:themeColor="text1"/>
                <w:kern w:val="2"/>
                <w:sz w:val="20"/>
              </w:rPr>
            </w:pPr>
            <w:r w:rsidRPr="00B246C3">
              <w:rPr>
                <w:rFonts w:ascii="Verdana" w:hAnsi="Verdana"/>
                <w:color w:val="000000" w:themeColor="text1"/>
                <w:kern w:val="2"/>
                <w:sz w:val="20"/>
              </w:rPr>
              <w:t>-</w:t>
            </w:r>
            <w:r w:rsidRPr="00B246C3">
              <w:rPr>
                <w:rFonts w:ascii="Verdana" w:hAnsi="Verdana"/>
                <w:color w:val="000000" w:themeColor="text1"/>
                <w:kern w:val="2"/>
                <w:sz w:val="20"/>
              </w:rPr>
              <w:tab/>
              <w:t xml:space="preserve">Ir t.t. </w:t>
            </w:r>
          </w:p>
          <w:p w14:paraId="7DC8A82C" w14:textId="37BB9D17" w:rsidR="00027B83" w:rsidRPr="00BB641E" w:rsidRDefault="54D7D863" w:rsidP="528F31EE">
            <w:pPr>
              <w:jc w:val="both"/>
              <w:rPr>
                <w:rFonts w:ascii="Verdana" w:hAnsi="Verdana"/>
                <w:sz w:val="20"/>
              </w:rPr>
            </w:pPr>
            <w:r w:rsidRPr="528F31EE">
              <w:rPr>
                <w:rFonts w:ascii="Verdana" w:hAnsi="Verdana"/>
                <w:color w:val="000000" w:themeColor="text1"/>
                <w:kern w:val="2"/>
                <w:sz w:val="20"/>
              </w:rPr>
              <w:t>Terminas skaičiuojamas nuo konkrečios paraiškos dokumentų pateikimo ekspertui dienos. Į terminą neįskaitomas laikas, kai pateikti eksperto klausimai ir laukiama pareiškėjo atsakymo. Jeigu paaiškėja naujos aplinkybės, papildoma informacija, ar perkančioji organizacija turi raštiškų pastabų eksperto išvados kokybei, išsamumui, pagrindimui, išvada turi būti tikslinama per ne ilgesnį nei 3 darbo dienų terminą nuo visos medžiagos ekspertui persiuntimo</w:t>
            </w:r>
            <w:r w:rsidR="63F7BA89" w:rsidRPr="528F31EE">
              <w:rPr>
                <w:rFonts w:ascii="Verdana" w:hAnsi="Verdana"/>
                <w:color w:val="000000" w:themeColor="text1"/>
                <w:kern w:val="2"/>
                <w:sz w:val="20"/>
              </w:rPr>
              <w:t>.</w:t>
            </w:r>
          </w:p>
        </w:tc>
      </w:tr>
      <w:tr w:rsidR="00027B83" w14:paraId="3E6CE7DB" w14:textId="77777777" w:rsidTr="0AEB5649">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31874E81" w14:textId="77777777" w:rsidR="00027B83" w:rsidRPr="00BB641E" w:rsidRDefault="00027B83">
            <w:pPr>
              <w:rPr>
                <w:rFonts w:ascii="Verdana" w:hAnsi="Verdana"/>
                <w:kern w:val="2"/>
                <w:sz w:val="20"/>
              </w:rPr>
            </w:pPr>
          </w:p>
          <w:p w14:paraId="27CB5447" w14:textId="5172DF1C" w:rsidR="00027B83" w:rsidRPr="00BB641E" w:rsidRDefault="00027B83">
            <w:pPr>
              <w:rPr>
                <w:rFonts w:ascii="Verdana" w:hAnsi="Verdana"/>
                <w:sz w:val="20"/>
              </w:rPr>
            </w:pPr>
          </w:p>
        </w:tc>
      </w:tr>
      <w:tr w:rsidR="00027B83" w14:paraId="398F0E17" w14:textId="77777777" w:rsidTr="0AEB5649">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06DF24AF" w14:textId="7BEEF98C" w:rsidR="00F4022D" w:rsidRPr="005D00D4" w:rsidRDefault="000B0897" w:rsidP="004E772A">
            <w:pPr>
              <w:jc w:val="both"/>
              <w:rPr>
                <w:rFonts w:ascii="Verdana" w:hAnsi="Verdana"/>
                <w:color w:val="000000" w:themeColor="text1"/>
                <w:kern w:val="2"/>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w:t>
            </w:r>
            <w:r w:rsidR="00752200" w:rsidRPr="27D4A0B6">
              <w:rPr>
                <w:rFonts w:ascii="Verdana" w:hAnsi="Verdana"/>
                <w:color w:val="000000" w:themeColor="text1"/>
                <w:kern w:val="2"/>
                <w:sz w:val="20"/>
              </w:rPr>
              <w:t>pateikiama Sąskaita</w:t>
            </w:r>
            <w:r w:rsidR="0045171A">
              <w:rPr>
                <w:rFonts w:ascii="Verdana" w:hAnsi="Verdana"/>
                <w:color w:val="000000" w:themeColor="text1"/>
                <w:kern w:val="2"/>
                <w:sz w:val="20"/>
              </w:rPr>
              <w:t>, kuri</w:t>
            </w:r>
            <w:r w:rsidR="00EB32CB">
              <w:rPr>
                <w:rFonts w:ascii="Verdana" w:hAnsi="Verdana"/>
                <w:color w:val="000000" w:themeColor="text1"/>
                <w:kern w:val="2"/>
                <w:sz w:val="20"/>
              </w:rPr>
              <w:t xml:space="preserve"> yra laikoma </w:t>
            </w:r>
            <w:r w:rsidR="006B3322" w:rsidRPr="00BB641E">
              <w:rPr>
                <w:rFonts w:ascii="Verdana" w:hAnsi="Verdana"/>
                <w:color w:val="000000" w:themeColor="text1"/>
                <w:kern w:val="2"/>
                <w:sz w:val="20"/>
              </w:rPr>
              <w:t xml:space="preserve">Paslaugų suteikimo </w:t>
            </w:r>
            <w:r w:rsidR="00E878EF" w:rsidRPr="00E878EF">
              <w:rPr>
                <w:rFonts w:ascii="Verdana" w:hAnsi="Verdana"/>
                <w:color w:val="000000" w:themeColor="text1"/>
                <w:kern w:val="2"/>
                <w:sz w:val="20"/>
              </w:rPr>
              <w:t>perdavimu-priėmimo faktu</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w:t>
            </w:r>
            <w:r w:rsidR="0045171A">
              <w:rPr>
                <w:rFonts w:ascii="Verdana" w:hAnsi="Verdana"/>
                <w:color w:val="000000" w:themeColor="text1"/>
                <w:kern w:val="2"/>
                <w:sz w:val="20"/>
              </w:rPr>
              <w:t>o</w:t>
            </w:r>
            <w:r w:rsidRPr="00BB641E">
              <w:rPr>
                <w:rFonts w:ascii="Verdana" w:hAnsi="Verdana"/>
                <w:color w:val="000000" w:themeColor="text1"/>
                <w:kern w:val="2"/>
                <w:sz w:val="20"/>
              </w:rPr>
              <w:t xml:space="preserve"> dokument</w:t>
            </w:r>
            <w:r w:rsidR="0045171A">
              <w:rPr>
                <w:rFonts w:ascii="Verdana" w:hAnsi="Verdana"/>
                <w:color w:val="000000" w:themeColor="text1"/>
                <w:kern w:val="2"/>
                <w:sz w:val="20"/>
              </w:rPr>
              <w:t>o</w:t>
            </w:r>
            <w:r w:rsidRPr="00BB641E">
              <w:rPr>
                <w:rFonts w:ascii="Verdana" w:hAnsi="Verdana"/>
                <w:color w:val="000000" w:themeColor="text1"/>
                <w:kern w:val="2"/>
                <w:sz w:val="20"/>
              </w:rPr>
              <w:t>, laikoma, kad Paslaugos neatitinka Sutartyje nustatytų reikalavimų.</w:t>
            </w:r>
          </w:p>
        </w:tc>
      </w:tr>
      <w:tr w:rsidR="00027B83" w14:paraId="1871F20F" w14:textId="77777777" w:rsidTr="0AEB5649">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027B83" w14:paraId="5B587C6D" w14:textId="77777777" w:rsidTr="0AEB5649">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3C1DB93F" w14:textId="27E6C1A0" w:rsidR="00027B83" w:rsidRPr="00A266C2" w:rsidRDefault="00903898" w:rsidP="3CE0449C">
            <w:pPr>
              <w:jc w:val="both"/>
              <w:rPr>
                <w:rFonts w:ascii="Verdana" w:hAnsi="Verdana"/>
                <w:color w:val="000000" w:themeColor="text1"/>
                <w:kern w:val="2"/>
                <w:sz w:val="20"/>
              </w:rPr>
            </w:pPr>
            <w:r w:rsidRPr="00903898">
              <w:rPr>
                <w:rFonts w:ascii="Verdana" w:hAnsi="Verdana"/>
                <w:color w:val="000000" w:themeColor="text1"/>
                <w:kern w:val="2"/>
                <w:sz w:val="20"/>
              </w:rPr>
              <w:t>Fiksuotos</w:t>
            </w:r>
            <w:r w:rsidR="001D3AEC">
              <w:rPr>
                <w:rFonts w:ascii="Verdana" w:hAnsi="Verdana"/>
                <w:color w:val="000000" w:themeColor="text1"/>
                <w:kern w:val="2"/>
                <w:sz w:val="20"/>
              </w:rPr>
              <w:t xml:space="preserve"> įkainio</w:t>
            </w:r>
            <w:r w:rsidRPr="00903898">
              <w:rPr>
                <w:rFonts w:ascii="Verdana" w:hAnsi="Verdana"/>
                <w:color w:val="000000" w:themeColor="text1"/>
                <w:kern w:val="2"/>
                <w:sz w:val="20"/>
              </w:rPr>
              <w:t xml:space="preserve"> kainodara</w:t>
            </w:r>
          </w:p>
        </w:tc>
      </w:tr>
      <w:tr w:rsidR="00027B83" w14:paraId="2C579568" w14:textId="77777777" w:rsidTr="0AEB5649">
        <w:trPr>
          <w:trHeight w:val="300"/>
        </w:trPr>
        <w:tc>
          <w:tcPr>
            <w:tcW w:w="3094" w:type="dxa"/>
            <w:gridSpan w:val="2"/>
          </w:tcPr>
          <w:p w14:paraId="544727E7" w14:textId="71BB2725" w:rsidR="00F45675" w:rsidRPr="00F45675" w:rsidRDefault="00F45675" w:rsidP="00F45675">
            <w:pPr>
              <w:rPr>
                <w:rFonts w:ascii="Verdana" w:hAnsi="Verdana"/>
                <w:b/>
                <w:kern w:val="2"/>
                <w:sz w:val="20"/>
              </w:rPr>
            </w:pPr>
            <w:r w:rsidRPr="00F45675">
              <w:rPr>
                <w:rFonts w:ascii="Verdana" w:hAnsi="Verdana"/>
                <w:b/>
                <w:kern w:val="2"/>
                <w:sz w:val="20"/>
              </w:rPr>
              <w:t xml:space="preserve">5.2. Pradinės Sutarties vertė ir Sutarties kaina, </w:t>
            </w:r>
            <w:r w:rsidRPr="00F45675">
              <w:rPr>
                <w:rFonts w:ascii="Verdana" w:hAnsi="Verdana"/>
                <w:b/>
                <w:kern w:val="2"/>
                <w:sz w:val="20"/>
              </w:rPr>
              <w:lastRenderedPageBreak/>
              <w:t xml:space="preserve">kai taikoma </w:t>
            </w:r>
            <w:r w:rsidR="00A52A88" w:rsidRPr="00A52A88">
              <w:rPr>
                <w:rFonts w:ascii="Verdana" w:hAnsi="Verdana"/>
                <w:b/>
                <w:bCs/>
                <w:kern w:val="2"/>
                <w:sz w:val="20"/>
                <w:u w:val="single"/>
              </w:rPr>
              <w:t>fiksuoto</w:t>
            </w:r>
            <w:r w:rsidR="001D3AEC">
              <w:rPr>
                <w:rFonts w:ascii="Verdana" w:hAnsi="Verdana"/>
                <w:b/>
                <w:bCs/>
                <w:kern w:val="2"/>
                <w:sz w:val="20"/>
                <w:u w:val="single"/>
              </w:rPr>
              <w:t xml:space="preserve"> įkainio </w:t>
            </w:r>
            <w:r w:rsidRPr="00F45675">
              <w:rPr>
                <w:rFonts w:ascii="Verdana" w:hAnsi="Verdana"/>
                <w:b/>
                <w:kern w:val="2"/>
                <w:sz w:val="20"/>
              </w:rPr>
              <w:t>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71124A2B" w14:textId="5675CDB7" w:rsidR="009E4A89" w:rsidRPr="009E4A89" w:rsidRDefault="009E4A89" w:rsidP="009E4A89">
            <w:pPr>
              <w:jc w:val="both"/>
              <w:rPr>
                <w:rFonts w:ascii="Verdana" w:hAnsi="Verdana"/>
                <w:kern w:val="2"/>
                <w:sz w:val="20"/>
              </w:rPr>
            </w:pPr>
            <w:r w:rsidRPr="009E4A89">
              <w:rPr>
                <w:rFonts w:ascii="Verdana" w:hAnsi="Verdana"/>
                <w:kern w:val="2"/>
                <w:sz w:val="20"/>
              </w:rPr>
              <w:lastRenderedPageBreak/>
              <w:t xml:space="preserve">Pradinės Sutarties vertė yra </w:t>
            </w:r>
            <w:r>
              <w:rPr>
                <w:rFonts w:ascii="Verdana" w:hAnsi="Verdana"/>
                <w:kern w:val="2"/>
                <w:sz w:val="20"/>
              </w:rPr>
              <w:t xml:space="preserve">    </w:t>
            </w:r>
            <w:r w:rsidRPr="009E4A89">
              <w:rPr>
                <w:rFonts w:ascii="Verdana" w:hAnsi="Verdana"/>
                <w:kern w:val="2"/>
                <w:sz w:val="20"/>
              </w:rPr>
              <w:t xml:space="preserve"> Eur  be PVM. </w:t>
            </w:r>
          </w:p>
          <w:p w14:paraId="65B450F9" w14:textId="77777777" w:rsidR="009E4A89" w:rsidRPr="009E4A89" w:rsidRDefault="009E4A89" w:rsidP="009E4A89">
            <w:pPr>
              <w:jc w:val="both"/>
              <w:rPr>
                <w:rFonts w:ascii="Verdana" w:hAnsi="Verdana"/>
                <w:kern w:val="2"/>
                <w:sz w:val="20"/>
              </w:rPr>
            </w:pPr>
          </w:p>
          <w:p w14:paraId="51935C50" w14:textId="77777777" w:rsidR="009E4A89" w:rsidRPr="009E4A89" w:rsidRDefault="009E4A89" w:rsidP="009E4A89">
            <w:pPr>
              <w:jc w:val="both"/>
              <w:rPr>
                <w:rFonts w:ascii="Verdana" w:hAnsi="Verdana"/>
                <w:kern w:val="2"/>
                <w:sz w:val="20"/>
              </w:rPr>
            </w:pPr>
            <w:r w:rsidRPr="009E4A89">
              <w:rPr>
                <w:rFonts w:ascii="Verdana" w:hAnsi="Verdana"/>
                <w:kern w:val="2"/>
                <w:sz w:val="20"/>
              </w:rPr>
              <w:t xml:space="preserve">21 proc. PVM sudaro ............... </w:t>
            </w:r>
          </w:p>
          <w:p w14:paraId="1D494C92" w14:textId="77777777" w:rsidR="009E4A89" w:rsidRPr="009E4A89" w:rsidRDefault="009E4A89" w:rsidP="009E4A89">
            <w:pPr>
              <w:jc w:val="both"/>
              <w:rPr>
                <w:rFonts w:ascii="Verdana" w:hAnsi="Verdana"/>
                <w:kern w:val="2"/>
                <w:sz w:val="20"/>
              </w:rPr>
            </w:pPr>
          </w:p>
          <w:p w14:paraId="200B38E9" w14:textId="77777777" w:rsidR="009E4A89" w:rsidRPr="009E4A89" w:rsidRDefault="009E4A89" w:rsidP="009E4A89">
            <w:pPr>
              <w:jc w:val="both"/>
              <w:rPr>
                <w:rFonts w:ascii="Verdana" w:hAnsi="Verdana"/>
                <w:kern w:val="2"/>
                <w:sz w:val="20"/>
              </w:rPr>
            </w:pPr>
            <w:r w:rsidRPr="009E4A89">
              <w:rPr>
                <w:rFonts w:ascii="Verdana" w:hAnsi="Verdana"/>
                <w:kern w:val="2"/>
                <w:sz w:val="20"/>
              </w:rPr>
              <w:t xml:space="preserve">Sutarties kaina yra ........................ su PVM. </w:t>
            </w:r>
          </w:p>
          <w:p w14:paraId="527B64E3" w14:textId="7F6903C2" w:rsidR="009E4A89" w:rsidRPr="009E4A89" w:rsidRDefault="009E4A89" w:rsidP="009E4A89">
            <w:pPr>
              <w:jc w:val="both"/>
              <w:rPr>
                <w:rFonts w:ascii="Verdana" w:hAnsi="Verdana"/>
                <w:kern w:val="2"/>
                <w:sz w:val="20"/>
              </w:rPr>
            </w:pPr>
            <w:r w:rsidRPr="009E4A89">
              <w:rPr>
                <w:rFonts w:ascii="Verdana" w:hAnsi="Verdana"/>
                <w:kern w:val="2"/>
                <w:sz w:val="20"/>
              </w:rPr>
              <w:t xml:space="preserve"> </w:t>
            </w:r>
          </w:p>
          <w:p w14:paraId="427F6522" w14:textId="62DA3FCA" w:rsidR="00541DF1" w:rsidRPr="00BB641E" w:rsidRDefault="009E4A89" w:rsidP="009E4A89">
            <w:pPr>
              <w:jc w:val="both"/>
              <w:rPr>
                <w:rFonts w:ascii="Verdana" w:hAnsi="Verdana"/>
                <w:kern w:val="2"/>
                <w:sz w:val="20"/>
              </w:rPr>
            </w:pPr>
            <w:r w:rsidRPr="009E4A89">
              <w:rPr>
                <w:rFonts w:ascii="Verdana" w:hAnsi="Verdana"/>
                <w:kern w:val="2"/>
                <w:sz w:val="20"/>
              </w:rPr>
              <w:t>Fiksuoto įkainio kainodara: Paslaugos įsigyjamos Tiekėjo pasiūlyme nurodytais įkainiais be PVM. Pirkėjas perka Paslaugas pagal poreikį Sutartyje ir jos priede Nr. 2 nurodytais įkainiais.  Į fiksuotus įkainius įskaičiuoti visi Tiekėjui privalomi mokėti mokesčiai ir kitos su Sutarties įgyvendinimu susijusios išlaidos, įskaitant už atsiskaitymus informacinės sistemos SABIS priemonėmis.</w:t>
            </w:r>
          </w:p>
        </w:tc>
      </w:tr>
      <w:tr w:rsidR="00027B83" w14:paraId="2DE649CC" w14:textId="77777777" w:rsidTr="0AEB5649">
        <w:trPr>
          <w:trHeight w:val="900"/>
        </w:trPr>
        <w:tc>
          <w:tcPr>
            <w:tcW w:w="3094" w:type="dxa"/>
            <w:gridSpan w:val="2"/>
          </w:tcPr>
          <w:p w14:paraId="19EB0E40" w14:textId="2D5B0D75"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lastRenderedPageBreak/>
              <w:t xml:space="preserve">5.3. Sutarties kainos / įkainių perskaičiavimas taikant </w:t>
            </w:r>
            <w:r w:rsidRPr="3CE0449C">
              <w:rPr>
                <w:rFonts w:ascii="Verdana" w:eastAsia="Verdana" w:hAnsi="Verdana" w:cs="Verdana"/>
                <w:b/>
                <w:bCs/>
                <w:kern w:val="2"/>
                <w:sz w:val="20"/>
                <w:u w:val="single"/>
              </w:rPr>
              <w:t>peržiūros</w:t>
            </w:r>
            <w:r w:rsidRPr="3CE0449C">
              <w:rPr>
                <w:rFonts w:ascii="Verdana" w:eastAsia="Verdana" w:hAnsi="Verdana" w:cs="Verdana"/>
                <w:b/>
                <w:bCs/>
                <w:kern w:val="2"/>
                <w:sz w:val="20"/>
              </w:rPr>
              <w:t xml:space="preserve"> taisykles</w:t>
            </w:r>
          </w:p>
        </w:tc>
        <w:tc>
          <w:tcPr>
            <w:tcW w:w="6441" w:type="dxa"/>
            <w:gridSpan w:val="2"/>
          </w:tcPr>
          <w:p w14:paraId="0A83AC0F" w14:textId="77777777" w:rsidR="00543A69" w:rsidRPr="00BB641E" w:rsidRDefault="00543A69" w:rsidP="00543A69">
            <w:pPr>
              <w:rPr>
                <w:rFonts w:ascii="Verdana" w:eastAsia="Verdana" w:hAnsi="Verdana" w:cs="Verdana"/>
                <w:color w:val="000000" w:themeColor="text1"/>
                <w:sz w:val="20"/>
              </w:rPr>
            </w:pPr>
            <w:r w:rsidRPr="3CE0449C">
              <w:rPr>
                <w:rFonts w:ascii="Verdana" w:eastAsia="Verdana" w:hAnsi="Verdana" w:cs="Verdana"/>
                <w:color w:val="000000" w:themeColor="text1"/>
                <w:kern w:val="2"/>
                <w:sz w:val="20"/>
              </w:rPr>
              <w:t>Sutarties kaina bus perskaičiuojama:</w:t>
            </w:r>
          </w:p>
          <w:p w14:paraId="786C5EF6" w14:textId="77777777" w:rsidR="00543A69" w:rsidRPr="00BB641E" w:rsidRDefault="00543A69" w:rsidP="00543A69">
            <w:pPr>
              <w:rPr>
                <w:rFonts w:ascii="Verdana" w:eastAsia="Verdana" w:hAnsi="Verdana" w:cs="Verdana"/>
                <w:color w:val="000000" w:themeColor="text1"/>
                <w:kern w:val="2"/>
                <w:sz w:val="20"/>
              </w:rPr>
            </w:pPr>
            <w:r w:rsidRPr="3CE0449C">
              <w:rPr>
                <w:rFonts w:ascii="Verdana" w:eastAsia="Verdana" w:hAnsi="Verdana" w:cs="Verdana"/>
                <w:color w:val="000000" w:themeColor="text1"/>
                <w:kern w:val="2"/>
                <w:sz w:val="20"/>
              </w:rPr>
              <w:t>5.3.1. dėl PVM tarifo pasikeitimo;</w:t>
            </w:r>
          </w:p>
          <w:p w14:paraId="7BACC3F3" w14:textId="70840750" w:rsidR="00027B83" w:rsidRPr="00BB641E" w:rsidRDefault="00543A69" w:rsidP="00543A69">
            <w:pPr>
              <w:rPr>
                <w:rFonts w:ascii="Verdana" w:eastAsia="Verdana" w:hAnsi="Verdana" w:cs="Verdana"/>
                <w:kern w:val="2"/>
                <w:sz w:val="20"/>
              </w:rPr>
            </w:pPr>
            <w:r w:rsidRPr="3CE0449C">
              <w:rPr>
                <w:rFonts w:ascii="Verdana" w:eastAsia="Verdana" w:hAnsi="Verdana" w:cs="Verdana"/>
                <w:color w:val="000000" w:themeColor="text1"/>
                <w:kern w:val="2"/>
                <w:sz w:val="20"/>
              </w:rPr>
              <w:t>5.3.2. dėl kainų lygio pokyčio</w:t>
            </w:r>
            <w:r>
              <w:rPr>
                <w:rFonts w:ascii="Verdana" w:eastAsia="Verdana" w:hAnsi="Verdana" w:cs="Verdana"/>
                <w:color w:val="000000" w:themeColor="text1"/>
                <w:kern w:val="2"/>
                <w:sz w:val="20"/>
              </w:rPr>
              <w:t>.</w:t>
            </w:r>
          </w:p>
        </w:tc>
      </w:tr>
      <w:tr w:rsidR="00027B83" w14:paraId="07D3F736" w14:textId="77777777" w:rsidTr="0AEB5649">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EED8360"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Sutarties kaina perskaičiuojam</w:t>
            </w:r>
            <w:r w:rsidR="0009530A">
              <w:rPr>
                <w:rFonts w:ascii="Verdana" w:hAnsi="Verdana"/>
                <w:kern w:val="2"/>
                <w:sz w:val="20"/>
              </w:rPr>
              <w:t>a</w:t>
            </w:r>
            <w:r w:rsidRPr="00BB641E">
              <w:rPr>
                <w:rFonts w:ascii="Verdana" w:hAnsi="Verdana"/>
                <w:kern w:val="2"/>
                <w:sz w:val="20"/>
              </w:rPr>
              <w:t xml:space="preserve"> nekeičiant P</w:t>
            </w:r>
            <w:r w:rsidRPr="00BB641E">
              <w:rPr>
                <w:rFonts w:ascii="Verdana" w:hAnsi="Verdana"/>
                <w:sz w:val="20"/>
              </w:rPr>
              <w:t>aslaugų</w:t>
            </w:r>
            <w:r w:rsidRPr="00BB641E">
              <w:rPr>
                <w:rFonts w:ascii="Verdana" w:hAnsi="Verdana"/>
                <w:kern w:val="2"/>
                <w:sz w:val="20"/>
              </w:rPr>
              <w:t xml:space="preserve"> kainos be PVM.</w:t>
            </w:r>
          </w:p>
          <w:p w14:paraId="25D93571" w14:textId="77777777" w:rsidR="00027B83" w:rsidRPr="00BB641E" w:rsidRDefault="00027B83" w:rsidP="00BB641E">
            <w:pPr>
              <w:jc w:val="both"/>
              <w:rPr>
                <w:rFonts w:ascii="Verdana" w:hAnsi="Verdana"/>
                <w:kern w:val="2"/>
                <w:sz w:val="20"/>
              </w:rPr>
            </w:pPr>
          </w:p>
          <w:p w14:paraId="79B3F53C" w14:textId="4894E1E1" w:rsidR="00027B83" w:rsidRPr="00BB641E" w:rsidRDefault="000B0897" w:rsidP="00BB641E">
            <w:pPr>
              <w:jc w:val="both"/>
              <w:rPr>
                <w:rFonts w:ascii="Verdana" w:hAnsi="Verdana"/>
                <w:sz w:val="20"/>
              </w:rPr>
            </w:pPr>
            <w:r w:rsidRPr="00BB641E">
              <w:rPr>
                <w:rFonts w:ascii="Verdana" w:hAnsi="Verdana"/>
                <w:kern w:val="2"/>
                <w:sz w:val="20"/>
              </w:rPr>
              <w:t>Perskaičiuota Sutarties kaina įforminama Susitarimu ir turi būti taikoma nuo naujo PVM įvedimo datos (nepriklausomai nuo to, kada pasirašytas Susitarimas).</w:t>
            </w:r>
          </w:p>
        </w:tc>
      </w:tr>
      <w:tr w:rsidR="00027B83" w14:paraId="22F2EB60" w14:textId="77777777" w:rsidTr="0AEB5649">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9A43B5" w14:paraId="1C0AE283" w14:textId="77777777" w:rsidTr="0AEB5649">
        <w:trPr>
          <w:trHeight w:val="300"/>
        </w:trPr>
        <w:tc>
          <w:tcPr>
            <w:tcW w:w="3094" w:type="dxa"/>
            <w:gridSpan w:val="2"/>
          </w:tcPr>
          <w:p w14:paraId="5C3C7413" w14:textId="77777777" w:rsidR="009A43B5" w:rsidRPr="00BB641E" w:rsidRDefault="009A43B5" w:rsidP="009A43B5">
            <w:pPr>
              <w:rPr>
                <w:rFonts w:ascii="Verdana" w:eastAsia="Verdana" w:hAnsi="Verdana" w:cs="Verdana"/>
                <w:b/>
                <w:bCs/>
                <w:kern w:val="2"/>
                <w:sz w:val="20"/>
              </w:rPr>
            </w:pPr>
            <w:r w:rsidRPr="3CE0449C">
              <w:rPr>
                <w:rFonts w:ascii="Verdana" w:eastAsia="Verdana" w:hAnsi="Verdana" w:cs="Verdana"/>
                <w:b/>
                <w:bCs/>
                <w:kern w:val="2"/>
                <w:sz w:val="20"/>
              </w:rPr>
              <w:t>5.3.3. Sutarties kainos / įkainių peržiūra dėl kainų lygio pokyčio</w:t>
            </w:r>
          </w:p>
          <w:p w14:paraId="163DF192" w14:textId="77777777" w:rsidR="009A43B5" w:rsidRPr="00BB641E" w:rsidRDefault="009A43B5" w:rsidP="009A43B5">
            <w:pPr>
              <w:rPr>
                <w:rFonts w:ascii="Verdana" w:eastAsia="Verdana" w:hAnsi="Verdana" w:cs="Verdana"/>
                <w:kern w:val="2"/>
                <w:sz w:val="20"/>
              </w:rPr>
            </w:pPr>
          </w:p>
          <w:p w14:paraId="61691A65" w14:textId="58BFE640" w:rsidR="009A43B5" w:rsidRPr="00BB641E" w:rsidRDefault="009A43B5" w:rsidP="009A43B5">
            <w:pPr>
              <w:rPr>
                <w:rFonts w:ascii="Verdana" w:eastAsia="Verdana" w:hAnsi="Verdana" w:cs="Verdana"/>
                <w:b/>
                <w:bCs/>
                <w:kern w:val="2"/>
                <w:sz w:val="20"/>
              </w:rPr>
            </w:pPr>
          </w:p>
        </w:tc>
        <w:tc>
          <w:tcPr>
            <w:tcW w:w="6441" w:type="dxa"/>
            <w:gridSpan w:val="2"/>
          </w:tcPr>
          <w:p w14:paraId="7E12DCDD"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5.3.3.1. Bet kuri Sutarties Šalis Sutarties galiojimo metu turi teisę inicijuoti Sutarties </w:t>
            </w:r>
            <w:r>
              <w:rPr>
                <w:rFonts w:ascii="Verdana" w:eastAsia="Verdana" w:hAnsi="Verdana" w:cs="Verdana"/>
                <w:sz w:val="20"/>
                <w:lang w:val="lt"/>
              </w:rPr>
              <w:t>kainų</w:t>
            </w:r>
            <w:r w:rsidRPr="3CE0449C">
              <w:rPr>
                <w:rFonts w:ascii="Verdana" w:eastAsia="Verdana" w:hAnsi="Verdana" w:cs="Verdana"/>
                <w:sz w:val="20"/>
                <w:lang w:val="lt"/>
              </w:rPr>
              <w:t xml:space="preserve"> peržiūrą (keitimą) ne anksčiau kaip po 6 </w:t>
            </w:r>
            <w:r>
              <w:rPr>
                <w:rFonts w:ascii="Verdana" w:eastAsia="Verdana" w:hAnsi="Verdana" w:cs="Verdana"/>
                <w:sz w:val="20"/>
                <w:lang w:val="lt"/>
              </w:rPr>
              <w:t xml:space="preserve">(šešių) </w:t>
            </w:r>
            <w:r w:rsidRPr="3CE0449C">
              <w:rPr>
                <w:rFonts w:ascii="Verdana" w:eastAsia="Verdana" w:hAnsi="Verdana" w:cs="Verdana"/>
                <w:sz w:val="20"/>
                <w:lang w:val="lt"/>
              </w:rPr>
              <w:t>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rFonts w:ascii="Verdana" w:eastAsia="Verdana" w:hAnsi="Verdana" w:cs="Verdana"/>
                <w:sz w:val="20"/>
                <w:lang w:val="lt"/>
              </w:rPr>
              <w:t xml:space="preserve"> (penkis)</w:t>
            </w:r>
            <w:r w:rsidRPr="3CE0449C">
              <w:rPr>
                <w:rFonts w:ascii="Verdana" w:eastAsia="Verdana" w:hAnsi="Verdana" w:cs="Verdana"/>
                <w:sz w:val="20"/>
                <w:lang w:val="lt"/>
              </w:rPr>
              <w:t xml:space="preserve"> procentus. Sutarties kainų peržiūra atliekama ne rečiau kaip kas 6</w:t>
            </w:r>
            <w:r>
              <w:rPr>
                <w:rFonts w:ascii="Verdana" w:eastAsia="Verdana" w:hAnsi="Verdana" w:cs="Verdana"/>
                <w:sz w:val="20"/>
                <w:lang w:val="lt"/>
              </w:rPr>
              <w:t xml:space="preserve"> (šeši)</w:t>
            </w:r>
            <w:r w:rsidRPr="3CE0449C">
              <w:rPr>
                <w:rFonts w:ascii="Verdana" w:eastAsia="Verdana" w:hAnsi="Verdana" w:cs="Verdana"/>
                <w:sz w:val="20"/>
                <w:lang w:val="lt"/>
              </w:rPr>
              <w:t xml:space="preserve"> mėnesiai.</w:t>
            </w:r>
          </w:p>
          <w:p w14:paraId="34B01760"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5.3.3.2. Sutarties </w:t>
            </w:r>
            <w:r>
              <w:rPr>
                <w:rFonts w:ascii="Verdana" w:eastAsia="Verdana" w:hAnsi="Verdana" w:cs="Verdana"/>
                <w:sz w:val="20"/>
                <w:lang w:val="lt"/>
              </w:rPr>
              <w:t>kainos</w:t>
            </w:r>
            <w:r w:rsidRPr="3CE0449C">
              <w:rPr>
                <w:rFonts w:ascii="Verdana" w:eastAsia="Verdana" w:hAnsi="Verdana" w:cs="Verdana"/>
                <w:sz w:val="20"/>
                <w:lang w:val="lt"/>
              </w:rPr>
              <w:t xml:space="preserve"> peržiūrim</w:t>
            </w:r>
            <w:r>
              <w:rPr>
                <w:rFonts w:ascii="Verdana" w:eastAsia="Verdana" w:hAnsi="Verdana" w:cs="Verdana"/>
                <w:sz w:val="20"/>
                <w:lang w:val="lt"/>
              </w:rPr>
              <w:t>os</w:t>
            </w:r>
            <w:r w:rsidRPr="3CE0449C">
              <w:rPr>
                <w:rFonts w:ascii="Verdana" w:eastAsia="Verdana" w:hAnsi="Verdana" w:cs="Verdana"/>
                <w:sz w:val="20"/>
                <w:lang w:val="lt"/>
              </w:rPr>
              <w:t xml:space="preserve"> tik tai Sutarties daliai, kuri nėra išpirkta, t. y. Paslaugoms, kurios nėra priimtos ir apmokėtos. Vėlesnė Sutarties </w:t>
            </w:r>
            <w:r>
              <w:rPr>
                <w:rFonts w:ascii="Verdana" w:eastAsia="Verdana" w:hAnsi="Verdana" w:cs="Verdana"/>
                <w:sz w:val="20"/>
                <w:lang w:val="lt"/>
              </w:rPr>
              <w:t>kainų</w:t>
            </w:r>
            <w:r w:rsidRPr="3CE0449C">
              <w:rPr>
                <w:rFonts w:ascii="Verdana" w:eastAsia="Verdana" w:hAnsi="Verdana" w:cs="Verdana"/>
                <w:sz w:val="20"/>
                <w:lang w:val="lt"/>
              </w:rPr>
              <w:t xml:space="preserve"> peržiūra negali apimti laikotarpio, už kurį jau buvo atlikta peržiūra.</w:t>
            </w:r>
          </w:p>
          <w:p w14:paraId="627D98E9"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5.3.3.3. Jeigu Paslaugų teikimas vėluoja dėl Tiekėjo kaltės, uždelstų suteikti Paslaugų </w:t>
            </w:r>
            <w:r>
              <w:rPr>
                <w:rFonts w:ascii="Verdana" w:eastAsia="Verdana" w:hAnsi="Verdana" w:cs="Verdana"/>
                <w:sz w:val="20"/>
                <w:lang w:val="lt"/>
              </w:rPr>
              <w:t>kainos</w:t>
            </w:r>
            <w:r w:rsidRPr="3CE0449C">
              <w:rPr>
                <w:rFonts w:ascii="Verdana" w:eastAsia="Verdana" w:hAnsi="Verdana" w:cs="Verdana"/>
                <w:sz w:val="20"/>
                <w:lang w:val="lt"/>
              </w:rPr>
              <w:t xml:space="preserve"> nėra perskaičiuojam</w:t>
            </w:r>
            <w:r>
              <w:rPr>
                <w:rFonts w:ascii="Verdana" w:eastAsia="Verdana" w:hAnsi="Verdana" w:cs="Verdana"/>
                <w:sz w:val="20"/>
                <w:lang w:val="lt"/>
              </w:rPr>
              <w:t>os</w:t>
            </w:r>
            <w:r w:rsidRPr="3CE0449C">
              <w:rPr>
                <w:rFonts w:ascii="Verdana" w:eastAsia="Verdana" w:hAnsi="Verdana" w:cs="Verdana"/>
                <w:sz w:val="20"/>
                <w:lang w:val="lt"/>
              </w:rPr>
              <w:t xml:space="preserve"> dėl kainų lygio kilimo (gali būti mažinami, tačiau negali būti didinami).</w:t>
            </w:r>
          </w:p>
          <w:p w14:paraId="07601716"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5.3.3.4. Atlikdamos Sutarties </w:t>
            </w:r>
            <w:r>
              <w:rPr>
                <w:rFonts w:ascii="Verdana" w:eastAsia="Verdana" w:hAnsi="Verdana" w:cs="Verdana"/>
                <w:sz w:val="20"/>
                <w:lang w:val="lt"/>
              </w:rPr>
              <w:t>kainų</w:t>
            </w:r>
            <w:r w:rsidRPr="3CE0449C">
              <w:rPr>
                <w:rFonts w:ascii="Verdana" w:eastAsia="Verdana" w:hAnsi="Verdana" w:cs="Verdana"/>
                <w:sz w:val="20"/>
                <w:lang w:val="lt"/>
              </w:rPr>
              <w:t xml:space="preserve">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C6264D0"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lastRenderedPageBreak/>
              <w:t>5.3.3.5. Šalys privalo Susitarime nurodyti vartojimo prekių ir paslaugų indekso reikšmę laikotarpio pradžioje ir jo nustatymo datą, indekso reikšmę laikotarpio pabaigoje ir jo nustatymo datą, kainų pokytį (k), perskaičiuot</w:t>
            </w:r>
            <w:r>
              <w:rPr>
                <w:rFonts w:ascii="Verdana" w:eastAsia="Verdana" w:hAnsi="Verdana" w:cs="Verdana"/>
                <w:sz w:val="20"/>
                <w:lang w:val="lt"/>
              </w:rPr>
              <w:t>as</w:t>
            </w:r>
            <w:r w:rsidRPr="3CE0449C">
              <w:rPr>
                <w:rFonts w:ascii="Verdana" w:eastAsia="Verdana" w:hAnsi="Verdana" w:cs="Verdana"/>
                <w:sz w:val="20"/>
                <w:lang w:val="lt"/>
              </w:rPr>
              <w:t xml:space="preserve"> Sutarties kain</w:t>
            </w:r>
            <w:r>
              <w:rPr>
                <w:rFonts w:ascii="Verdana" w:eastAsia="Verdana" w:hAnsi="Verdana" w:cs="Verdana"/>
                <w:sz w:val="20"/>
                <w:lang w:val="lt"/>
              </w:rPr>
              <w:t>a</w:t>
            </w:r>
            <w:r w:rsidRPr="3CE0449C">
              <w:rPr>
                <w:rFonts w:ascii="Verdana" w:eastAsia="Verdana" w:hAnsi="Verdana" w:cs="Verdana"/>
                <w:sz w:val="20"/>
                <w:lang w:val="lt"/>
              </w:rPr>
              <w:t>s, perskaičiuotą Pradinės Sutarties vertę.</w:t>
            </w:r>
          </w:p>
          <w:p w14:paraId="35C22D6B"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5.3.3.6. Nauj</w:t>
            </w:r>
            <w:r>
              <w:rPr>
                <w:rFonts w:ascii="Verdana" w:eastAsia="Verdana" w:hAnsi="Verdana" w:cs="Verdana"/>
                <w:sz w:val="20"/>
                <w:lang w:val="lt"/>
              </w:rPr>
              <w:t>os</w:t>
            </w:r>
            <w:r w:rsidRPr="3CE0449C">
              <w:rPr>
                <w:rFonts w:ascii="Verdana" w:eastAsia="Verdana" w:hAnsi="Verdana" w:cs="Verdana"/>
                <w:sz w:val="20"/>
                <w:lang w:val="lt"/>
              </w:rPr>
              <w:t xml:space="preserve"> Sutarties </w:t>
            </w:r>
            <w:r>
              <w:rPr>
                <w:rFonts w:ascii="Verdana" w:eastAsia="Verdana" w:hAnsi="Verdana" w:cs="Verdana"/>
                <w:sz w:val="20"/>
                <w:lang w:val="lt"/>
              </w:rPr>
              <w:t xml:space="preserve">kainos </w:t>
            </w:r>
            <w:r w:rsidRPr="3CE0449C">
              <w:rPr>
                <w:rFonts w:ascii="Verdana" w:eastAsia="Verdana" w:hAnsi="Verdana" w:cs="Verdana"/>
                <w:sz w:val="20"/>
                <w:lang w:val="lt"/>
              </w:rPr>
              <w:t>apskaičiuojami pagal žemiau pateiktą formulę (arba nurodyti kitą Sutarties kainos / įkainių perskaičiavimo formulę):</w:t>
            </w:r>
          </w:p>
          <w:p w14:paraId="75554200"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 </w:t>
            </w:r>
          </w:p>
          <w:p w14:paraId="62D1FBED" w14:textId="77777777" w:rsidR="009A43B5" w:rsidRDefault="009A43B5" w:rsidP="009A43B5">
            <w:pPr>
              <w:jc w:val="both"/>
              <w:rPr>
                <w:rFonts w:ascii="Verdana" w:eastAsia="Verdana" w:hAnsi="Verdana" w:cs="Verdana"/>
                <w:sz w:val="20"/>
                <w:lang w:val="lt"/>
              </w:rPr>
            </w:pPr>
            <w:r>
              <w:rPr>
                <w:noProof/>
              </w:rPr>
              <w:drawing>
                <wp:inline distT="0" distB="0" distL="0" distR="0" wp14:anchorId="2BBD4826" wp14:editId="1785A975">
                  <wp:extent cx="1181100" cy="276225"/>
                  <wp:effectExtent l="0" t="0" r="0" b="0"/>
                  <wp:docPr id="1866186799" name="Picture 186618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81100" cy="276225"/>
                          </a:xfrm>
                          <a:prstGeom prst="rect">
                            <a:avLst/>
                          </a:prstGeom>
                        </pic:spPr>
                      </pic:pic>
                    </a:graphicData>
                  </a:graphic>
                </wp:inline>
              </w:drawing>
            </w:r>
            <w:r w:rsidRPr="3CE0449C">
              <w:rPr>
                <w:rFonts w:ascii="Verdana" w:eastAsia="Verdana" w:hAnsi="Verdana" w:cs="Verdana"/>
                <w:sz w:val="20"/>
                <w:lang w:val="lt"/>
              </w:rPr>
              <w:t xml:space="preserve">, kur a – </w:t>
            </w:r>
            <w:r>
              <w:rPr>
                <w:rFonts w:ascii="Verdana" w:eastAsia="Verdana" w:hAnsi="Verdana" w:cs="Verdana"/>
                <w:sz w:val="20"/>
                <w:lang w:val="lt"/>
              </w:rPr>
              <w:t>kaina</w:t>
            </w:r>
            <w:r w:rsidRPr="3CE0449C">
              <w:rPr>
                <w:rFonts w:ascii="Verdana" w:eastAsia="Verdana" w:hAnsi="Verdana" w:cs="Verdana"/>
                <w:sz w:val="20"/>
                <w:lang w:val="lt"/>
              </w:rPr>
              <w:t xml:space="preserve"> (Eur be PVM) (jei peržiūra jau buvo atlikta, tai po paskutinio perskaičiavimo)</w:t>
            </w:r>
          </w:p>
          <w:p w14:paraId="2CBA8BBD"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a</w:t>
            </w:r>
            <w:r w:rsidRPr="3CE0449C">
              <w:rPr>
                <w:rFonts w:ascii="Verdana" w:eastAsia="Verdana" w:hAnsi="Verdana" w:cs="Verdana"/>
                <w:sz w:val="20"/>
                <w:vertAlign w:val="subscript"/>
                <w:lang w:val="lt"/>
              </w:rPr>
              <w:t>1</w:t>
            </w:r>
            <w:r w:rsidRPr="3CE0449C">
              <w:rPr>
                <w:rFonts w:ascii="Verdana" w:eastAsia="Verdana" w:hAnsi="Verdana" w:cs="Verdana"/>
                <w:sz w:val="20"/>
                <w:lang w:val="lt"/>
              </w:rPr>
              <w:t xml:space="preserve"> – perskaičiuota (pakeista) </w:t>
            </w:r>
            <w:r>
              <w:rPr>
                <w:rFonts w:ascii="Verdana" w:eastAsia="Verdana" w:hAnsi="Verdana" w:cs="Verdana"/>
                <w:sz w:val="20"/>
                <w:lang w:val="lt"/>
              </w:rPr>
              <w:t xml:space="preserve">kaina </w:t>
            </w:r>
            <w:r w:rsidRPr="3CE0449C">
              <w:rPr>
                <w:rFonts w:ascii="Verdana" w:eastAsia="Verdana" w:hAnsi="Verdana" w:cs="Verdana"/>
                <w:sz w:val="20"/>
                <w:lang w:val="lt"/>
              </w:rPr>
              <w:t>(Eur be PVM)</w:t>
            </w:r>
          </w:p>
          <w:p w14:paraId="0B8FA6EF"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k – pagal vartotojų kainų indeksą „Vartojimo prekių ir paslaugų“ apskaičiuotas Vartojimo prekių ir paslaugų kainų pokytis (padidėjimas arba sumažėjimas) (%). „k“ reikšmė skaičiuojama pagal formulę :</w:t>
            </w:r>
          </w:p>
          <w:p w14:paraId="2103C710" w14:textId="77777777" w:rsidR="009A43B5" w:rsidRDefault="009A43B5" w:rsidP="009A43B5">
            <w:pPr>
              <w:jc w:val="both"/>
              <w:rPr>
                <w:rFonts w:ascii="Verdana" w:eastAsia="Verdana" w:hAnsi="Verdana" w:cs="Verdana"/>
                <w:sz w:val="20"/>
                <w:lang w:val="lt"/>
              </w:rPr>
            </w:pPr>
            <w:r>
              <w:rPr>
                <w:noProof/>
              </w:rPr>
              <w:drawing>
                <wp:inline distT="0" distB="0" distL="0" distR="0" wp14:anchorId="7DC2A433" wp14:editId="2F22294C">
                  <wp:extent cx="1857375" cy="314325"/>
                  <wp:effectExtent l="0" t="0" r="0" b="0"/>
                  <wp:docPr id="679262228" name="Picture 67926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57375" cy="314325"/>
                          </a:xfrm>
                          <a:prstGeom prst="rect">
                            <a:avLst/>
                          </a:prstGeom>
                        </pic:spPr>
                      </pic:pic>
                    </a:graphicData>
                  </a:graphic>
                </wp:inline>
              </w:drawing>
            </w:r>
            <w:r w:rsidRPr="3CE0449C">
              <w:rPr>
                <w:rFonts w:ascii="Verdana" w:eastAsia="Verdana" w:hAnsi="Verdana" w:cs="Verdana"/>
                <w:sz w:val="20"/>
                <w:lang w:val="lt"/>
              </w:rPr>
              <w:t>, (proc.) kur</w:t>
            </w:r>
          </w:p>
          <w:p w14:paraId="28F8790C" w14:textId="77777777" w:rsidR="009A43B5" w:rsidRDefault="009A43B5" w:rsidP="009A43B5">
            <w:pPr>
              <w:jc w:val="both"/>
              <w:rPr>
                <w:rFonts w:ascii="Verdana" w:eastAsia="Verdana" w:hAnsi="Verdana" w:cs="Verdana"/>
                <w:sz w:val="20"/>
                <w:lang w:val="lt"/>
              </w:rPr>
            </w:pPr>
            <w:proofErr w:type="spellStart"/>
            <w:r w:rsidRPr="3CE0449C">
              <w:rPr>
                <w:rFonts w:ascii="Verdana" w:eastAsia="Verdana" w:hAnsi="Verdana" w:cs="Verdana"/>
                <w:sz w:val="20"/>
                <w:lang w:val="lt"/>
              </w:rPr>
              <w:t>Ind</w:t>
            </w:r>
            <w:r w:rsidRPr="3CE0449C">
              <w:rPr>
                <w:rFonts w:ascii="Verdana" w:eastAsia="Verdana" w:hAnsi="Verdana" w:cs="Verdana"/>
                <w:sz w:val="20"/>
                <w:vertAlign w:val="subscript"/>
                <w:lang w:val="lt"/>
              </w:rPr>
              <w:t>naujausias</w:t>
            </w:r>
            <w:proofErr w:type="spellEnd"/>
            <w:r w:rsidRPr="3CE0449C">
              <w:rPr>
                <w:rFonts w:ascii="Verdana" w:eastAsia="Verdana" w:hAnsi="Verdana" w:cs="Verdana"/>
                <w:sz w:val="20"/>
                <w:lang w:val="lt"/>
              </w:rPr>
              <w:t xml:space="preserve"> – kreipimosi dėl kainų peržiūros išsiuntimo kitai Šaliai dieną paskelbtas naujausias vartojimo prekių ir paslaugų indeksas „Vartojimo prekių ir paslaugų“ .</w:t>
            </w:r>
          </w:p>
          <w:p w14:paraId="5F4878BB" w14:textId="77777777" w:rsidR="009A43B5" w:rsidRDefault="009A43B5" w:rsidP="009A43B5">
            <w:pPr>
              <w:jc w:val="both"/>
              <w:rPr>
                <w:rFonts w:ascii="Verdana" w:eastAsia="Verdana" w:hAnsi="Verdana" w:cs="Verdana"/>
                <w:sz w:val="20"/>
                <w:lang w:val="lt"/>
              </w:rPr>
            </w:pPr>
            <w:proofErr w:type="spellStart"/>
            <w:r w:rsidRPr="3CE0449C">
              <w:rPr>
                <w:rFonts w:ascii="Verdana" w:eastAsia="Verdana" w:hAnsi="Verdana" w:cs="Verdana"/>
                <w:sz w:val="20"/>
                <w:lang w:val="lt"/>
              </w:rPr>
              <w:t>Ind</w:t>
            </w:r>
            <w:r w:rsidRPr="3CE0449C">
              <w:rPr>
                <w:rFonts w:ascii="Verdana" w:eastAsia="Verdana" w:hAnsi="Verdana" w:cs="Verdana"/>
                <w:sz w:val="20"/>
                <w:vertAlign w:val="subscript"/>
                <w:lang w:val="lt"/>
              </w:rPr>
              <w:t>pradžia</w:t>
            </w:r>
            <w:proofErr w:type="spellEnd"/>
            <w:r w:rsidRPr="3CE0449C">
              <w:rPr>
                <w:rFonts w:ascii="Verdana" w:eastAsia="Verdana" w:hAnsi="Verdana" w:cs="Verdana"/>
                <w:sz w:val="20"/>
                <w:lang w:val="lt"/>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4C80B0"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5.3.3.7. Skaičiavimams indeksų reikšmės imamos </w:t>
            </w:r>
            <w:r w:rsidRPr="3CE0449C">
              <w:rPr>
                <w:rFonts w:ascii="Verdana" w:eastAsia="Verdana" w:hAnsi="Verdana" w:cs="Verdana"/>
                <w:b/>
                <w:bCs/>
                <w:sz w:val="20"/>
                <w:lang w:val="lt"/>
              </w:rPr>
              <w:t>keturių</w:t>
            </w:r>
            <w:r w:rsidRPr="3CE0449C">
              <w:rPr>
                <w:rFonts w:ascii="Verdana" w:eastAsia="Verdana" w:hAnsi="Verdana" w:cs="Verdana"/>
                <w:sz w:val="20"/>
                <w:lang w:val="lt"/>
              </w:rPr>
              <w:t xml:space="preserve"> skaitmenų po kablelio tikslumu. Apskaičiuotas pokytis (k) tolimesniems skaičiavimams naudojamas suapvalinus iki </w:t>
            </w:r>
            <w:r w:rsidRPr="3CE0449C">
              <w:rPr>
                <w:rFonts w:ascii="Verdana" w:eastAsia="Verdana" w:hAnsi="Verdana" w:cs="Verdana"/>
                <w:b/>
                <w:bCs/>
                <w:sz w:val="20"/>
                <w:lang w:val="lt"/>
              </w:rPr>
              <w:t>vieno</w:t>
            </w:r>
            <w:r w:rsidRPr="3CE0449C">
              <w:rPr>
                <w:rFonts w:ascii="Verdana" w:eastAsia="Verdana" w:hAnsi="Verdana" w:cs="Verdana"/>
                <w:sz w:val="20"/>
                <w:lang w:val="lt"/>
              </w:rPr>
              <w:t xml:space="preserve"> skaitmens po kablelio, o apskaičiuot</w:t>
            </w:r>
            <w:r>
              <w:rPr>
                <w:rFonts w:ascii="Verdana" w:eastAsia="Verdana" w:hAnsi="Verdana" w:cs="Verdana"/>
                <w:sz w:val="20"/>
                <w:lang w:val="lt"/>
              </w:rPr>
              <w:t>a</w:t>
            </w:r>
            <w:r w:rsidRPr="3CE0449C">
              <w:rPr>
                <w:rFonts w:ascii="Verdana" w:eastAsia="Verdana" w:hAnsi="Verdana" w:cs="Verdana"/>
                <w:sz w:val="20"/>
                <w:lang w:val="lt"/>
              </w:rPr>
              <w:t xml:space="preserve"> </w:t>
            </w:r>
            <w:r>
              <w:rPr>
                <w:rFonts w:ascii="Verdana" w:eastAsia="Verdana" w:hAnsi="Verdana" w:cs="Verdana"/>
                <w:sz w:val="20"/>
                <w:lang w:val="lt"/>
              </w:rPr>
              <w:t>kaina</w:t>
            </w:r>
            <w:r w:rsidRPr="3CE0449C">
              <w:rPr>
                <w:rFonts w:ascii="Verdana" w:eastAsia="Verdana" w:hAnsi="Verdana" w:cs="Verdana"/>
                <w:sz w:val="20"/>
                <w:lang w:val="lt"/>
              </w:rPr>
              <w:t xml:space="preserve"> „a</w:t>
            </w:r>
            <w:r w:rsidRPr="3CE0449C">
              <w:rPr>
                <w:rFonts w:ascii="Verdana" w:eastAsia="Verdana" w:hAnsi="Verdana" w:cs="Verdana"/>
                <w:sz w:val="20"/>
                <w:vertAlign w:val="subscript"/>
                <w:lang w:val="lt"/>
              </w:rPr>
              <w:t>1</w:t>
            </w:r>
            <w:r w:rsidRPr="3CE0449C">
              <w:rPr>
                <w:rFonts w:ascii="Verdana" w:eastAsia="Verdana" w:hAnsi="Verdana" w:cs="Verdana"/>
                <w:sz w:val="20"/>
                <w:lang w:val="lt"/>
              </w:rPr>
              <w:t xml:space="preserve">“ suapvalinamas iki </w:t>
            </w:r>
            <w:r w:rsidRPr="3CE0449C">
              <w:rPr>
                <w:rFonts w:ascii="Verdana" w:eastAsia="Verdana" w:hAnsi="Verdana" w:cs="Verdana"/>
                <w:b/>
                <w:bCs/>
                <w:sz w:val="20"/>
                <w:lang w:val="lt"/>
              </w:rPr>
              <w:t xml:space="preserve">dviejų </w:t>
            </w:r>
            <w:r w:rsidRPr="3CE0449C">
              <w:rPr>
                <w:rFonts w:ascii="Verdana" w:eastAsia="Verdana" w:hAnsi="Verdana" w:cs="Verdana"/>
                <w:sz w:val="20"/>
                <w:lang w:val="lt"/>
              </w:rPr>
              <w:t>skaitmenų po kablelio.</w:t>
            </w:r>
          </w:p>
          <w:p w14:paraId="63F1C936"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 xml:space="preserve">5.3.3.8. Šalis, siekianti Sutarties </w:t>
            </w:r>
            <w:r>
              <w:rPr>
                <w:rFonts w:ascii="Verdana" w:eastAsia="Verdana" w:hAnsi="Verdana" w:cs="Verdana"/>
                <w:sz w:val="20"/>
                <w:lang w:val="lt"/>
              </w:rPr>
              <w:t>kainų</w:t>
            </w:r>
            <w:r w:rsidRPr="3CE0449C">
              <w:rPr>
                <w:rFonts w:ascii="Verdana" w:eastAsia="Verdana" w:hAnsi="Verdana" w:cs="Verdana"/>
                <w:sz w:val="20"/>
                <w:lang w:val="lt"/>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DC0FE66" w14:textId="77777777" w:rsidR="009A43B5" w:rsidRDefault="009A43B5" w:rsidP="009A43B5">
            <w:pPr>
              <w:jc w:val="both"/>
              <w:rPr>
                <w:rFonts w:ascii="Verdana" w:eastAsia="Verdana" w:hAnsi="Verdana" w:cs="Verdana"/>
                <w:sz w:val="20"/>
                <w:lang w:val="lt"/>
              </w:rPr>
            </w:pPr>
            <w:r w:rsidRPr="3CE0449C">
              <w:rPr>
                <w:rFonts w:ascii="Verdana" w:eastAsia="Verdana" w:hAnsi="Verdana" w:cs="Verdana"/>
                <w:sz w:val="20"/>
                <w:lang w:val="lt"/>
              </w:rPr>
              <w:t>5.3.3.9. Susitarimas turi būti sudarytas per 1</w:t>
            </w:r>
            <w:r>
              <w:rPr>
                <w:rFonts w:ascii="Verdana" w:eastAsia="Verdana" w:hAnsi="Verdana" w:cs="Verdana"/>
                <w:sz w:val="20"/>
                <w:lang w:val="lt"/>
              </w:rPr>
              <w:t xml:space="preserve"> (vieną)</w:t>
            </w:r>
            <w:r w:rsidRPr="3CE0449C">
              <w:rPr>
                <w:rFonts w:ascii="Verdana" w:eastAsia="Verdana" w:hAnsi="Verdana" w:cs="Verdana"/>
                <w:sz w:val="20"/>
                <w:lang w:val="lt"/>
              </w:rPr>
              <w:t xml:space="preserve"> </w:t>
            </w:r>
            <w:proofErr w:type="spellStart"/>
            <w:r w:rsidRPr="3CE0449C">
              <w:rPr>
                <w:rFonts w:ascii="Verdana" w:eastAsia="Verdana" w:hAnsi="Verdana" w:cs="Verdana"/>
                <w:sz w:val="20"/>
                <w:lang w:val="lt"/>
              </w:rPr>
              <w:t>mėnensį</w:t>
            </w:r>
            <w:proofErr w:type="spellEnd"/>
            <w:r w:rsidRPr="3CE0449C">
              <w:rPr>
                <w:rFonts w:ascii="Verdana" w:eastAsia="Verdana" w:hAnsi="Verdana" w:cs="Verdana"/>
                <w:sz w:val="20"/>
                <w:lang w:val="lt"/>
              </w:rPr>
              <w:t xml:space="preserve"> nuo Šalies pateikto tinkamo prašymo perskaičiuoti Sutarties </w:t>
            </w:r>
            <w:r>
              <w:rPr>
                <w:rFonts w:ascii="Verdana" w:eastAsia="Verdana" w:hAnsi="Verdana" w:cs="Verdana"/>
                <w:sz w:val="20"/>
                <w:lang w:val="lt"/>
              </w:rPr>
              <w:t xml:space="preserve">kainas </w:t>
            </w:r>
            <w:r w:rsidRPr="3CE0449C">
              <w:rPr>
                <w:rFonts w:ascii="Verdana" w:eastAsia="Verdana" w:hAnsi="Verdana" w:cs="Verdana"/>
                <w:sz w:val="20"/>
                <w:lang w:val="lt"/>
              </w:rPr>
              <w:t>gavimo dienos.</w:t>
            </w:r>
          </w:p>
          <w:p w14:paraId="4E5B34F1" w14:textId="7FEC6A77" w:rsidR="009A43B5" w:rsidRPr="00504C30" w:rsidRDefault="009A43B5" w:rsidP="009A43B5">
            <w:pPr>
              <w:jc w:val="both"/>
              <w:rPr>
                <w:rFonts w:ascii="Verdana" w:eastAsia="Verdana" w:hAnsi="Verdana" w:cs="Verdana"/>
                <w:kern w:val="2"/>
                <w:sz w:val="20"/>
              </w:rPr>
            </w:pPr>
            <w:r w:rsidRPr="3CE0449C">
              <w:rPr>
                <w:rFonts w:ascii="Verdana" w:eastAsia="Verdana" w:hAnsi="Verdana" w:cs="Verdana"/>
                <w:sz w:val="20"/>
                <w:lang w:val="lt"/>
              </w:rPr>
              <w:t>5.3.3.10. Susitarimu Šalys neturi teisės keisti procedūroje nurodytos tvarkos ar kitų Sutarties nuostatų, išskyrus, jei keitimas atliekamas pagal VPĮ nuostatas.</w:t>
            </w:r>
          </w:p>
        </w:tc>
      </w:tr>
      <w:tr w:rsidR="00027B83" w14:paraId="14A58482" w14:textId="77777777" w:rsidTr="0AEB5649">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0AEB5649">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lastRenderedPageBreak/>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0AEB5649">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2" w:name="_Hlk187918464"/>
            <w:r w:rsidRPr="00D12E5F">
              <w:rPr>
                <w:rFonts w:ascii="Verdana" w:hAnsi="Verdana"/>
                <w:b/>
                <w:kern w:val="2"/>
                <w:sz w:val="20"/>
              </w:rPr>
              <w:t>Atsiskaitymo su Tiekėju terminas ir tvarka</w:t>
            </w:r>
            <w:bookmarkEnd w:id="2"/>
          </w:p>
        </w:tc>
        <w:tc>
          <w:tcPr>
            <w:tcW w:w="6441" w:type="dxa"/>
            <w:gridSpan w:val="2"/>
          </w:tcPr>
          <w:p w14:paraId="0E5AFDC6" w14:textId="20CA6A34" w:rsidR="00027B83" w:rsidRPr="00356292" w:rsidRDefault="000B0897" w:rsidP="3790B349">
            <w:pPr>
              <w:jc w:val="both"/>
              <w:rPr>
                <w:rFonts w:ascii="Verdana" w:hAnsi="Verdana"/>
                <w:color w:val="000000" w:themeColor="text1"/>
                <w:kern w:val="2"/>
                <w:sz w:val="20"/>
              </w:rPr>
            </w:pPr>
            <w:r w:rsidRPr="3790B349">
              <w:rPr>
                <w:rFonts w:ascii="Verdana" w:hAnsi="Verdana"/>
                <w:color w:val="000000" w:themeColor="text1"/>
                <w:kern w:val="2"/>
                <w:sz w:val="20"/>
              </w:rPr>
              <w:t xml:space="preserve">Pirkėjas atsiskaito su Tiekėju ne vėliau kaip per </w:t>
            </w:r>
            <w:r w:rsidR="001D1A00" w:rsidRPr="3790B349">
              <w:rPr>
                <w:rFonts w:ascii="Verdana" w:hAnsi="Verdana"/>
                <w:color w:val="000000" w:themeColor="text1"/>
                <w:kern w:val="2"/>
                <w:sz w:val="20"/>
                <w:shd w:val="clear" w:color="auto" w:fill="FFFFFF"/>
              </w:rPr>
              <w:t xml:space="preserve">30 </w:t>
            </w:r>
            <w:r w:rsidR="00FF6B01" w:rsidRPr="3790B349">
              <w:rPr>
                <w:rFonts w:ascii="Verdana" w:hAnsi="Verdana"/>
                <w:color w:val="000000" w:themeColor="text1"/>
                <w:kern w:val="2"/>
                <w:sz w:val="20"/>
                <w:shd w:val="clear" w:color="auto" w:fill="FFFFFF"/>
              </w:rPr>
              <w:t xml:space="preserve">(trisdešimt) </w:t>
            </w:r>
            <w:r w:rsidR="001D1A00" w:rsidRPr="3790B349">
              <w:rPr>
                <w:rFonts w:ascii="Verdana" w:hAnsi="Verdana"/>
                <w:color w:val="000000" w:themeColor="text1"/>
                <w:kern w:val="2"/>
                <w:sz w:val="20"/>
                <w:shd w:val="clear" w:color="auto" w:fill="FFFFFF"/>
              </w:rPr>
              <w:t xml:space="preserve">kalendorinių dienų </w:t>
            </w:r>
            <w:r w:rsidRPr="3790B349">
              <w:rPr>
                <w:rFonts w:ascii="Verdana" w:hAnsi="Verdana"/>
                <w:color w:val="000000" w:themeColor="text1"/>
                <w:kern w:val="2"/>
                <w:sz w:val="20"/>
              </w:rPr>
              <w:t>nuo Sąskaitos gavimo dienos.</w:t>
            </w:r>
          </w:p>
          <w:p w14:paraId="53C63AC5" w14:textId="77777777" w:rsidR="00027B83" w:rsidRPr="00356292" w:rsidRDefault="00027B83" w:rsidP="002F015A">
            <w:pPr>
              <w:jc w:val="both"/>
              <w:rPr>
                <w:rFonts w:ascii="Verdana" w:hAnsi="Verdana"/>
                <w:color w:val="000000" w:themeColor="text1"/>
                <w:kern w:val="2"/>
                <w:sz w:val="20"/>
                <w:shd w:val="clear" w:color="auto" w:fill="FFFFFF"/>
              </w:rPr>
            </w:pPr>
          </w:p>
          <w:p w14:paraId="6F081D4C" w14:textId="05E42225" w:rsidR="00027B83" w:rsidRPr="00D12E5F" w:rsidRDefault="00027B83" w:rsidP="002F015A">
            <w:pPr>
              <w:jc w:val="both"/>
              <w:rPr>
                <w:rFonts w:ascii="Verdana" w:hAnsi="Verdana"/>
                <w:color w:val="4472C4"/>
                <w:kern w:val="2"/>
                <w:sz w:val="20"/>
                <w:shd w:val="clear" w:color="auto" w:fill="FFFFFF"/>
              </w:rPr>
            </w:pPr>
          </w:p>
        </w:tc>
      </w:tr>
      <w:tr w:rsidR="00027B83" w14:paraId="524FC5B3" w14:textId="77777777" w:rsidTr="0AEB5649">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15C92841" w14:textId="77777777" w:rsidR="004563C4" w:rsidRPr="004563C4" w:rsidRDefault="004563C4" w:rsidP="004563C4">
            <w:pPr>
              <w:jc w:val="both"/>
              <w:rPr>
                <w:rFonts w:ascii="Verdana" w:hAnsi="Verdana" w:cs="Tahoma"/>
                <w:sz w:val="20"/>
              </w:rPr>
            </w:pPr>
            <w:r w:rsidRPr="004563C4">
              <w:rPr>
                <w:rFonts w:ascii="Verdana" w:hAnsi="Verdana" w:cs="Tahoma"/>
                <w:sz w:val="20"/>
              </w:rPr>
              <w:t>Netaikoma</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0AEB5649">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0AEB5649">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0AEB5649">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0AEB5649">
        <w:trPr>
          <w:trHeight w:val="300"/>
        </w:trPr>
        <w:tc>
          <w:tcPr>
            <w:tcW w:w="3094" w:type="dxa"/>
            <w:gridSpan w:val="2"/>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2F1000BE" w14:textId="0A5AF24A" w:rsidR="00BA588F" w:rsidRPr="00BA588F" w:rsidRDefault="00BA588F" w:rsidP="00BA588F">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D9053F">
              <w:rPr>
                <w:rFonts w:ascii="Verdana" w:hAnsi="Verdana"/>
                <w:b/>
                <w:color w:val="000000" w:themeColor="text1"/>
                <w:kern w:val="2"/>
                <w:sz w:val="20"/>
                <w:shd w:val="clear" w:color="auto" w:fill="FFFFFF"/>
              </w:rPr>
              <w:t>ne vėliau kaip</w:t>
            </w:r>
            <w:r w:rsidRPr="00D9053F">
              <w:rPr>
                <w:rFonts w:ascii="Verdana" w:hAnsi="Verdana"/>
                <w:color w:val="000000" w:themeColor="text1"/>
                <w:kern w:val="2"/>
                <w:sz w:val="20"/>
                <w:shd w:val="clear" w:color="auto" w:fill="FFFFFF"/>
              </w:rPr>
              <w:t xml:space="preserve"> per </w:t>
            </w:r>
            <w:r w:rsidR="0099498F" w:rsidRPr="00D9053F">
              <w:rPr>
                <w:rFonts w:ascii="Verdana" w:hAnsi="Verdana"/>
                <w:color w:val="000000" w:themeColor="text1"/>
                <w:kern w:val="2"/>
                <w:sz w:val="20"/>
                <w:shd w:val="clear" w:color="auto" w:fill="FFFFFF"/>
              </w:rPr>
              <w:t>3</w:t>
            </w:r>
            <w:r w:rsidRPr="00D9053F">
              <w:rPr>
                <w:rFonts w:ascii="Verdana" w:hAnsi="Verdana"/>
                <w:color w:val="000000" w:themeColor="text1"/>
                <w:kern w:val="2"/>
                <w:sz w:val="20"/>
                <w:shd w:val="clear" w:color="auto" w:fill="FFFFFF"/>
              </w:rPr>
              <w:t xml:space="preserve"> (</w:t>
            </w:r>
            <w:r w:rsidR="0099498F" w:rsidRPr="00D9053F">
              <w:rPr>
                <w:rFonts w:ascii="Verdana" w:hAnsi="Verdana"/>
                <w:color w:val="000000" w:themeColor="text1"/>
                <w:kern w:val="2"/>
                <w:sz w:val="20"/>
                <w:shd w:val="clear" w:color="auto" w:fill="FFFFFF"/>
              </w:rPr>
              <w:t>tris</w:t>
            </w:r>
            <w:r w:rsidRPr="00D9053F">
              <w:rPr>
                <w:rFonts w:ascii="Verdana" w:hAnsi="Verdana"/>
                <w:color w:val="000000" w:themeColor="text1"/>
                <w:kern w:val="2"/>
                <w:sz w:val="20"/>
                <w:shd w:val="clear" w:color="auto" w:fill="FFFFFF"/>
              </w:rPr>
              <w:t xml:space="preserve">) </w:t>
            </w:r>
            <w:r w:rsidR="005C29DF">
              <w:rPr>
                <w:rFonts w:ascii="Verdana" w:hAnsi="Verdana"/>
                <w:color w:val="000000" w:themeColor="text1"/>
                <w:kern w:val="2"/>
                <w:sz w:val="20"/>
                <w:shd w:val="clear" w:color="auto" w:fill="FFFFFF"/>
              </w:rPr>
              <w:t>dienas</w:t>
            </w:r>
            <w:r w:rsidRPr="00BA588F">
              <w:rPr>
                <w:rFonts w:ascii="Verdana" w:hAnsi="Verdana"/>
                <w:color w:val="000000" w:themeColor="text1"/>
                <w:kern w:val="2"/>
                <w:sz w:val="20"/>
                <w:shd w:val="clear" w:color="auto" w:fill="FFFFFF"/>
              </w:rPr>
              <w:t xml:space="preserve"> nuo rašytinės pretenzijos gavimo dienos pašalinti Paslaugų trūkumus.</w:t>
            </w:r>
          </w:p>
          <w:p w14:paraId="4E37B093" w14:textId="2500FB1F" w:rsidR="009B3051" w:rsidRPr="00E87E79" w:rsidRDefault="009B3051" w:rsidP="004E772A">
            <w:pPr>
              <w:jc w:val="both"/>
              <w:rPr>
                <w:rFonts w:ascii="Verdana" w:hAnsi="Verdana"/>
                <w:color w:val="000000" w:themeColor="text1"/>
                <w:kern w:val="2"/>
                <w:sz w:val="20"/>
                <w:shd w:val="clear" w:color="auto" w:fill="FFFFFF"/>
              </w:rPr>
            </w:pPr>
          </w:p>
        </w:tc>
      </w:tr>
      <w:tr w:rsidR="00027B83" w14:paraId="7444FC88" w14:textId="77777777" w:rsidTr="0AEB5649">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0AEB5649">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0AEB5649">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1031B8BF" w14:textId="398942AB" w:rsidR="00B43BA9" w:rsidRPr="003F3198" w:rsidRDefault="000B0897" w:rsidP="003F3198">
            <w:pPr>
              <w:jc w:val="both"/>
              <w:rPr>
                <w:rFonts w:ascii="Verdana" w:hAnsi="Verdana"/>
                <w:color w:val="000000" w:themeColor="text1"/>
                <w:sz w:val="20"/>
              </w:rPr>
            </w:pPr>
            <w:r w:rsidRPr="003F3198">
              <w:rPr>
                <w:rFonts w:ascii="Verdana" w:hAnsi="Verdana"/>
                <w:color w:val="000000" w:themeColor="text1"/>
                <w:kern w:val="2"/>
                <w:sz w:val="20"/>
              </w:rPr>
              <w:t xml:space="preserve">Sutarties vykdymui pasitelkiami subtiekėjai ir (ar) specialistai yra nurodyti Sutarties priede Nr. </w:t>
            </w:r>
            <w:r w:rsidR="00E87E79" w:rsidRPr="003F3198">
              <w:rPr>
                <w:rFonts w:ascii="Verdana" w:hAnsi="Verdana"/>
                <w:color w:val="000000" w:themeColor="text1"/>
                <w:kern w:val="2"/>
                <w:sz w:val="20"/>
              </w:rPr>
              <w:t>2</w:t>
            </w:r>
            <w:r w:rsidR="00B43BA9" w:rsidRPr="003F3198">
              <w:rPr>
                <w:rFonts w:ascii="Verdana" w:hAnsi="Verdana"/>
                <w:color w:val="000000" w:themeColor="text1"/>
                <w:kern w:val="2"/>
                <w:sz w:val="20"/>
              </w:rPr>
              <w:t xml:space="preserve"> </w:t>
            </w:r>
            <w:r w:rsidR="00327CE7">
              <w:rPr>
                <w:rFonts w:ascii="Verdana" w:hAnsi="Verdana"/>
                <w:color w:val="000000" w:themeColor="text1"/>
                <w:kern w:val="2"/>
                <w:sz w:val="20"/>
              </w:rPr>
              <w:t>„</w:t>
            </w:r>
            <w:r w:rsidR="00B43BA9" w:rsidRPr="003F3198">
              <w:rPr>
                <w:rFonts w:ascii="Verdana" w:hAnsi="Verdana"/>
                <w:color w:val="000000" w:themeColor="text1"/>
                <w:kern w:val="2"/>
                <w:sz w:val="20"/>
              </w:rPr>
              <w:t>Pasiūlymas“</w:t>
            </w:r>
            <w:r w:rsidR="003F3198" w:rsidRPr="003F3198">
              <w:rPr>
                <w:rFonts w:ascii="Verdana" w:hAnsi="Verdana"/>
                <w:color w:val="000000" w:themeColor="text1"/>
                <w:kern w:val="2"/>
                <w:sz w:val="20"/>
              </w:rPr>
              <w:t>.</w:t>
            </w:r>
          </w:p>
        </w:tc>
      </w:tr>
      <w:tr w:rsidR="00027B83" w14:paraId="516E5798" w14:textId="77777777" w:rsidTr="0AEB5649">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0AEB5649">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0AEB5649">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0AEB5649">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0AEB5649">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0AEB5649">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0AEB5649">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6CF65A38" w14:textId="77777777" w:rsidR="00CB5015" w:rsidRDefault="000B0897" w:rsidP="715CC674">
            <w:pPr>
              <w:jc w:val="both"/>
              <w:rPr>
                <w:rFonts w:ascii="Verdana" w:hAnsi="Verdana"/>
                <w:color w:val="000000" w:themeColor="text1"/>
                <w:kern w:val="2"/>
                <w:sz w:val="20"/>
              </w:rPr>
            </w:pPr>
            <w:r w:rsidRPr="715CC674">
              <w:rPr>
                <w:rFonts w:ascii="Verdana" w:hAnsi="Verdana"/>
                <w:color w:val="000000"/>
                <w:kern w:val="2"/>
                <w:sz w:val="20"/>
              </w:rPr>
              <w:t>9</w:t>
            </w:r>
            <w:r w:rsidRPr="715CC674">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715CC674">
              <w:rPr>
                <w:rFonts w:ascii="Verdana" w:hAnsi="Verdana"/>
                <w:color w:val="000000" w:themeColor="text1"/>
                <w:kern w:val="2"/>
                <w:sz w:val="20"/>
              </w:rPr>
              <w:t>5</w:t>
            </w:r>
            <w:r w:rsidRPr="715CC674">
              <w:rPr>
                <w:rFonts w:ascii="Verdana" w:hAnsi="Verdana"/>
                <w:color w:val="000000" w:themeColor="text1"/>
                <w:kern w:val="2"/>
                <w:sz w:val="20"/>
              </w:rPr>
              <w:t xml:space="preserve"> (</w:t>
            </w:r>
            <w:r w:rsidR="00F614C2" w:rsidRPr="715CC674">
              <w:rPr>
                <w:rFonts w:ascii="Verdana" w:hAnsi="Verdana"/>
                <w:color w:val="000000" w:themeColor="text1"/>
                <w:kern w:val="2"/>
                <w:sz w:val="20"/>
              </w:rPr>
              <w:t>penkios</w:t>
            </w:r>
            <w:r w:rsidRPr="715CC674">
              <w:rPr>
                <w:rFonts w:ascii="Verdana" w:hAnsi="Verdana"/>
                <w:color w:val="000000" w:themeColor="text1"/>
                <w:kern w:val="2"/>
                <w:sz w:val="20"/>
              </w:rPr>
              <w:t xml:space="preserve"> šimtosios) procento dydžio delspinigius už kiekvieną uždelstą dieną nuo laiku nesuteiktų Paslaugų ar kitų sutartinių įsipareigojimų nevykdymo kainos be PVM.</w:t>
            </w:r>
            <w:r w:rsidR="00CB5015" w:rsidRPr="715CC674">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0AEB5649">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 xml:space="preserve">9.3. Tiekėjui / Pirkėjui taikoma bauda </w:t>
            </w:r>
            <w:r w:rsidRPr="004B7BD2">
              <w:rPr>
                <w:rFonts w:ascii="Verdana" w:hAnsi="Verdana"/>
                <w:b/>
                <w:kern w:val="2"/>
                <w:sz w:val="20"/>
              </w:rPr>
              <w:lastRenderedPageBreak/>
              <w:t>nutraukus Sutartį dėl esminio Sutarties 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lastRenderedPageBreak/>
              <w:t xml:space="preserve">9.3.1. Nutraukus Sutartį dėl esminio Sutarties pažeidimo, nustatyto Sutarties Specialiosiose sąlygose, mokama </w:t>
            </w:r>
            <w:r>
              <w:rPr>
                <w:rFonts w:ascii="Verdana" w:hAnsi="Verdana"/>
                <w:color w:val="000000" w:themeColor="text1"/>
                <w:kern w:val="2"/>
                <w:sz w:val="20"/>
              </w:rPr>
              <w:t xml:space="preserve">4 </w:t>
            </w:r>
            <w:r>
              <w:rPr>
                <w:rFonts w:ascii="Verdana" w:hAnsi="Verdana"/>
                <w:color w:val="000000" w:themeColor="text1"/>
                <w:kern w:val="2"/>
                <w:sz w:val="20"/>
              </w:rPr>
              <w:lastRenderedPageBreak/>
              <w:t>(keturių)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0AEB5649">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0AEB5649">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0AEB5649">
        <w:trPr>
          <w:trHeight w:val="300"/>
        </w:trPr>
        <w:tc>
          <w:tcPr>
            <w:tcW w:w="3094" w:type="dxa"/>
            <w:gridSpan w:val="2"/>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0AEB5649">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 xml:space="preserve">9.7. Tiekėjui taikomos netesybos dėl pirkimo dokumentuose nustatytų kokybinių kriterijų </w:t>
            </w:r>
            <w:proofErr w:type="spellStart"/>
            <w:r w:rsidRPr="21B5A4C1">
              <w:rPr>
                <w:rFonts w:ascii="Verdana" w:hAnsi="Verdana"/>
                <w:b/>
                <w:bCs/>
                <w:color w:val="000000" w:themeColor="text1"/>
                <w:kern w:val="2"/>
                <w:sz w:val="20"/>
              </w:rPr>
              <w:t>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w:t>
            </w:r>
            <w:proofErr w:type="spellEnd"/>
            <w:r w:rsidRPr="21B5A4C1">
              <w:rPr>
                <w:rFonts w:ascii="Verdana" w:hAnsi="Verdana"/>
                <w:b/>
                <w:bCs/>
                <w:color w:val="000000" w:themeColor="text1"/>
                <w:kern w:val="2"/>
                <w:sz w:val="20"/>
              </w:rPr>
              <w:t xml:space="preserve">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0AEB5649">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0AEB5649">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0AEB5649">
        <w:trPr>
          <w:trHeight w:val="300"/>
        </w:trPr>
        <w:tc>
          <w:tcPr>
            <w:tcW w:w="3094" w:type="dxa"/>
            <w:gridSpan w:val="2"/>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0AEB5649">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0AEB5649">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0AEB5649">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0AEB5649">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63978A68" w14:textId="77777777" w:rsidR="0054515C" w:rsidRPr="0054515C" w:rsidRDefault="0054515C" w:rsidP="0054515C">
            <w:pPr>
              <w:jc w:val="both"/>
              <w:rPr>
                <w:rFonts w:ascii="Verdana" w:hAnsi="Verdana"/>
                <w:color w:val="000000" w:themeColor="text1"/>
                <w:kern w:val="2"/>
                <w:sz w:val="20"/>
              </w:rPr>
            </w:pPr>
            <w:r w:rsidRPr="0054515C">
              <w:rPr>
                <w:rFonts w:ascii="Verdana" w:hAnsi="Verdana"/>
                <w:color w:val="000000" w:themeColor="text1"/>
                <w:kern w:val="2"/>
                <w:sz w:val="20"/>
              </w:rPr>
              <w:t>Ši Sutartis laikoma sudaryta ir įsigalioja nuo Sutarties pasirašymo dienos (antrosios Šalies pasirašymo dieną).</w:t>
            </w:r>
          </w:p>
          <w:p w14:paraId="557AF7CF" w14:textId="6782B76B"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lastRenderedPageBreak/>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w:t>
            </w:r>
            <w:r w:rsidRPr="004D218D">
              <w:rPr>
                <w:rFonts w:ascii="Verdana" w:hAnsi="Verdana"/>
                <w:color w:val="000000" w:themeColor="text1"/>
                <w:kern w:val="2"/>
                <w:sz w:val="20"/>
              </w:rPr>
              <w:t xml:space="preserve">kaip </w:t>
            </w:r>
            <w:r w:rsidR="002C5BC5">
              <w:rPr>
                <w:rFonts w:ascii="Verdana" w:hAnsi="Verdana"/>
                <w:color w:val="000000" w:themeColor="text1"/>
                <w:kern w:val="2"/>
                <w:sz w:val="20"/>
              </w:rPr>
              <w:t>10 mėnesių nuo sutarties pasirašymo dienos.</w:t>
            </w:r>
          </w:p>
        </w:tc>
      </w:tr>
      <w:tr w:rsidR="00027B83" w14:paraId="6E672588" w14:textId="77777777" w:rsidTr="0AEB5649">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lastRenderedPageBreak/>
              <w:t>11.2. Sutarties galiojimo termino pratęsimas</w:t>
            </w:r>
          </w:p>
        </w:tc>
        <w:tc>
          <w:tcPr>
            <w:tcW w:w="6441" w:type="dxa"/>
            <w:gridSpan w:val="2"/>
          </w:tcPr>
          <w:p w14:paraId="48047772" w14:textId="4771A2E5" w:rsidR="00027B83" w:rsidRPr="005D2755" w:rsidRDefault="00B67A32">
            <w:pPr>
              <w:rPr>
                <w:rFonts w:ascii="Verdana" w:hAnsi="Verdana"/>
                <w:color w:val="000000" w:themeColor="text1"/>
                <w:kern w:val="2"/>
                <w:sz w:val="20"/>
              </w:rPr>
            </w:pPr>
            <w:r w:rsidRPr="00B67A32">
              <w:rPr>
                <w:rFonts w:ascii="Verdana" w:hAnsi="Verdana"/>
                <w:color w:val="000000" w:themeColor="text1"/>
                <w:kern w:val="2"/>
                <w:sz w:val="20"/>
              </w:rPr>
              <w:t xml:space="preserve">Netaikoma </w:t>
            </w:r>
          </w:p>
        </w:tc>
      </w:tr>
      <w:tr w:rsidR="00027B83" w14:paraId="5731A7DF" w14:textId="77777777" w:rsidTr="0AEB5649">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0AEB5649">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0AEB5649">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FDADB1" w14:textId="1C7FBAA4"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68F79EA4" w14:textId="77777777"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2AFFF1B2"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 xml:space="preserve">12.2.5.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p>
        </w:tc>
      </w:tr>
      <w:tr w:rsidR="00027B83" w14:paraId="5B96E83B" w14:textId="77777777" w:rsidTr="0AEB5649">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0AEB5649">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77" w:type="dxa"/>
            <w:gridSpan w:val="3"/>
          </w:tcPr>
          <w:p w14:paraId="1C8520B1" w14:textId="236FFC26"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Pirkimas laikoma</w:t>
            </w:r>
            <w:r w:rsidR="00A95BE0">
              <w:rPr>
                <w:rFonts w:ascii="Verdana" w:hAnsi="Verdana"/>
                <w:color w:val="000000" w:themeColor="text1"/>
                <w:kern w:val="2"/>
                <w:sz w:val="20"/>
                <w:shd w:val="clear" w:color="auto" w:fill="FFFFFF"/>
              </w:rPr>
              <w:t>s</w:t>
            </w:r>
            <w:r w:rsidRPr="009A54A6">
              <w:rPr>
                <w:rFonts w:ascii="Verdana" w:hAnsi="Verdana"/>
                <w:color w:val="000000" w:themeColor="text1"/>
                <w:kern w:val="2"/>
                <w:sz w:val="20"/>
                <w:shd w:val="clear" w:color="auto" w:fill="FFFFFF"/>
              </w:rPr>
              <w:t xml:space="preserve"> žaliu vadovaujantis </w:t>
            </w:r>
            <w:r w:rsidR="00EA5FB6" w:rsidRPr="00EA5FB6">
              <w:rPr>
                <w:rFonts w:ascii="Verdana" w:hAnsi="Verdana"/>
                <w:color w:val="000000" w:themeColor="text1"/>
                <w:kern w:val="2"/>
                <w:sz w:val="20"/>
                <w:shd w:val="clear" w:color="auto" w:fill="FFFFFF"/>
              </w:rPr>
              <w:t>Aplinkos apsaugos kriterijų taikymo, vykdant žaliuosius pirkimus, tvarkos aprašo</w:t>
            </w:r>
            <w:r w:rsidR="00EA5FB6">
              <w:rPr>
                <w:rFonts w:ascii="Verdana" w:hAnsi="Verdana"/>
                <w:color w:val="000000" w:themeColor="text1"/>
                <w:kern w:val="2"/>
                <w:sz w:val="20"/>
                <w:shd w:val="clear" w:color="auto" w:fill="FFFFFF"/>
              </w:rPr>
              <w:t>, patvirtinto</w:t>
            </w:r>
            <w:r w:rsidR="00EA5FB6" w:rsidRPr="00EA5FB6">
              <w:rPr>
                <w:rFonts w:ascii="Verdana" w:hAnsi="Verdana"/>
                <w:color w:val="000000" w:themeColor="text1"/>
                <w:kern w:val="2"/>
                <w:sz w:val="20"/>
                <w:shd w:val="clear" w:color="auto" w:fill="FFFFFF"/>
              </w:rPr>
              <w:t xml:space="preserve"> </w:t>
            </w:r>
            <w:r w:rsidRPr="009A54A6">
              <w:rPr>
                <w:rFonts w:ascii="Verdana" w:hAnsi="Verdana"/>
                <w:color w:val="000000" w:themeColor="text1"/>
                <w:kern w:val="2"/>
                <w:sz w:val="20"/>
                <w:shd w:val="clear" w:color="auto" w:fill="FFFFFF"/>
              </w:rPr>
              <w:t xml:space="preserve">Lietuvos Respublikos aplinkos ministro </w:t>
            </w:r>
            <w:r w:rsidR="00EA5FB6" w:rsidRPr="009A54A6">
              <w:rPr>
                <w:rFonts w:ascii="Verdana" w:hAnsi="Verdana"/>
                <w:color w:val="000000" w:themeColor="text1"/>
                <w:kern w:val="2"/>
                <w:sz w:val="20"/>
                <w:shd w:val="clear" w:color="auto" w:fill="FFFFFF"/>
              </w:rPr>
              <w:t xml:space="preserve">2011 m. birželio 28 d. </w:t>
            </w:r>
            <w:r w:rsidRPr="009A54A6">
              <w:rPr>
                <w:rFonts w:ascii="Verdana" w:hAnsi="Verdana"/>
                <w:color w:val="000000" w:themeColor="text1"/>
                <w:kern w:val="2"/>
                <w:sz w:val="20"/>
                <w:shd w:val="clear" w:color="auto" w:fill="FFFFFF"/>
              </w:rPr>
              <w:t xml:space="preserve">įsakymu Nr. D1-508 „Dėl Aplinkos apsaugos kriterijų taikymo, vykdant žaliuosius pirkimus, tvarkos aprašo </w:t>
            </w:r>
            <w:r w:rsidRPr="00C75370">
              <w:rPr>
                <w:rFonts w:ascii="Verdana" w:hAnsi="Verdana"/>
                <w:color w:val="000000" w:themeColor="text1"/>
                <w:kern w:val="2"/>
                <w:sz w:val="20"/>
                <w:shd w:val="clear" w:color="auto" w:fill="FFFFFF"/>
              </w:rPr>
              <w:t>patvirtinimo</w:t>
            </w:r>
            <w:r w:rsidR="00C75370" w:rsidRPr="00950097">
              <w:rPr>
                <w:rFonts w:ascii="Verdana" w:hAnsi="Verdana"/>
                <w:kern w:val="2"/>
                <w:sz w:val="20"/>
                <w:shd w:val="clear" w:color="auto" w:fill="FFFFFF"/>
              </w:rPr>
              <w:t>“</w:t>
            </w:r>
            <w:r w:rsidRPr="00950097">
              <w:rPr>
                <w:rFonts w:ascii="Verdana" w:hAnsi="Verdana"/>
                <w:kern w:val="2"/>
                <w:sz w:val="20"/>
                <w:shd w:val="clear" w:color="auto" w:fill="FFFFFF"/>
              </w:rPr>
              <w:t xml:space="preserve"> </w:t>
            </w:r>
            <w:r w:rsidR="00EA5FB6">
              <w:rPr>
                <w:rFonts w:ascii="Verdana" w:hAnsi="Verdana"/>
                <w:kern w:val="2"/>
                <w:sz w:val="20"/>
                <w:shd w:val="clear" w:color="auto" w:fill="FFFFFF"/>
              </w:rPr>
              <w:t xml:space="preserve">(toliau – Aprašas) </w:t>
            </w:r>
            <w:r w:rsidR="00FA0517" w:rsidRPr="00FA0517">
              <w:rPr>
                <w:rFonts w:ascii="Verdana" w:hAnsi="Verdana"/>
                <w:kern w:val="2"/>
                <w:sz w:val="20"/>
                <w:shd w:val="clear" w:color="auto" w:fill="FFFFFF"/>
              </w:rPr>
              <w:t>4.4.3. punktu, perkama tik nematerialaus pobūdžio (intelektinė) ar kitokia paslauga, nesusijusi su materialaus objekto sukūrimu.</w:t>
            </w:r>
          </w:p>
        </w:tc>
      </w:tr>
      <w:tr w:rsidR="00027B83" w14:paraId="6547C054" w14:textId="77777777" w:rsidTr="0AEB5649">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0AEB5649">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0AEB5649">
        <w:trPr>
          <w:trHeight w:val="300"/>
        </w:trPr>
        <w:tc>
          <w:tcPr>
            <w:tcW w:w="3058"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77" w:type="dxa"/>
            <w:gridSpan w:val="3"/>
          </w:tcPr>
          <w:p w14:paraId="47D38777" w14:textId="77777777" w:rsidR="00027B83"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p w14:paraId="59393618" w14:textId="4C071277" w:rsidR="00EA75A3" w:rsidRPr="00E01D1A" w:rsidRDefault="008D0F20" w:rsidP="00702198">
            <w:pPr>
              <w:jc w:val="both"/>
              <w:rPr>
                <w:rFonts w:ascii="Verdana" w:hAnsi="Verdana"/>
                <w:kern w:val="2"/>
                <w:sz w:val="20"/>
              </w:rPr>
            </w:pPr>
            <w:r>
              <w:rPr>
                <w:rFonts w:ascii="Verdana" w:hAnsi="Verdana"/>
                <w:kern w:val="2"/>
                <w:sz w:val="20"/>
              </w:rPr>
              <w:t>Nea</w:t>
            </w:r>
            <w:r w:rsidR="00B55D6E">
              <w:rPr>
                <w:rFonts w:ascii="Verdana" w:hAnsi="Verdana"/>
                <w:kern w:val="2"/>
                <w:sz w:val="20"/>
              </w:rPr>
              <w:t>tnaujinto varžymosi/paslaugų užsakymo tvarka</w:t>
            </w:r>
            <w:r w:rsidR="009D18E7">
              <w:rPr>
                <w:rFonts w:ascii="Verdana" w:hAnsi="Verdana"/>
                <w:kern w:val="2"/>
                <w:sz w:val="20"/>
              </w:rPr>
              <w:t xml:space="preserve"> numatoma 4 priede</w:t>
            </w:r>
          </w:p>
        </w:tc>
      </w:tr>
      <w:tr w:rsidR="00027B83" w14:paraId="6FB58E9E" w14:textId="77777777" w:rsidTr="0AEB5649">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0AEB5649">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0AEB5649">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0AEB5649">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3E8D9286" w:rsidR="00F956F6" w:rsidRPr="00E01D1A" w:rsidRDefault="00F956F6" w:rsidP="00F956F6">
            <w:pPr>
              <w:rPr>
                <w:rFonts w:ascii="Verdana" w:hAnsi="Verdana"/>
                <w:b/>
                <w:kern w:val="2"/>
                <w:sz w:val="20"/>
              </w:rPr>
            </w:pPr>
            <w:r w:rsidRPr="00E01D1A">
              <w:rPr>
                <w:rFonts w:ascii="Verdana" w:hAnsi="Verdana" w:cs="Tahoma"/>
                <w:sz w:val="20"/>
              </w:rPr>
              <w:t>Paslaugų perdavimo</w:t>
            </w:r>
            <w:r w:rsidR="00C54076">
              <w:rPr>
                <w:rFonts w:ascii="Verdana" w:hAnsi="Verdana" w:cs="Tahoma"/>
                <w:sz w:val="20"/>
              </w:rPr>
              <w:t xml:space="preserve"> </w:t>
            </w:r>
            <w:r w:rsidRPr="00E01D1A">
              <w:rPr>
                <w:rFonts w:ascii="Verdana" w:hAnsi="Verdana" w:cs="Tahoma"/>
                <w:sz w:val="20"/>
              </w:rPr>
              <w:t>-</w:t>
            </w:r>
            <w:r w:rsidR="00C54076">
              <w:rPr>
                <w:rFonts w:ascii="Verdana" w:hAnsi="Verdana" w:cs="Tahoma"/>
                <w:sz w:val="20"/>
              </w:rPr>
              <w:t xml:space="preserve"> </w:t>
            </w:r>
            <w:r w:rsidRPr="00E01D1A">
              <w:rPr>
                <w:rFonts w:ascii="Verdana" w:hAnsi="Verdana" w:cs="Tahoma"/>
                <w:sz w:val="20"/>
              </w:rPr>
              <w:t>priėmimo akto forma</w:t>
            </w:r>
          </w:p>
        </w:tc>
      </w:tr>
      <w:tr w:rsidR="00C0563E" w14:paraId="494AEB5F" w14:textId="77777777" w:rsidTr="0AEB5649">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9833C54" w:rsidR="00C0563E" w:rsidRPr="00E01D1A" w:rsidRDefault="008D0F20" w:rsidP="002D5D84">
            <w:pPr>
              <w:rPr>
                <w:rFonts w:ascii="Verdana" w:hAnsi="Verdana"/>
                <w:b/>
                <w:color w:val="FF0000"/>
                <w:kern w:val="2"/>
                <w:sz w:val="20"/>
              </w:rPr>
            </w:pPr>
            <w:r>
              <w:rPr>
                <w:rFonts w:ascii="Verdana" w:hAnsi="Verdana"/>
                <w:kern w:val="2"/>
                <w:sz w:val="20"/>
              </w:rPr>
              <w:t>Nea</w:t>
            </w:r>
            <w:r w:rsidR="009D18E7">
              <w:rPr>
                <w:rFonts w:ascii="Verdana" w:hAnsi="Verdana"/>
                <w:kern w:val="2"/>
                <w:sz w:val="20"/>
              </w:rPr>
              <w:t>tnaujinto varžymosi/paslaugų užsakymo tvarka</w:t>
            </w:r>
          </w:p>
        </w:tc>
      </w:tr>
      <w:tr w:rsidR="00C0563E" w14:paraId="1A59DF12" w14:textId="77777777" w:rsidTr="0AEB5649">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51648CA8" w:rsidR="00C0563E" w:rsidRPr="00F75A51" w:rsidRDefault="00F75A51" w:rsidP="00F75A51">
            <w:pPr>
              <w:rPr>
                <w:rFonts w:ascii="Verdana" w:hAnsi="Verdana"/>
                <w:bCs/>
                <w:kern w:val="2"/>
                <w:sz w:val="20"/>
              </w:rPr>
            </w:pPr>
            <w:r w:rsidRPr="00F75A51">
              <w:rPr>
                <w:rFonts w:ascii="Verdana" w:hAnsi="Verdana"/>
                <w:bCs/>
                <w:kern w:val="2"/>
                <w:sz w:val="20"/>
              </w:rPr>
              <w:t>Užsakymo forma</w:t>
            </w:r>
          </w:p>
        </w:tc>
      </w:tr>
      <w:tr w:rsidR="00C0563E" w14:paraId="239DB465" w14:textId="77777777" w:rsidTr="0AEB5649">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0AEB5649">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lastRenderedPageBreak/>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0AEB5649">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0AEB5649">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rsidSect="00426C85">
          <w:headerReference w:type="default" r:id="rId13"/>
          <w:footerReference w:type="default" r:id="rId14"/>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21B5A4C1">
        <w:rPr>
          <w:rFonts w:ascii="Verdana" w:eastAsia="Cambria" w:hAnsi="Verdana"/>
          <w:sz w:val="20"/>
          <w:shd w:val="clear" w:color="auto" w:fill="FFFFFF"/>
        </w:rPr>
        <w:t>subtiekimo</w:t>
      </w:r>
      <w:proofErr w:type="spellEnd"/>
      <w:r w:rsidRPr="21B5A4C1">
        <w:rPr>
          <w:rFonts w:ascii="Verdana" w:eastAsia="Cambria" w:hAnsi="Verdana"/>
          <w:sz w:val="20"/>
          <w:shd w:val="clear" w:color="auto" w:fill="FFFFFF"/>
        </w:rPr>
        <w:t xml:space="preserve">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21B5A4C1">
        <w:rPr>
          <w:rFonts w:ascii="Verdana" w:hAnsi="Verdana"/>
          <w:sz w:val="20"/>
        </w:rPr>
        <w:t>sui</w:t>
      </w:r>
      <w:proofErr w:type="spellEnd"/>
      <w:r w:rsidRPr="21B5A4C1">
        <w:rPr>
          <w:rFonts w:ascii="Verdana" w:hAnsi="Verdana"/>
          <w:sz w:val="20"/>
        </w:rPr>
        <w:t xml:space="preserve"> </w:t>
      </w:r>
      <w:proofErr w:type="spellStart"/>
      <w:r w:rsidRPr="21B5A4C1">
        <w:rPr>
          <w:rFonts w:ascii="Verdana" w:hAnsi="Verdana"/>
          <w:sz w:val="20"/>
        </w:rPr>
        <w:t>generis</w:t>
      </w:r>
      <w:proofErr w:type="spellEnd"/>
      <w:r w:rsidRPr="21B5A4C1">
        <w:rPr>
          <w:rFonts w:ascii="Verdana" w:hAnsi="Verdana"/>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p w14:paraId="3F550DCA" w14:textId="77777777" w:rsidR="002D5D84" w:rsidRDefault="002D5D84"/>
    <w:p w14:paraId="3CE2E3DF" w14:textId="77777777" w:rsidR="002D5D84" w:rsidRDefault="002D5D84"/>
    <w:p w14:paraId="591B17F1" w14:textId="77777777" w:rsidR="002D5D84" w:rsidRDefault="002D5D84"/>
    <w:p w14:paraId="60878FB9" w14:textId="77777777" w:rsidR="002D5D84" w:rsidRDefault="002D5D84"/>
    <w:p w14:paraId="0F4CC446" w14:textId="77777777" w:rsidR="002D5D84" w:rsidRDefault="002D5D84"/>
    <w:p w14:paraId="52D50600" w14:textId="77777777" w:rsidR="002D5D84" w:rsidRDefault="002D5D84"/>
    <w:p w14:paraId="20758C81" w14:textId="77777777" w:rsidR="002D5D84" w:rsidRDefault="002D5D84"/>
    <w:p w14:paraId="703A67C6" w14:textId="77777777" w:rsidR="002D5D84" w:rsidRDefault="002D5D84"/>
    <w:p w14:paraId="629BD522" w14:textId="77777777" w:rsidR="002D5D84" w:rsidRDefault="002D5D84"/>
    <w:p w14:paraId="00F1D004" w14:textId="77777777" w:rsidR="002D5D84" w:rsidRDefault="002D5D84"/>
    <w:p w14:paraId="5CDEC674" w14:textId="77777777" w:rsidR="002D5D84" w:rsidRDefault="002D5D84"/>
    <w:p w14:paraId="0E665B1A" w14:textId="77777777" w:rsidR="002D5D84" w:rsidRDefault="002D5D84"/>
    <w:p w14:paraId="2B599A26" w14:textId="77777777" w:rsidR="002D5D84" w:rsidRDefault="002D5D84"/>
    <w:p w14:paraId="793FD078" w14:textId="440E3B39" w:rsidR="008D590E" w:rsidRPr="00091A86" w:rsidRDefault="008D590E" w:rsidP="008D590E">
      <w:pPr>
        <w:jc w:val="right"/>
        <w:rPr>
          <w:rFonts w:cs="Tahoma"/>
        </w:rPr>
      </w:pPr>
      <w:bookmarkStart w:id="3" w:name="_Hlk187954712"/>
      <w:r w:rsidRPr="00091A86">
        <w:rPr>
          <w:rFonts w:cs="Tahoma"/>
        </w:rPr>
        <w:lastRenderedPageBreak/>
        <w:t xml:space="preserve">Priedas Nr. </w:t>
      </w:r>
      <w:r w:rsidR="007E2CB0">
        <w:rPr>
          <w:rFonts w:cs="Tahoma"/>
        </w:rPr>
        <w:t>3</w:t>
      </w:r>
    </w:p>
    <w:bookmarkEnd w:id="3"/>
    <w:p w14:paraId="202D8A3A" w14:textId="77777777" w:rsidR="008D590E" w:rsidRPr="004E772A" w:rsidRDefault="008D590E" w:rsidP="008D590E">
      <w:pPr>
        <w:rPr>
          <w:rFonts w:cs="Tahoma"/>
          <w:b/>
          <w:bCs/>
          <w:color w:val="FF0000"/>
        </w:rPr>
      </w:pPr>
    </w:p>
    <w:p w14:paraId="0E1C85A6" w14:textId="7267DC51" w:rsidR="008D590E" w:rsidRDefault="008D590E" w:rsidP="008D590E">
      <w:pPr>
        <w:jc w:val="center"/>
        <w:rPr>
          <w:rFonts w:cs="Tahoma"/>
          <w:b/>
          <w:bCs/>
        </w:rPr>
      </w:pPr>
      <w:r w:rsidRPr="007E74B8">
        <w:rPr>
          <w:rFonts w:cs="Tahoma"/>
          <w:b/>
          <w:bCs/>
        </w:rPr>
        <w:t>(</w:t>
      </w:r>
      <w:r w:rsidR="00091A86">
        <w:rPr>
          <w:rFonts w:cs="Tahoma"/>
          <w:b/>
          <w:bCs/>
        </w:rPr>
        <w:t>P</w:t>
      </w:r>
      <w:r w:rsidRPr="007E74B8">
        <w:rPr>
          <w:rFonts w:cs="Tahoma"/>
          <w:b/>
          <w:bCs/>
        </w:rPr>
        <w:t>erdavimo–priėmimo akto forma)</w:t>
      </w:r>
    </w:p>
    <w:p w14:paraId="7381975E" w14:textId="77777777" w:rsidR="00091A86" w:rsidRPr="007E74B8" w:rsidRDefault="00091A86" w:rsidP="008D590E">
      <w:pPr>
        <w:jc w:val="center"/>
        <w:rPr>
          <w:rFonts w:cs="Tahoma"/>
        </w:rPr>
      </w:pPr>
    </w:p>
    <w:p w14:paraId="773FFC15" w14:textId="76DA3FEE" w:rsidR="008D590E" w:rsidRPr="007E74B8" w:rsidRDefault="008D590E" w:rsidP="008D590E">
      <w:pPr>
        <w:jc w:val="center"/>
        <w:rPr>
          <w:rFonts w:cs="Tahoma"/>
        </w:rPr>
      </w:pPr>
      <w:r w:rsidRPr="007E74B8">
        <w:rPr>
          <w:rFonts w:cs="Tahoma"/>
          <w:b/>
          <w:bCs/>
        </w:rPr>
        <w:t xml:space="preserve">PASLAUGŲ </w:t>
      </w:r>
      <w:r w:rsidR="00091A86" w:rsidRPr="007E74B8">
        <w:rPr>
          <w:rFonts w:cs="Tahoma"/>
          <w:b/>
          <w:bCs/>
        </w:rPr>
        <w:t>PERDAVIMO–PRIĖMIMO AKTAS</w:t>
      </w:r>
    </w:p>
    <w:p w14:paraId="6CB6961B" w14:textId="77777777" w:rsidR="008D590E" w:rsidRPr="007E74B8" w:rsidRDefault="008D590E" w:rsidP="008D590E">
      <w:pPr>
        <w:jc w:val="center"/>
        <w:rPr>
          <w:rFonts w:cs="Tahoma"/>
        </w:rPr>
      </w:pPr>
      <w:r w:rsidRPr="007E74B8">
        <w:rPr>
          <w:rFonts w:cs="Tahoma"/>
        </w:rPr>
        <w:t>__________________ Nr. _________</w:t>
      </w:r>
    </w:p>
    <w:p w14:paraId="33A979FA" w14:textId="77777777" w:rsidR="008D590E" w:rsidRPr="007E74B8" w:rsidRDefault="008D590E" w:rsidP="008D590E">
      <w:pPr>
        <w:jc w:val="center"/>
        <w:rPr>
          <w:rFonts w:cs="Tahoma"/>
        </w:rPr>
      </w:pPr>
      <w:r w:rsidRPr="007E74B8">
        <w:rPr>
          <w:rFonts w:cs="Tahoma"/>
        </w:rPr>
        <w:t>(data)</w:t>
      </w:r>
    </w:p>
    <w:p w14:paraId="07B94284" w14:textId="77777777" w:rsidR="008D590E" w:rsidRPr="007E74B8" w:rsidRDefault="008D590E" w:rsidP="008D590E">
      <w:pPr>
        <w:jc w:val="center"/>
        <w:rPr>
          <w:rFonts w:cs="Tahoma"/>
        </w:rPr>
      </w:pPr>
      <w:r w:rsidRPr="007E74B8">
        <w:rPr>
          <w:rFonts w:cs="Tahoma"/>
        </w:rPr>
        <w:t>_________________________</w:t>
      </w:r>
    </w:p>
    <w:p w14:paraId="69397B7F" w14:textId="77777777" w:rsidR="008D590E" w:rsidRPr="007E74B8" w:rsidRDefault="008D590E" w:rsidP="008D590E">
      <w:pPr>
        <w:jc w:val="center"/>
        <w:rPr>
          <w:rFonts w:cs="Tahoma"/>
        </w:rPr>
      </w:pPr>
      <w:r w:rsidRPr="007E74B8">
        <w:rPr>
          <w:rFonts w:cs="Tahoma"/>
        </w:rPr>
        <w:t>(sudarymo vieta)</w:t>
      </w:r>
    </w:p>
    <w:p w14:paraId="5D43A428" w14:textId="77777777" w:rsidR="008D590E" w:rsidRPr="007E74B8" w:rsidRDefault="008D590E" w:rsidP="008D590E">
      <w:pPr>
        <w:jc w:val="center"/>
        <w:rPr>
          <w:rFonts w:cs="Tahoma"/>
        </w:rPr>
      </w:pPr>
    </w:p>
    <w:p w14:paraId="06FD7763" w14:textId="77777777" w:rsidR="008D590E" w:rsidRPr="007E74B8" w:rsidRDefault="008D590E" w:rsidP="008D590E">
      <w:pPr>
        <w:jc w:val="both"/>
        <w:rPr>
          <w:rFonts w:cs="Tahoma"/>
        </w:rPr>
      </w:pPr>
      <w:r w:rsidRPr="007E74B8">
        <w:rPr>
          <w:rFonts w:cs="Tahoma"/>
        </w:rPr>
        <w:t xml:space="preserve">Šį aktą pasirašę atsakingi asmenys pažymi, kad vadovaudamiesi pasirašytos </w:t>
      </w:r>
      <w:bookmarkStart w:id="4" w:name="permission-for-group%3A282722313%3Aevery"/>
      <w:bookmarkEnd w:id="4"/>
      <w:r w:rsidRPr="007E74B8">
        <w:rPr>
          <w:rFonts w:cs="Tahoma"/>
          <w:i/>
        </w:rPr>
        <w:t>[Įrašyti sutarties pavadinimą ir numerį Nr. XX-XXX]</w:t>
      </w:r>
      <w:r w:rsidRPr="007E74B8">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7"/>
        <w:gridCol w:w="3782"/>
        <w:gridCol w:w="724"/>
        <w:gridCol w:w="1012"/>
        <w:gridCol w:w="1483"/>
        <w:gridCol w:w="1374"/>
        <w:gridCol w:w="1010"/>
      </w:tblGrid>
      <w:tr w:rsidR="00090541" w:rsidRPr="007E74B8" w14:paraId="58DBDFD2" w14:textId="77777777" w:rsidTr="002D5D84">
        <w:trPr>
          <w:trHeight w:val="374"/>
        </w:trPr>
        <w:tc>
          <w:tcPr>
            <w:tcW w:w="280" w:type="pct"/>
            <w:tcBorders>
              <w:top w:val="double" w:sz="4" w:space="0" w:color="auto"/>
            </w:tcBorders>
            <w:shd w:val="clear" w:color="auto" w:fill="D9D9D9"/>
            <w:vAlign w:val="center"/>
          </w:tcPr>
          <w:p w14:paraId="44D9D72C" w14:textId="77777777" w:rsidR="00090541" w:rsidRPr="007E74B8" w:rsidRDefault="00090541">
            <w:pPr>
              <w:jc w:val="center"/>
              <w:rPr>
                <w:rFonts w:cs="Tahoma"/>
                <w:bCs/>
                <w:iCs/>
              </w:rPr>
            </w:pPr>
            <w:r w:rsidRPr="007E74B8">
              <w:rPr>
                <w:rFonts w:cs="Tahoma"/>
                <w:bCs/>
                <w:iCs/>
              </w:rPr>
              <w:t>Eil. Nr.</w:t>
            </w:r>
          </w:p>
        </w:tc>
        <w:tc>
          <w:tcPr>
            <w:tcW w:w="1902" w:type="pct"/>
            <w:tcBorders>
              <w:top w:val="double" w:sz="4" w:space="0" w:color="auto"/>
            </w:tcBorders>
            <w:shd w:val="clear" w:color="auto" w:fill="D9D9D9"/>
            <w:vAlign w:val="center"/>
          </w:tcPr>
          <w:p w14:paraId="74209463" w14:textId="77777777" w:rsidR="00090541" w:rsidRPr="007E74B8" w:rsidRDefault="00090541">
            <w:pPr>
              <w:jc w:val="center"/>
              <w:rPr>
                <w:rFonts w:cs="Tahoma"/>
                <w:bCs/>
                <w:iCs/>
              </w:rPr>
            </w:pPr>
            <w:r w:rsidRPr="007E74B8">
              <w:rPr>
                <w:rFonts w:cs="Tahoma"/>
                <w:bCs/>
                <w:iCs/>
              </w:rPr>
              <w:t>Paslaugų pavadinimas</w:t>
            </w:r>
          </w:p>
        </w:tc>
        <w:tc>
          <w:tcPr>
            <w:tcW w:w="364" w:type="pct"/>
            <w:tcBorders>
              <w:top w:val="double" w:sz="4" w:space="0" w:color="auto"/>
            </w:tcBorders>
            <w:shd w:val="clear" w:color="auto" w:fill="D9D9D9"/>
          </w:tcPr>
          <w:p w14:paraId="3D8FAC93" w14:textId="77777777" w:rsidR="00090541" w:rsidRPr="007E74B8" w:rsidRDefault="00090541">
            <w:pPr>
              <w:jc w:val="center"/>
              <w:rPr>
                <w:rFonts w:cs="Tahoma"/>
                <w:bCs/>
                <w:iCs/>
              </w:rPr>
            </w:pPr>
            <w:r w:rsidRPr="007E74B8">
              <w:rPr>
                <w:rFonts w:cs="Tahoma"/>
                <w:bCs/>
                <w:iCs/>
              </w:rPr>
              <w:t>Mato vnt.</w:t>
            </w:r>
          </w:p>
        </w:tc>
        <w:tc>
          <w:tcPr>
            <w:tcW w:w="509" w:type="pct"/>
            <w:tcBorders>
              <w:top w:val="double" w:sz="4" w:space="0" w:color="auto"/>
            </w:tcBorders>
            <w:shd w:val="clear" w:color="auto" w:fill="D9D9D9"/>
          </w:tcPr>
          <w:p w14:paraId="4BDC5812" w14:textId="77777777" w:rsidR="00090541" w:rsidRPr="007E74B8" w:rsidRDefault="00090541">
            <w:pPr>
              <w:jc w:val="center"/>
              <w:rPr>
                <w:rFonts w:cs="Tahoma"/>
                <w:bCs/>
                <w:iCs/>
              </w:rPr>
            </w:pPr>
            <w:r w:rsidRPr="007E74B8">
              <w:rPr>
                <w:rFonts w:cs="Tahoma"/>
                <w:bCs/>
                <w:iCs/>
              </w:rPr>
              <w:t>Kiekis</w:t>
            </w:r>
          </w:p>
        </w:tc>
        <w:tc>
          <w:tcPr>
            <w:tcW w:w="746" w:type="pct"/>
            <w:tcBorders>
              <w:top w:val="double" w:sz="4" w:space="0" w:color="auto"/>
            </w:tcBorders>
            <w:shd w:val="clear" w:color="auto" w:fill="D9D9D9"/>
          </w:tcPr>
          <w:p w14:paraId="5F2B8E1E" w14:textId="77777777" w:rsidR="00090541" w:rsidRPr="007E74B8" w:rsidRDefault="00090541">
            <w:pPr>
              <w:jc w:val="center"/>
              <w:rPr>
                <w:rFonts w:cs="Tahoma"/>
                <w:bCs/>
                <w:iCs/>
              </w:rPr>
            </w:pPr>
            <w:r w:rsidRPr="007E74B8">
              <w:rPr>
                <w:rFonts w:cs="Tahoma"/>
                <w:bCs/>
                <w:iCs/>
              </w:rPr>
              <w:t>Vieneto kaina</w:t>
            </w:r>
          </w:p>
        </w:tc>
        <w:tc>
          <w:tcPr>
            <w:tcW w:w="1199" w:type="pct"/>
            <w:gridSpan w:val="2"/>
            <w:tcBorders>
              <w:top w:val="double" w:sz="4" w:space="0" w:color="auto"/>
            </w:tcBorders>
            <w:shd w:val="clear" w:color="auto" w:fill="D9D9D9"/>
            <w:vAlign w:val="center"/>
          </w:tcPr>
          <w:p w14:paraId="24F7FE1A" w14:textId="77777777" w:rsidR="00090541" w:rsidRPr="007E74B8" w:rsidRDefault="00090541">
            <w:pPr>
              <w:jc w:val="center"/>
              <w:rPr>
                <w:rFonts w:cs="Tahoma"/>
                <w:bCs/>
                <w:iCs/>
              </w:rPr>
            </w:pPr>
            <w:r w:rsidRPr="007E74B8">
              <w:rPr>
                <w:rFonts w:cs="Tahoma"/>
                <w:bCs/>
                <w:iCs/>
              </w:rPr>
              <w:t>Suma, EUR</w:t>
            </w:r>
          </w:p>
        </w:tc>
      </w:tr>
      <w:tr w:rsidR="00090541" w:rsidRPr="007E74B8" w14:paraId="0CD2BC4B" w14:textId="77777777" w:rsidTr="002D5D84">
        <w:tc>
          <w:tcPr>
            <w:tcW w:w="280" w:type="pct"/>
          </w:tcPr>
          <w:p w14:paraId="062653DC" w14:textId="77777777" w:rsidR="00090541" w:rsidRPr="007E74B8" w:rsidRDefault="00090541">
            <w:pPr>
              <w:jc w:val="center"/>
              <w:rPr>
                <w:rFonts w:cs="Tahoma"/>
              </w:rPr>
            </w:pPr>
            <w:r w:rsidRPr="007E74B8">
              <w:rPr>
                <w:rFonts w:cs="Tahoma"/>
              </w:rPr>
              <w:t>1.</w:t>
            </w:r>
          </w:p>
        </w:tc>
        <w:tc>
          <w:tcPr>
            <w:tcW w:w="1902" w:type="pct"/>
          </w:tcPr>
          <w:p w14:paraId="076BC6DD" w14:textId="77777777" w:rsidR="00090541" w:rsidRPr="007E74B8" w:rsidRDefault="00090541">
            <w:pPr>
              <w:rPr>
                <w:rFonts w:cs="Tahoma"/>
                <w:i/>
              </w:rPr>
            </w:pPr>
            <w:r w:rsidRPr="007E74B8">
              <w:rPr>
                <w:rFonts w:cs="Tahoma"/>
                <w:i/>
              </w:rPr>
              <w:t>Paslauga 1</w:t>
            </w:r>
          </w:p>
        </w:tc>
        <w:tc>
          <w:tcPr>
            <w:tcW w:w="364" w:type="pct"/>
          </w:tcPr>
          <w:p w14:paraId="659059CC" w14:textId="77777777" w:rsidR="00090541" w:rsidRPr="007E74B8" w:rsidRDefault="00090541">
            <w:pPr>
              <w:jc w:val="center"/>
              <w:rPr>
                <w:rFonts w:cs="Tahoma"/>
              </w:rPr>
            </w:pPr>
          </w:p>
        </w:tc>
        <w:tc>
          <w:tcPr>
            <w:tcW w:w="509" w:type="pct"/>
          </w:tcPr>
          <w:p w14:paraId="6DD1C85D" w14:textId="77777777" w:rsidR="00090541" w:rsidRPr="007E74B8" w:rsidRDefault="00090541">
            <w:pPr>
              <w:jc w:val="center"/>
              <w:rPr>
                <w:rFonts w:cs="Tahoma"/>
              </w:rPr>
            </w:pPr>
          </w:p>
        </w:tc>
        <w:tc>
          <w:tcPr>
            <w:tcW w:w="746" w:type="pct"/>
          </w:tcPr>
          <w:p w14:paraId="24008F26" w14:textId="77777777" w:rsidR="00090541" w:rsidRPr="007E74B8" w:rsidRDefault="00090541">
            <w:pPr>
              <w:jc w:val="center"/>
              <w:rPr>
                <w:rFonts w:cs="Tahoma"/>
              </w:rPr>
            </w:pPr>
          </w:p>
        </w:tc>
        <w:tc>
          <w:tcPr>
            <w:tcW w:w="1199" w:type="pct"/>
            <w:gridSpan w:val="2"/>
          </w:tcPr>
          <w:p w14:paraId="448065EB" w14:textId="77777777" w:rsidR="00090541" w:rsidRPr="007E74B8" w:rsidRDefault="00090541">
            <w:pPr>
              <w:jc w:val="center"/>
              <w:rPr>
                <w:rFonts w:cs="Tahoma"/>
              </w:rPr>
            </w:pPr>
          </w:p>
        </w:tc>
      </w:tr>
      <w:tr w:rsidR="00090541" w:rsidRPr="007E74B8" w14:paraId="633065B9" w14:textId="77777777" w:rsidTr="002D5D84">
        <w:tc>
          <w:tcPr>
            <w:tcW w:w="280" w:type="pct"/>
          </w:tcPr>
          <w:p w14:paraId="0B8E4D82" w14:textId="77777777" w:rsidR="00090541" w:rsidRPr="007E74B8" w:rsidRDefault="00090541">
            <w:pPr>
              <w:jc w:val="center"/>
              <w:rPr>
                <w:rFonts w:cs="Tahoma"/>
              </w:rPr>
            </w:pPr>
            <w:r w:rsidRPr="007E74B8">
              <w:rPr>
                <w:rFonts w:cs="Tahoma"/>
              </w:rPr>
              <w:t>2.</w:t>
            </w:r>
          </w:p>
        </w:tc>
        <w:tc>
          <w:tcPr>
            <w:tcW w:w="1902" w:type="pct"/>
          </w:tcPr>
          <w:p w14:paraId="6D4039E8" w14:textId="77777777" w:rsidR="00090541" w:rsidRPr="007E74B8" w:rsidRDefault="00090541">
            <w:pPr>
              <w:rPr>
                <w:rFonts w:cs="Tahoma"/>
                <w:i/>
              </w:rPr>
            </w:pPr>
            <w:r w:rsidRPr="007E74B8">
              <w:rPr>
                <w:rFonts w:cs="Tahoma"/>
                <w:i/>
              </w:rPr>
              <w:t>Paslauga 2</w:t>
            </w:r>
          </w:p>
        </w:tc>
        <w:tc>
          <w:tcPr>
            <w:tcW w:w="364" w:type="pct"/>
          </w:tcPr>
          <w:p w14:paraId="4AA620B5" w14:textId="77777777" w:rsidR="00090541" w:rsidRPr="007E74B8" w:rsidRDefault="00090541">
            <w:pPr>
              <w:jc w:val="center"/>
              <w:rPr>
                <w:rFonts w:cs="Tahoma"/>
              </w:rPr>
            </w:pPr>
          </w:p>
        </w:tc>
        <w:tc>
          <w:tcPr>
            <w:tcW w:w="509" w:type="pct"/>
          </w:tcPr>
          <w:p w14:paraId="6241A342" w14:textId="77777777" w:rsidR="00090541" w:rsidRPr="007E74B8" w:rsidRDefault="00090541">
            <w:pPr>
              <w:jc w:val="center"/>
              <w:rPr>
                <w:rFonts w:cs="Tahoma"/>
              </w:rPr>
            </w:pPr>
          </w:p>
        </w:tc>
        <w:tc>
          <w:tcPr>
            <w:tcW w:w="746" w:type="pct"/>
          </w:tcPr>
          <w:p w14:paraId="0B20FD36" w14:textId="77777777" w:rsidR="00090541" w:rsidRPr="007E74B8" w:rsidRDefault="00090541">
            <w:pPr>
              <w:jc w:val="center"/>
              <w:rPr>
                <w:rFonts w:cs="Tahoma"/>
              </w:rPr>
            </w:pPr>
          </w:p>
        </w:tc>
        <w:tc>
          <w:tcPr>
            <w:tcW w:w="1199" w:type="pct"/>
            <w:gridSpan w:val="2"/>
          </w:tcPr>
          <w:p w14:paraId="0B9EB91E" w14:textId="77777777" w:rsidR="00090541" w:rsidRPr="007E74B8" w:rsidRDefault="00090541">
            <w:pPr>
              <w:jc w:val="center"/>
              <w:rPr>
                <w:rFonts w:cs="Tahoma"/>
              </w:rPr>
            </w:pPr>
          </w:p>
        </w:tc>
      </w:tr>
      <w:tr w:rsidR="00090541" w:rsidRPr="007E74B8" w14:paraId="6ACBB36B" w14:textId="77777777" w:rsidTr="002D5D84">
        <w:tc>
          <w:tcPr>
            <w:tcW w:w="280" w:type="pct"/>
          </w:tcPr>
          <w:p w14:paraId="52BB6264" w14:textId="77777777" w:rsidR="00090541" w:rsidRPr="007E74B8" w:rsidRDefault="00090541">
            <w:pPr>
              <w:jc w:val="center"/>
              <w:rPr>
                <w:rFonts w:cs="Tahoma"/>
              </w:rPr>
            </w:pPr>
            <w:r w:rsidRPr="007E74B8">
              <w:rPr>
                <w:rFonts w:cs="Tahoma"/>
              </w:rPr>
              <w:t>3.</w:t>
            </w:r>
          </w:p>
        </w:tc>
        <w:tc>
          <w:tcPr>
            <w:tcW w:w="1902" w:type="pct"/>
          </w:tcPr>
          <w:p w14:paraId="79BA7DA7" w14:textId="77777777" w:rsidR="00090541" w:rsidRPr="007E74B8" w:rsidRDefault="00090541">
            <w:pPr>
              <w:rPr>
                <w:rFonts w:cs="Tahoma"/>
                <w:i/>
              </w:rPr>
            </w:pPr>
            <w:r w:rsidRPr="007E74B8">
              <w:rPr>
                <w:rFonts w:cs="Tahoma"/>
                <w:i/>
              </w:rPr>
              <w:t>Paslauga 3</w:t>
            </w:r>
          </w:p>
        </w:tc>
        <w:tc>
          <w:tcPr>
            <w:tcW w:w="364" w:type="pct"/>
          </w:tcPr>
          <w:p w14:paraId="1E9DD21B" w14:textId="77777777" w:rsidR="00090541" w:rsidRPr="007E74B8" w:rsidRDefault="00090541">
            <w:pPr>
              <w:jc w:val="center"/>
              <w:rPr>
                <w:rFonts w:cs="Tahoma"/>
              </w:rPr>
            </w:pPr>
          </w:p>
        </w:tc>
        <w:tc>
          <w:tcPr>
            <w:tcW w:w="509" w:type="pct"/>
          </w:tcPr>
          <w:p w14:paraId="279228AF" w14:textId="77777777" w:rsidR="00090541" w:rsidRPr="007E74B8" w:rsidRDefault="00090541">
            <w:pPr>
              <w:jc w:val="center"/>
              <w:rPr>
                <w:rFonts w:cs="Tahoma"/>
              </w:rPr>
            </w:pPr>
          </w:p>
        </w:tc>
        <w:tc>
          <w:tcPr>
            <w:tcW w:w="746" w:type="pct"/>
          </w:tcPr>
          <w:p w14:paraId="2D2F8802" w14:textId="77777777" w:rsidR="00090541" w:rsidRPr="007E74B8" w:rsidRDefault="00090541">
            <w:pPr>
              <w:jc w:val="center"/>
              <w:rPr>
                <w:rFonts w:cs="Tahoma"/>
              </w:rPr>
            </w:pPr>
          </w:p>
        </w:tc>
        <w:tc>
          <w:tcPr>
            <w:tcW w:w="1199" w:type="pct"/>
            <w:gridSpan w:val="2"/>
          </w:tcPr>
          <w:p w14:paraId="138184AE" w14:textId="77777777" w:rsidR="00090541" w:rsidRPr="007E74B8" w:rsidRDefault="00090541">
            <w:pPr>
              <w:jc w:val="center"/>
              <w:rPr>
                <w:rFonts w:cs="Tahoma"/>
              </w:rPr>
            </w:pPr>
          </w:p>
        </w:tc>
      </w:tr>
      <w:tr w:rsidR="008D590E" w:rsidRPr="007E74B8" w14:paraId="28154AAB" w14:textId="77777777" w:rsidTr="002D5D84">
        <w:tc>
          <w:tcPr>
            <w:tcW w:w="4492" w:type="pct"/>
            <w:gridSpan w:val="6"/>
            <w:vAlign w:val="center"/>
          </w:tcPr>
          <w:p w14:paraId="4120D301" w14:textId="77777777" w:rsidR="008D590E" w:rsidRPr="007E74B8" w:rsidRDefault="008D590E">
            <w:pPr>
              <w:jc w:val="right"/>
              <w:rPr>
                <w:rFonts w:cs="Tahoma"/>
                <w:b/>
              </w:rPr>
            </w:pPr>
            <w:r w:rsidRPr="007E74B8">
              <w:rPr>
                <w:rFonts w:cs="Tahoma"/>
                <w:b/>
              </w:rPr>
              <w:t>Iš viso:</w:t>
            </w:r>
          </w:p>
        </w:tc>
        <w:tc>
          <w:tcPr>
            <w:tcW w:w="508" w:type="pct"/>
          </w:tcPr>
          <w:p w14:paraId="234BA568" w14:textId="77777777" w:rsidR="008D590E" w:rsidRPr="007E74B8" w:rsidRDefault="008D590E">
            <w:pPr>
              <w:jc w:val="center"/>
              <w:rPr>
                <w:rFonts w:cs="Tahoma"/>
              </w:rPr>
            </w:pPr>
          </w:p>
        </w:tc>
      </w:tr>
      <w:tr w:rsidR="008D590E" w:rsidRPr="007E74B8" w14:paraId="22C98B4C" w14:textId="77777777" w:rsidTr="002D5D84">
        <w:tc>
          <w:tcPr>
            <w:tcW w:w="4492" w:type="pct"/>
            <w:gridSpan w:val="6"/>
            <w:vAlign w:val="center"/>
          </w:tcPr>
          <w:p w14:paraId="53DE4B53" w14:textId="77777777" w:rsidR="008D590E" w:rsidRPr="007E74B8" w:rsidRDefault="008D590E">
            <w:pPr>
              <w:jc w:val="right"/>
              <w:rPr>
                <w:rFonts w:cs="Tahoma"/>
                <w:b/>
              </w:rPr>
            </w:pPr>
            <w:r w:rsidRPr="007E74B8">
              <w:rPr>
                <w:rFonts w:cs="Tahoma"/>
                <w:b/>
              </w:rPr>
              <w:t>PVM 21%:</w:t>
            </w:r>
          </w:p>
        </w:tc>
        <w:tc>
          <w:tcPr>
            <w:tcW w:w="508" w:type="pct"/>
          </w:tcPr>
          <w:p w14:paraId="11FC9AC1" w14:textId="77777777" w:rsidR="008D590E" w:rsidRPr="007E74B8" w:rsidRDefault="008D590E">
            <w:pPr>
              <w:jc w:val="center"/>
              <w:rPr>
                <w:rFonts w:cs="Tahoma"/>
              </w:rPr>
            </w:pPr>
          </w:p>
        </w:tc>
      </w:tr>
      <w:tr w:rsidR="008D590E" w:rsidRPr="007E74B8" w14:paraId="7C45BA83" w14:textId="77777777" w:rsidTr="002D5D84">
        <w:tc>
          <w:tcPr>
            <w:tcW w:w="4492" w:type="pct"/>
            <w:gridSpan w:val="6"/>
            <w:tcBorders>
              <w:bottom w:val="double" w:sz="4" w:space="0" w:color="auto"/>
            </w:tcBorders>
            <w:vAlign w:val="center"/>
          </w:tcPr>
          <w:p w14:paraId="28F1AA64" w14:textId="77777777" w:rsidR="008D590E" w:rsidRPr="007E74B8" w:rsidRDefault="008D590E">
            <w:pPr>
              <w:jc w:val="right"/>
              <w:rPr>
                <w:rFonts w:cs="Tahoma"/>
                <w:b/>
              </w:rPr>
            </w:pPr>
            <w:r w:rsidRPr="007E74B8">
              <w:rPr>
                <w:rFonts w:cs="Tahoma"/>
                <w:b/>
              </w:rPr>
              <w:t>Bendra suma:</w:t>
            </w:r>
          </w:p>
        </w:tc>
        <w:tc>
          <w:tcPr>
            <w:tcW w:w="508" w:type="pct"/>
            <w:tcBorders>
              <w:bottom w:val="double" w:sz="4" w:space="0" w:color="auto"/>
            </w:tcBorders>
          </w:tcPr>
          <w:p w14:paraId="5A22989E" w14:textId="77777777" w:rsidR="008D590E" w:rsidRPr="007E74B8" w:rsidRDefault="008D590E">
            <w:pPr>
              <w:jc w:val="center"/>
              <w:rPr>
                <w:rFonts w:cs="Tahoma"/>
              </w:rPr>
            </w:pPr>
          </w:p>
        </w:tc>
      </w:tr>
    </w:tbl>
    <w:p w14:paraId="22F6ADBC" w14:textId="77777777" w:rsidR="008D590E" w:rsidRDefault="008D590E" w:rsidP="008D590E">
      <w:pPr>
        <w:jc w:val="both"/>
        <w:rPr>
          <w:rFonts w:cs="Tahoma"/>
          <w:i/>
        </w:rPr>
      </w:pPr>
    </w:p>
    <w:p w14:paraId="6C73C2E3" w14:textId="3CF308EE" w:rsidR="008D590E" w:rsidRPr="00DE219A" w:rsidRDefault="008D590E" w:rsidP="008D590E">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Paslaugas</w:t>
      </w:r>
      <w:r w:rsidR="00091A86">
        <w:rPr>
          <w:rFonts w:cs="Tahoma"/>
          <w:b/>
          <w:bCs/>
          <w:color w:val="000000"/>
          <w:lang w:eastAsia="lt-LT"/>
        </w:rPr>
        <w:t xml:space="preserve"> tinkamai, laiku</w:t>
      </w:r>
      <w:r>
        <w:rPr>
          <w:rFonts w:cs="Tahoma"/>
          <w:b/>
          <w:bCs/>
          <w:color w:val="000000"/>
          <w:lang w:eastAsia="lt-LT"/>
        </w:rPr>
        <w:t xml:space="preserve">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3E65F9D9BAB745AFBFC0045C448C22BB"/>
          </w:placeholder>
          <w:comboBox>
            <w:listItem w:displayText="Pasirinkti" w:value="Pasirinkti"/>
            <w:listItem w:displayText="TAIP" w:value="TAIP"/>
            <w:listItem w:displayText="NE" w:value="NE"/>
          </w:comboBox>
        </w:sdtPr>
        <w:sdtContent>
          <w:r w:rsidRPr="00DE219A">
            <w:rPr>
              <w:rFonts w:cs="Tahoma"/>
              <w:b/>
              <w:bCs/>
              <w:kern w:val="2"/>
            </w:rPr>
            <w:t>Pasirinkti</w:t>
          </w:r>
        </w:sdtContent>
      </w:sdt>
      <w:r w:rsidRPr="00DE219A">
        <w:rPr>
          <w:rFonts w:cs="Tahoma"/>
          <w:b/>
          <w:bCs/>
          <w:color w:val="000000"/>
          <w:lang w:eastAsia="lt-LT"/>
        </w:rPr>
        <w:t xml:space="preserve"> </w:t>
      </w:r>
    </w:p>
    <w:p w14:paraId="0E1A3401" w14:textId="77777777" w:rsidR="00091A86" w:rsidRDefault="00091A86" w:rsidP="00091A86">
      <w:pPr>
        <w:rPr>
          <w:rFonts w:cs="Tahoma"/>
        </w:rPr>
      </w:pPr>
    </w:p>
    <w:p w14:paraId="2D3DB2B7" w14:textId="58E7021B" w:rsidR="008D590E" w:rsidRPr="007E74B8" w:rsidRDefault="008D590E" w:rsidP="00091A86">
      <w:pPr>
        <w:ind w:firstLine="567"/>
        <w:rPr>
          <w:rFonts w:cs="Tahoma"/>
        </w:rPr>
      </w:pPr>
      <w:r w:rsidRPr="007E74B8">
        <w:rPr>
          <w:rFonts w:cs="Tahoma"/>
        </w:rPr>
        <w:t>Jeigu atsisakoma priimti Paslaugas ar jų dalį dėl Paslaugų perdavimo–priėmimo metu pastebėtų</w:t>
      </w:r>
      <w:r w:rsidR="00091A86">
        <w:rPr>
          <w:rFonts w:cs="Tahoma"/>
        </w:rPr>
        <w:t xml:space="preserve"> </w:t>
      </w:r>
      <w:r w:rsidRPr="007E74B8">
        <w:rPr>
          <w:rFonts w:cs="Tahoma"/>
        </w:rPr>
        <w:t>trūkumų, jie nurodomi ir aprašomi šioje lentelėje: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6"/>
        <w:gridCol w:w="3049"/>
        <w:gridCol w:w="3522"/>
        <w:gridCol w:w="2673"/>
      </w:tblGrid>
      <w:tr w:rsidR="008D590E" w:rsidRPr="007E74B8" w14:paraId="51A0F7CF" w14:textId="77777777" w:rsidTr="00091A86">
        <w:trPr>
          <w:trHeight w:val="555"/>
        </w:trPr>
        <w:tc>
          <w:tcPr>
            <w:tcW w:w="401" w:type="pct"/>
            <w:tcBorders>
              <w:top w:val="double" w:sz="4" w:space="0" w:color="auto"/>
              <w:bottom w:val="single" w:sz="4" w:space="0" w:color="auto"/>
            </w:tcBorders>
            <w:shd w:val="clear" w:color="auto" w:fill="D9D9D9"/>
            <w:vAlign w:val="center"/>
          </w:tcPr>
          <w:p w14:paraId="32FDCF0D" w14:textId="77777777" w:rsidR="008D590E" w:rsidRPr="007E74B8" w:rsidRDefault="008D590E">
            <w:pPr>
              <w:jc w:val="center"/>
              <w:rPr>
                <w:rFonts w:cs="Tahoma"/>
                <w:bCs/>
                <w:iCs/>
              </w:rPr>
            </w:pPr>
            <w:r w:rsidRPr="007E74B8">
              <w:rPr>
                <w:rFonts w:cs="Tahoma"/>
                <w:bCs/>
                <w:iCs/>
              </w:rPr>
              <w:t>Eil. Nr.</w:t>
            </w:r>
          </w:p>
        </w:tc>
        <w:tc>
          <w:tcPr>
            <w:tcW w:w="1517" w:type="pct"/>
            <w:tcBorders>
              <w:top w:val="double" w:sz="4" w:space="0" w:color="auto"/>
              <w:bottom w:val="single" w:sz="4" w:space="0" w:color="auto"/>
            </w:tcBorders>
            <w:shd w:val="clear" w:color="auto" w:fill="D9D9D9"/>
            <w:vAlign w:val="center"/>
          </w:tcPr>
          <w:p w14:paraId="4DFD04E2" w14:textId="77777777" w:rsidR="008D590E" w:rsidRPr="007E74B8" w:rsidRDefault="008D590E">
            <w:pPr>
              <w:jc w:val="center"/>
              <w:rPr>
                <w:rFonts w:cs="Tahoma"/>
                <w:bCs/>
                <w:iCs/>
              </w:rPr>
            </w:pPr>
            <w:r w:rsidRPr="007E74B8">
              <w:rPr>
                <w:rFonts w:cs="Tahoma"/>
                <w:bCs/>
                <w:iCs/>
              </w:rPr>
              <w:t>Paslaugų trūkumų aprašymas</w:t>
            </w:r>
          </w:p>
        </w:tc>
        <w:tc>
          <w:tcPr>
            <w:tcW w:w="1752" w:type="pct"/>
            <w:tcBorders>
              <w:top w:val="double" w:sz="4" w:space="0" w:color="auto"/>
              <w:bottom w:val="single" w:sz="4" w:space="0" w:color="auto"/>
            </w:tcBorders>
            <w:shd w:val="clear" w:color="auto" w:fill="D9D9D9"/>
            <w:vAlign w:val="center"/>
          </w:tcPr>
          <w:p w14:paraId="7EB11FCC" w14:textId="77777777" w:rsidR="008D590E" w:rsidRPr="007E74B8" w:rsidRDefault="008D590E">
            <w:pPr>
              <w:jc w:val="center"/>
              <w:rPr>
                <w:rFonts w:cs="Tahoma"/>
                <w:bCs/>
                <w:iCs/>
              </w:rPr>
            </w:pPr>
            <w:r w:rsidRPr="007E74B8">
              <w:rPr>
                <w:rFonts w:cs="Tahoma"/>
                <w:bCs/>
                <w:iCs/>
              </w:rPr>
              <w:t>Numatomas Paslaugų trūkumų pašalinimo terminas</w:t>
            </w:r>
          </w:p>
        </w:tc>
        <w:tc>
          <w:tcPr>
            <w:tcW w:w="1330" w:type="pct"/>
            <w:tcBorders>
              <w:top w:val="double" w:sz="4" w:space="0" w:color="auto"/>
              <w:bottom w:val="single" w:sz="4" w:space="0" w:color="auto"/>
            </w:tcBorders>
            <w:shd w:val="clear" w:color="auto" w:fill="D9D9D9"/>
            <w:vAlign w:val="center"/>
          </w:tcPr>
          <w:p w14:paraId="6C1DE32C" w14:textId="77777777" w:rsidR="008D590E" w:rsidRPr="007E74B8" w:rsidRDefault="008D590E">
            <w:pPr>
              <w:jc w:val="center"/>
              <w:rPr>
                <w:rFonts w:cs="Tahoma"/>
                <w:bCs/>
                <w:iCs/>
              </w:rPr>
            </w:pPr>
            <w:r w:rsidRPr="007E74B8">
              <w:rPr>
                <w:rFonts w:cs="Tahoma"/>
                <w:bCs/>
                <w:iCs/>
              </w:rPr>
              <w:t>Pastabos</w:t>
            </w:r>
          </w:p>
        </w:tc>
      </w:tr>
      <w:tr w:rsidR="008D590E" w:rsidRPr="007E74B8" w14:paraId="033D9101" w14:textId="77777777" w:rsidTr="00091A86">
        <w:trPr>
          <w:trHeight w:val="236"/>
        </w:trPr>
        <w:tc>
          <w:tcPr>
            <w:tcW w:w="401" w:type="pct"/>
            <w:tcBorders>
              <w:top w:val="single" w:sz="4" w:space="0" w:color="auto"/>
              <w:bottom w:val="double" w:sz="4" w:space="0" w:color="auto"/>
              <w:tr2bl w:val="single" w:sz="4" w:space="0" w:color="auto"/>
            </w:tcBorders>
          </w:tcPr>
          <w:p w14:paraId="274F9E89" w14:textId="77777777" w:rsidR="008D590E" w:rsidRPr="007E74B8" w:rsidRDefault="008D590E">
            <w:pPr>
              <w:jc w:val="center"/>
              <w:rPr>
                <w:rFonts w:cs="Tahoma"/>
              </w:rPr>
            </w:pPr>
          </w:p>
        </w:tc>
        <w:tc>
          <w:tcPr>
            <w:tcW w:w="1517" w:type="pct"/>
            <w:tcBorders>
              <w:top w:val="single" w:sz="4" w:space="0" w:color="auto"/>
              <w:bottom w:val="double" w:sz="4" w:space="0" w:color="auto"/>
              <w:tr2bl w:val="single" w:sz="4" w:space="0" w:color="auto"/>
            </w:tcBorders>
          </w:tcPr>
          <w:p w14:paraId="3481BB8C" w14:textId="77777777" w:rsidR="008D590E" w:rsidRPr="007E74B8" w:rsidRDefault="008D590E">
            <w:pPr>
              <w:jc w:val="center"/>
              <w:rPr>
                <w:rFonts w:cs="Tahoma"/>
              </w:rPr>
            </w:pPr>
          </w:p>
        </w:tc>
        <w:tc>
          <w:tcPr>
            <w:tcW w:w="1752" w:type="pct"/>
            <w:tcBorders>
              <w:top w:val="single" w:sz="4" w:space="0" w:color="auto"/>
              <w:bottom w:val="double" w:sz="4" w:space="0" w:color="auto"/>
              <w:tr2bl w:val="single" w:sz="4" w:space="0" w:color="auto"/>
            </w:tcBorders>
          </w:tcPr>
          <w:p w14:paraId="7004B22A" w14:textId="77777777" w:rsidR="008D590E" w:rsidRPr="007E74B8" w:rsidRDefault="008D590E">
            <w:pPr>
              <w:jc w:val="center"/>
              <w:rPr>
                <w:rFonts w:cs="Tahoma"/>
              </w:rPr>
            </w:pPr>
          </w:p>
        </w:tc>
        <w:tc>
          <w:tcPr>
            <w:tcW w:w="1330" w:type="pct"/>
            <w:tcBorders>
              <w:top w:val="single" w:sz="4" w:space="0" w:color="auto"/>
              <w:bottom w:val="double" w:sz="4" w:space="0" w:color="auto"/>
              <w:tr2bl w:val="single" w:sz="4" w:space="0" w:color="auto"/>
            </w:tcBorders>
          </w:tcPr>
          <w:p w14:paraId="7F33D9F5" w14:textId="77777777" w:rsidR="008D590E" w:rsidRPr="007E74B8" w:rsidRDefault="008D590E">
            <w:pPr>
              <w:jc w:val="center"/>
              <w:rPr>
                <w:rFonts w:cs="Tahoma"/>
              </w:rPr>
            </w:pPr>
          </w:p>
        </w:tc>
      </w:tr>
    </w:tbl>
    <w:p w14:paraId="6BF096B9" w14:textId="77777777" w:rsidR="008D590E" w:rsidRDefault="008D590E" w:rsidP="008D590E">
      <w:pPr>
        <w:jc w:val="center"/>
        <w:rPr>
          <w:rFonts w:cs="Tahoma"/>
          <w:i/>
          <w:iCs/>
        </w:rPr>
      </w:pPr>
      <w:r w:rsidRPr="007E74B8">
        <w:rPr>
          <w:rFonts w:cs="Tahoma"/>
          <w:b/>
          <w:bCs/>
          <w:i/>
          <w:iCs/>
        </w:rPr>
        <w:t>Pastaba</w:t>
      </w:r>
      <w:r w:rsidRPr="007E74B8">
        <w:rPr>
          <w:rFonts w:cs="Tahoma"/>
          <w:b/>
          <w:i/>
          <w:iCs/>
        </w:rPr>
        <w:t>:</w:t>
      </w:r>
      <w:r w:rsidRPr="007E74B8">
        <w:rPr>
          <w:rFonts w:cs="Tahoma"/>
          <w:i/>
          <w:iCs/>
        </w:rPr>
        <w:t xml:space="preserve"> jei Paslaugų trūkumų nėra pastebėta, lentelė turi būti perbraukta „Z“ formos brūkšniais.</w:t>
      </w:r>
    </w:p>
    <w:p w14:paraId="10FD5062" w14:textId="77777777" w:rsidR="00090541" w:rsidRPr="007E74B8" w:rsidRDefault="00090541" w:rsidP="00091A86">
      <w:pPr>
        <w:rPr>
          <w:rFonts w:cs="Tahoma"/>
        </w:rPr>
      </w:pPr>
    </w:p>
    <w:p w14:paraId="07D31C5E" w14:textId="77777777" w:rsidR="008D590E" w:rsidRPr="007E74B8" w:rsidRDefault="008D590E" w:rsidP="008D590E">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8D590E" w:rsidRPr="007E74B8" w14:paraId="6C4421A3" w14:textId="77777777">
        <w:tc>
          <w:tcPr>
            <w:tcW w:w="4959" w:type="dxa"/>
          </w:tcPr>
          <w:p w14:paraId="48F3EE95" w14:textId="77777777" w:rsidR="008D590E" w:rsidRPr="007E74B8" w:rsidRDefault="008D590E">
            <w:pPr>
              <w:widowControl w:val="0"/>
              <w:rPr>
                <w:rFonts w:cs="Tahoma"/>
              </w:rPr>
            </w:pPr>
            <w:r w:rsidRPr="007E74B8">
              <w:rPr>
                <w:rFonts w:cs="Tahoma"/>
                <w:b/>
              </w:rPr>
              <w:t>PASLAUGAS PRIĖMĖ:</w:t>
            </w:r>
          </w:p>
          <w:p w14:paraId="511498F4" w14:textId="150716DA" w:rsidR="008D590E" w:rsidRPr="007E74B8" w:rsidRDefault="00090541">
            <w:pPr>
              <w:widowControl w:val="0"/>
              <w:rPr>
                <w:rFonts w:cs="Tahoma"/>
              </w:rPr>
            </w:pPr>
            <w:r w:rsidRPr="00090541">
              <w:rPr>
                <w:rFonts w:cs="Tahoma"/>
                <w:b/>
              </w:rPr>
              <w:t>Viešoji įstaiga Inovacijų agentūra</w:t>
            </w:r>
          </w:p>
        </w:tc>
        <w:tc>
          <w:tcPr>
            <w:tcW w:w="4652" w:type="dxa"/>
          </w:tcPr>
          <w:p w14:paraId="1E3CA5C7" w14:textId="77777777" w:rsidR="008D590E" w:rsidRPr="007E74B8" w:rsidRDefault="008D590E">
            <w:pPr>
              <w:widowControl w:val="0"/>
              <w:rPr>
                <w:rFonts w:cs="Tahoma"/>
              </w:rPr>
            </w:pPr>
            <w:r w:rsidRPr="007E74B8">
              <w:rPr>
                <w:rFonts w:cs="Tahoma"/>
                <w:b/>
              </w:rPr>
              <w:t>PASLAUGAS PERDAVĖ:</w:t>
            </w:r>
          </w:p>
          <w:p w14:paraId="17B094AB" w14:textId="77777777" w:rsidR="008D590E" w:rsidRPr="007E74B8" w:rsidRDefault="008D590E">
            <w:pPr>
              <w:widowControl w:val="0"/>
              <w:rPr>
                <w:rFonts w:cs="Tahoma"/>
              </w:rPr>
            </w:pPr>
            <w:r w:rsidRPr="007E74B8">
              <w:rPr>
                <w:rFonts w:cs="Tahoma"/>
                <w:b/>
              </w:rPr>
              <w:t>(Tiekėjo pavadinimas):</w:t>
            </w:r>
          </w:p>
        </w:tc>
      </w:tr>
      <w:tr w:rsidR="008D590E" w:rsidRPr="007E74B8" w14:paraId="4B64C1D2" w14:textId="77777777">
        <w:trPr>
          <w:trHeight w:val="862"/>
        </w:trPr>
        <w:tc>
          <w:tcPr>
            <w:tcW w:w="4959" w:type="dxa"/>
          </w:tcPr>
          <w:p w14:paraId="0CCB48ED" w14:textId="77777777" w:rsidR="008D590E" w:rsidRPr="007E74B8" w:rsidRDefault="008D590E">
            <w:pPr>
              <w:widowControl w:val="0"/>
              <w:rPr>
                <w:rFonts w:cs="Tahoma"/>
              </w:rPr>
            </w:pPr>
            <w:r w:rsidRPr="007E74B8">
              <w:rPr>
                <w:rFonts w:cs="Tahoma"/>
              </w:rPr>
              <w:t>______________________________</w:t>
            </w:r>
          </w:p>
          <w:p w14:paraId="6DB97659" w14:textId="77777777" w:rsidR="008D590E" w:rsidRPr="007E74B8" w:rsidRDefault="008D590E">
            <w:pPr>
              <w:widowControl w:val="0"/>
              <w:rPr>
                <w:rFonts w:cs="Tahoma"/>
              </w:rPr>
            </w:pPr>
            <w:bookmarkStart w:id="5" w:name="permission-for-group%3A310714910%3Aevery"/>
            <w:bookmarkEnd w:id="5"/>
            <w:r w:rsidRPr="007E74B8">
              <w:rPr>
                <w:rFonts w:cs="Tahoma"/>
                <w:bCs/>
              </w:rPr>
              <w:t>(atsakingo asmens pareigų pavadinimas)</w:t>
            </w:r>
          </w:p>
          <w:p w14:paraId="7EFE34C1"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6" w:name="permission-for-group%3A599210034%3Aevery"/>
            <w:bookmarkEnd w:id="6"/>
          </w:p>
        </w:tc>
        <w:tc>
          <w:tcPr>
            <w:tcW w:w="4652" w:type="dxa"/>
          </w:tcPr>
          <w:p w14:paraId="793ADD33" w14:textId="77777777" w:rsidR="008D590E" w:rsidRPr="007E74B8" w:rsidRDefault="008D590E">
            <w:pPr>
              <w:widowControl w:val="0"/>
              <w:rPr>
                <w:rFonts w:cs="Tahoma"/>
              </w:rPr>
            </w:pPr>
            <w:r w:rsidRPr="007E74B8">
              <w:rPr>
                <w:rFonts w:cs="Tahoma"/>
              </w:rPr>
              <w:t>____________________________</w:t>
            </w:r>
          </w:p>
          <w:p w14:paraId="6244EEED" w14:textId="77777777" w:rsidR="008D590E" w:rsidRPr="007E74B8" w:rsidRDefault="008D590E">
            <w:pPr>
              <w:widowControl w:val="0"/>
              <w:rPr>
                <w:rFonts w:cs="Tahoma"/>
              </w:rPr>
            </w:pPr>
            <w:bookmarkStart w:id="7" w:name="permission-for-group%3A2120436056%3Aever"/>
            <w:bookmarkEnd w:id="7"/>
            <w:r w:rsidRPr="007E74B8">
              <w:rPr>
                <w:rFonts w:cs="Tahoma"/>
                <w:bCs/>
              </w:rPr>
              <w:t xml:space="preserve">(atsakingo asmens pareigų pavadinimas) </w:t>
            </w:r>
          </w:p>
          <w:p w14:paraId="098EEE9D" w14:textId="77777777" w:rsidR="008D590E" w:rsidRPr="007E74B8" w:rsidRDefault="008D590E">
            <w:pPr>
              <w:widowControl w:val="0"/>
              <w:rPr>
                <w:rFonts w:cs="Tahoma"/>
              </w:rPr>
            </w:pPr>
            <w:r w:rsidRPr="007E74B8">
              <w:rPr>
                <w:rFonts w:cs="Tahoma"/>
                <w:bCs/>
              </w:rPr>
              <w:t>(vardas ir pavardė</w:t>
            </w:r>
            <w:r w:rsidRPr="007E74B8">
              <w:rPr>
                <w:rFonts w:cs="Tahoma"/>
              </w:rPr>
              <w:t>)</w:t>
            </w:r>
            <w:bookmarkStart w:id="8" w:name="permission-for-group%3A1814260395%3Aever"/>
            <w:bookmarkEnd w:id="8"/>
          </w:p>
        </w:tc>
      </w:tr>
    </w:tbl>
    <w:p w14:paraId="736C6562" w14:textId="77777777" w:rsidR="008D590E" w:rsidRPr="007E74B8" w:rsidRDefault="008D590E" w:rsidP="008D590E">
      <w:pPr>
        <w:rPr>
          <w:rFonts w:cs="Tahoma"/>
        </w:rPr>
      </w:pPr>
    </w:p>
    <w:p w14:paraId="207A677A" w14:textId="77777777" w:rsidR="008D590E" w:rsidRPr="007E74B8" w:rsidRDefault="008D590E" w:rsidP="008D590E">
      <w:pPr>
        <w:rPr>
          <w:rFonts w:cs="Tahoma"/>
        </w:rPr>
      </w:pPr>
    </w:p>
    <w:p w14:paraId="12E06500" w14:textId="58F81D6F" w:rsidR="009D18E7" w:rsidRDefault="009D18E7">
      <w:pPr>
        <w:rPr>
          <w:rFonts w:cs="Tahoma"/>
        </w:rPr>
      </w:pPr>
      <w:r>
        <w:rPr>
          <w:rFonts w:cs="Tahoma"/>
        </w:rPr>
        <w:br w:type="page"/>
      </w:r>
    </w:p>
    <w:p w14:paraId="0EA5A0A2" w14:textId="77777777" w:rsidR="009D18E7" w:rsidRPr="00091A86" w:rsidRDefault="009D18E7" w:rsidP="009D18E7">
      <w:pPr>
        <w:jc w:val="right"/>
        <w:rPr>
          <w:rFonts w:cs="Tahoma"/>
        </w:rPr>
      </w:pPr>
      <w:r w:rsidRPr="00091A86">
        <w:rPr>
          <w:rFonts w:cs="Tahoma"/>
        </w:rPr>
        <w:lastRenderedPageBreak/>
        <w:t xml:space="preserve">Priedas Nr. </w:t>
      </w:r>
      <w:r>
        <w:rPr>
          <w:rFonts w:cs="Tahoma"/>
        </w:rPr>
        <w:t>3</w:t>
      </w:r>
    </w:p>
    <w:p w14:paraId="418E1B0B" w14:textId="77777777" w:rsidR="008D590E" w:rsidRPr="007E74B8" w:rsidRDefault="008D590E" w:rsidP="008D590E">
      <w:pPr>
        <w:rPr>
          <w:rFonts w:cs="Tahoma"/>
        </w:rPr>
      </w:pPr>
    </w:p>
    <w:p w14:paraId="23B710B8" w14:textId="492DB5FC" w:rsidR="007D739D" w:rsidRPr="003B5DCC" w:rsidRDefault="008D0F20" w:rsidP="007D739D">
      <w:pPr>
        <w:numPr>
          <w:ilvl w:val="0"/>
          <w:numId w:val="11"/>
        </w:numPr>
        <w:tabs>
          <w:tab w:val="left" w:pos="284"/>
        </w:tabs>
        <w:spacing w:line="276" w:lineRule="auto"/>
        <w:ind w:left="0" w:right="-1" w:firstLine="0"/>
        <w:contextualSpacing/>
        <w:jc w:val="center"/>
        <w:rPr>
          <w:rFonts w:ascii="Verdana" w:eastAsia="Calibri" w:hAnsi="Verdana" w:cstheme="majorBidi"/>
          <w:b/>
          <w:sz w:val="20"/>
        </w:rPr>
      </w:pPr>
      <w:r>
        <w:rPr>
          <w:rFonts w:ascii="Verdana" w:eastAsia="Calibri" w:hAnsi="Verdana" w:cstheme="majorBidi"/>
          <w:b/>
          <w:sz w:val="20"/>
        </w:rPr>
        <w:t>NE</w:t>
      </w:r>
      <w:r w:rsidR="007D739D">
        <w:rPr>
          <w:rFonts w:ascii="Verdana" w:eastAsia="Calibri" w:hAnsi="Verdana" w:cstheme="majorBidi"/>
          <w:b/>
          <w:sz w:val="20"/>
        </w:rPr>
        <w:t>ATNAUJINT</w:t>
      </w:r>
      <w:r>
        <w:rPr>
          <w:rFonts w:ascii="Verdana" w:eastAsia="Calibri" w:hAnsi="Verdana" w:cstheme="majorBidi"/>
          <w:b/>
          <w:sz w:val="20"/>
        </w:rPr>
        <w:t>O</w:t>
      </w:r>
      <w:r w:rsidR="007D739D">
        <w:rPr>
          <w:rFonts w:ascii="Verdana" w:eastAsia="Calibri" w:hAnsi="Verdana" w:cstheme="majorBidi"/>
          <w:b/>
          <w:sz w:val="20"/>
        </w:rPr>
        <w:t xml:space="preserve"> VARŽYMASI/</w:t>
      </w:r>
      <w:r w:rsidR="007D739D" w:rsidRPr="003B5DCC">
        <w:rPr>
          <w:rFonts w:ascii="Verdana" w:eastAsia="Calibri" w:hAnsi="Verdana" w:cstheme="majorBidi"/>
          <w:b/>
          <w:sz w:val="20"/>
        </w:rPr>
        <w:t>PASLAUGŲ UŽSAKYM</w:t>
      </w:r>
      <w:r>
        <w:rPr>
          <w:rFonts w:ascii="Verdana" w:eastAsia="Calibri" w:hAnsi="Verdana" w:cstheme="majorBidi"/>
          <w:b/>
          <w:sz w:val="20"/>
        </w:rPr>
        <w:t>O TVARKA</w:t>
      </w:r>
    </w:p>
    <w:p w14:paraId="41092980" w14:textId="77777777" w:rsidR="007D739D" w:rsidRPr="003B5DCC" w:rsidRDefault="007D739D" w:rsidP="007D739D">
      <w:pPr>
        <w:tabs>
          <w:tab w:val="left" w:pos="284"/>
        </w:tabs>
        <w:spacing w:line="276" w:lineRule="auto"/>
        <w:ind w:right="-1"/>
        <w:contextualSpacing/>
        <w:rPr>
          <w:rFonts w:ascii="Verdana" w:eastAsia="Calibri" w:hAnsi="Verdana" w:cstheme="majorBidi"/>
          <w:b/>
          <w:sz w:val="20"/>
        </w:rPr>
      </w:pPr>
    </w:p>
    <w:p w14:paraId="1789F85B" w14:textId="77777777" w:rsidR="007D739D" w:rsidRPr="003B5DCC" w:rsidRDefault="007D739D" w:rsidP="007D739D">
      <w:pPr>
        <w:pStyle w:val="ListParagraph"/>
        <w:numPr>
          <w:ilvl w:val="1"/>
          <w:numId w:val="11"/>
        </w:numPr>
        <w:spacing w:line="276" w:lineRule="auto"/>
        <w:ind w:left="0" w:right="-1" w:firstLine="709"/>
        <w:jc w:val="both"/>
        <w:rPr>
          <w:rFonts w:ascii="Verdana" w:eastAsia="Calibri" w:hAnsi="Verdana" w:cstheme="majorBidi"/>
          <w:sz w:val="20"/>
        </w:rPr>
      </w:pPr>
      <w:r w:rsidRPr="003B5DCC">
        <w:rPr>
          <w:rFonts w:ascii="Verdana" w:eastAsia="Calibri" w:hAnsi="Verdana" w:cstheme="majorBidi"/>
          <w:sz w:val="20"/>
        </w:rPr>
        <w:t>Preliminariojoje sutartyje nustatoma ši laimėjusių Tiekėjų eilė:</w:t>
      </w:r>
    </w:p>
    <w:p w14:paraId="23098145" w14:textId="77777777" w:rsidR="007D739D" w:rsidRPr="003B5DCC"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(toliau – Pirmas tiekėjas);</w:t>
      </w:r>
    </w:p>
    <w:p w14:paraId="3EB0EF1C" w14:textId="77777777" w:rsidR="007D739D" w:rsidRPr="003B5DCC" w:rsidRDefault="007D739D" w:rsidP="007D739D">
      <w:pPr>
        <w:pStyle w:val="ListParagraph"/>
        <w:numPr>
          <w:ilvl w:val="2"/>
          <w:numId w:val="11"/>
        </w:numPr>
        <w:spacing w:line="276" w:lineRule="auto"/>
        <w:ind w:left="0" w:right="-1" w:firstLine="709"/>
        <w:jc w:val="both"/>
        <w:rPr>
          <w:rFonts w:ascii="Verdana" w:eastAsia="Calibri" w:hAnsi="Verdana" w:cstheme="majorBid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(toliau – Antras tiekėjas);</w:t>
      </w:r>
    </w:p>
    <w:p w14:paraId="24D1E41C" w14:textId="77777777" w:rsidR="007D739D" w:rsidRPr="006E2655"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(toliau – Trečias tiekėjas)</w:t>
      </w:r>
      <w:r>
        <w:rPr>
          <w:rFonts w:ascii="Verdana" w:eastAsia="Calibri" w:hAnsi="Verdana" w:cstheme="majorBidi"/>
          <w:sz w:val="20"/>
        </w:rPr>
        <w:t>;</w:t>
      </w:r>
    </w:p>
    <w:p w14:paraId="2328BEF8" w14:textId="77777777" w:rsidR="007D739D" w:rsidRPr="003B5DCC" w:rsidRDefault="007D739D" w:rsidP="007D739D">
      <w:pPr>
        <w:pStyle w:val="ListParagraph"/>
        <w:numPr>
          <w:ilvl w:val="2"/>
          <w:numId w:val="11"/>
        </w:numPr>
        <w:spacing w:line="276" w:lineRule="auto"/>
        <w:ind w:right="-1" w:hanging="153"/>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 xml:space="preserve">Ketvirtas </w:t>
      </w:r>
      <w:r w:rsidRPr="003B5DCC">
        <w:rPr>
          <w:rFonts w:ascii="Verdana" w:eastAsia="Calibri" w:hAnsi="Verdana" w:cstheme="majorBidi"/>
          <w:sz w:val="20"/>
        </w:rPr>
        <w:t>tiekėjas);</w:t>
      </w:r>
    </w:p>
    <w:p w14:paraId="6D32FDCB" w14:textId="77777777" w:rsidR="007D739D" w:rsidRPr="003B5DCC" w:rsidRDefault="007D739D" w:rsidP="007D739D">
      <w:pPr>
        <w:pStyle w:val="ListParagraph"/>
        <w:numPr>
          <w:ilvl w:val="2"/>
          <w:numId w:val="11"/>
        </w:numPr>
        <w:spacing w:line="276" w:lineRule="auto"/>
        <w:ind w:left="0" w:right="-1" w:firstLine="709"/>
        <w:jc w:val="both"/>
        <w:rPr>
          <w:rFonts w:ascii="Verdana" w:eastAsia="Calibri" w:hAnsi="Verdana" w:cstheme="majorBid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Penktas</w:t>
      </w:r>
      <w:r w:rsidRPr="003B5DCC">
        <w:rPr>
          <w:rFonts w:ascii="Verdana" w:eastAsia="Calibri" w:hAnsi="Verdana" w:cstheme="majorBidi"/>
          <w:sz w:val="20"/>
        </w:rPr>
        <w:t xml:space="preserve"> tiekėjas);</w:t>
      </w:r>
    </w:p>
    <w:p w14:paraId="583F3C72" w14:textId="77777777" w:rsidR="007D739D" w:rsidRPr="00A9468D"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Šeštas</w:t>
      </w:r>
      <w:r w:rsidRPr="003B5DCC">
        <w:rPr>
          <w:rFonts w:ascii="Verdana" w:eastAsia="Calibri" w:hAnsi="Verdana" w:cstheme="majorBidi"/>
          <w:sz w:val="20"/>
        </w:rPr>
        <w:t xml:space="preserve"> tiekėjas).</w:t>
      </w:r>
    </w:p>
    <w:p w14:paraId="0CFECA3E" w14:textId="77777777" w:rsidR="007D739D" w:rsidRPr="00F9312E"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Septintas</w:t>
      </w:r>
      <w:r w:rsidRPr="003B5DCC">
        <w:rPr>
          <w:rFonts w:ascii="Verdana" w:eastAsia="Calibri" w:hAnsi="Verdana" w:cstheme="majorBidi"/>
          <w:sz w:val="20"/>
        </w:rPr>
        <w:t xml:space="preserve"> tiekėjas).</w:t>
      </w:r>
    </w:p>
    <w:p w14:paraId="25A1646C" w14:textId="77777777" w:rsidR="007D739D" w:rsidRPr="00F9312E"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Aštuntas</w:t>
      </w:r>
      <w:r w:rsidRPr="003B5DCC">
        <w:rPr>
          <w:rFonts w:ascii="Verdana" w:eastAsia="Calibri" w:hAnsi="Verdana" w:cstheme="majorBidi"/>
          <w:sz w:val="20"/>
        </w:rPr>
        <w:t xml:space="preserve"> tiekėjas).</w:t>
      </w:r>
    </w:p>
    <w:p w14:paraId="3B964A0B" w14:textId="77777777" w:rsidR="007D739D" w:rsidRPr="00F9312E"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Devintas</w:t>
      </w:r>
      <w:r w:rsidRPr="003B5DCC">
        <w:rPr>
          <w:rFonts w:ascii="Verdana" w:eastAsia="Calibri" w:hAnsi="Verdana" w:cstheme="majorBidi"/>
          <w:sz w:val="20"/>
        </w:rPr>
        <w:t xml:space="preserve"> tiekėjas).</w:t>
      </w:r>
    </w:p>
    <w:p w14:paraId="0FA3546D" w14:textId="77777777" w:rsidR="007D739D" w:rsidRPr="00F9312E" w:rsidRDefault="007D739D" w:rsidP="007D739D">
      <w:pPr>
        <w:pStyle w:val="ListParagraph"/>
        <w:numPr>
          <w:ilvl w:val="2"/>
          <w:numId w:val="11"/>
        </w:numPr>
        <w:spacing w:line="276" w:lineRule="auto"/>
        <w:ind w:left="0" w:right="-1" w:firstLine="709"/>
        <w:jc w:val="both"/>
        <w:rPr>
          <w:rFonts w:ascii="Verdana" w:eastAsia="Calibri" w:hAnsi="Verdana" w:cstheme="majorBidi"/>
          <w:i/>
          <w:sz w:val="20"/>
        </w:rPr>
      </w:pPr>
      <w:r w:rsidRPr="003B5DCC">
        <w:rPr>
          <w:rFonts w:ascii="Verdana" w:eastAsia="Calibri" w:hAnsi="Verdana" w:cstheme="majorBidi"/>
          <w:i/>
          <w:sz w:val="20"/>
        </w:rPr>
        <w:t xml:space="preserve">(nurodomas tiekėjas) </w:t>
      </w:r>
      <w:r w:rsidRPr="003B5DCC">
        <w:rPr>
          <w:rFonts w:ascii="Verdana" w:eastAsia="Calibri" w:hAnsi="Verdana" w:cstheme="majorBidi"/>
          <w:sz w:val="20"/>
        </w:rPr>
        <w:t xml:space="preserve">(toliau – </w:t>
      </w:r>
      <w:r>
        <w:rPr>
          <w:rFonts w:ascii="Verdana" w:eastAsia="Calibri" w:hAnsi="Verdana" w:cstheme="majorBidi"/>
          <w:sz w:val="20"/>
        </w:rPr>
        <w:t xml:space="preserve">Dešimtas </w:t>
      </w:r>
      <w:r w:rsidRPr="003B5DCC">
        <w:rPr>
          <w:rFonts w:ascii="Verdana" w:eastAsia="Calibri" w:hAnsi="Verdana" w:cstheme="majorBidi"/>
          <w:sz w:val="20"/>
        </w:rPr>
        <w:t>tiekėjas).</w:t>
      </w:r>
    </w:p>
    <w:p w14:paraId="07EA9791" w14:textId="77777777" w:rsidR="007D739D" w:rsidRPr="0019157B" w:rsidRDefault="007D739D" w:rsidP="007D739D">
      <w:pPr>
        <w:pStyle w:val="ListParagraph"/>
        <w:numPr>
          <w:ilvl w:val="1"/>
          <w:numId w:val="11"/>
        </w:numPr>
        <w:spacing w:line="276" w:lineRule="auto"/>
        <w:ind w:left="0" w:right="-1" w:firstLine="709"/>
        <w:jc w:val="both"/>
        <w:rPr>
          <w:rFonts w:ascii="Verdana" w:eastAsia="Calibri" w:hAnsi="Verdana" w:cstheme="majorBidi"/>
          <w:sz w:val="20"/>
        </w:rPr>
      </w:pPr>
      <w:r w:rsidRPr="0019157B">
        <w:rPr>
          <w:rFonts w:ascii="Verdana" w:eastAsia="Calibri" w:hAnsi="Verdana" w:cstheme="majorBidi"/>
          <w:sz w:val="20"/>
        </w:rPr>
        <w:t xml:space="preserve">Paslaugos pagal Preliminariąją sutartį, vadovaujantis Viešųjų pirkimų įstatymo 78 str. 5 d. 1 p., užsakomos neatnaujinant Tiekėjų varžymosi. Agentūra turėdama poreikį užsakyti paslaugas kreipiasi į Tiekėjus su naujais užsakymais tokia tvarka: </w:t>
      </w:r>
    </w:p>
    <w:p w14:paraId="4DC55178" w14:textId="682774C0" w:rsidR="007D739D" w:rsidRPr="0019157B" w:rsidRDefault="007D739D" w:rsidP="007D739D">
      <w:pPr>
        <w:pStyle w:val="ListParagraph"/>
        <w:numPr>
          <w:ilvl w:val="2"/>
          <w:numId w:val="11"/>
        </w:numPr>
        <w:tabs>
          <w:tab w:val="left" w:pos="1560"/>
        </w:tabs>
        <w:spacing w:after="160" w:line="259" w:lineRule="auto"/>
        <w:ind w:left="0" w:firstLine="709"/>
        <w:jc w:val="both"/>
        <w:rPr>
          <w:rFonts w:ascii="Verdana" w:eastAsia="Calibri" w:hAnsi="Verdana" w:cstheme="majorBidi"/>
          <w:sz w:val="20"/>
        </w:rPr>
      </w:pPr>
      <w:r w:rsidRPr="0019157B">
        <w:rPr>
          <w:rFonts w:ascii="Verdana" w:eastAsia="Calibri" w:hAnsi="Verdana" w:cstheme="majorBidi"/>
          <w:sz w:val="20"/>
        </w:rPr>
        <w:t xml:space="preserve">nauji paslaugų užsakymai </w:t>
      </w:r>
      <w:r w:rsidR="00861EEC">
        <w:rPr>
          <w:rFonts w:ascii="Verdana" w:eastAsia="Calibri" w:hAnsi="Verdana" w:cstheme="majorBidi"/>
          <w:sz w:val="20"/>
        </w:rPr>
        <w:t>yra</w:t>
      </w:r>
      <w:r w:rsidR="00861EEC" w:rsidRPr="00861EEC">
        <w:rPr>
          <w:rFonts w:ascii="Verdana" w:eastAsia="Calibri" w:hAnsi="Verdana" w:cstheme="majorBidi"/>
          <w:sz w:val="20"/>
        </w:rPr>
        <w:t xml:space="preserve"> skirstomi rotacijos būdu po 5 užsakymus (nepriklausomai nuo to, kiek vienas tiekėjas pasiūlys/turės ekspertų), pradedant nuo pirmo tiekėjo, po to antroje, trečioje, ketvirtoje ir kitose vietose (iki dešimtos) esantiems tiekėjams, pagal ekonominio naudingumo (kainos) mažėjimo tvarką. Tai yra, 5 užsakymai pirmiausia siūlomi pirmam tiekėjui, tuomet kiti 5 užsakymai antram tiekėjui ir t. t. iki dešimto tiekėjo. Po 50 užsakymų (jei dar yra nepaskirstytų užsakymų), sekantys užsakymai skirstomi/dalinami vėlgi analogišku principu, grįžtant prie pirmo tiekėjo;</w:t>
      </w:r>
    </w:p>
    <w:p w14:paraId="25D3407D" w14:textId="0827C1FC" w:rsidR="007D739D" w:rsidRPr="003B5DCC" w:rsidRDefault="007D739D" w:rsidP="007D739D">
      <w:pPr>
        <w:pStyle w:val="ListParagraph"/>
        <w:numPr>
          <w:ilvl w:val="2"/>
          <w:numId w:val="11"/>
        </w:numPr>
        <w:tabs>
          <w:tab w:val="left" w:pos="1560"/>
        </w:tabs>
        <w:spacing w:line="276" w:lineRule="auto"/>
        <w:ind w:left="0" w:right="-1" w:firstLine="709"/>
        <w:jc w:val="both"/>
        <w:rPr>
          <w:rFonts w:ascii="Verdana" w:eastAsia="Calibri" w:hAnsi="Verdana" w:cstheme="majorBidi"/>
          <w:sz w:val="20"/>
        </w:rPr>
      </w:pPr>
      <w:r w:rsidRPr="003B5DCC">
        <w:rPr>
          <w:rFonts w:ascii="Verdana" w:eastAsia="Calibri" w:hAnsi="Verdana" w:cstheme="majorBidi"/>
          <w:sz w:val="20"/>
        </w:rPr>
        <w:t>Tiekėjui nesiūloma suteikti paslaug</w:t>
      </w:r>
      <w:r>
        <w:rPr>
          <w:rFonts w:ascii="Verdana" w:eastAsia="Calibri" w:hAnsi="Verdana" w:cstheme="majorBidi"/>
          <w:sz w:val="20"/>
        </w:rPr>
        <w:t>ų</w:t>
      </w:r>
      <w:r w:rsidRPr="003B5DCC">
        <w:rPr>
          <w:rFonts w:ascii="Verdana" w:eastAsia="Calibri" w:hAnsi="Verdana" w:cstheme="majorBidi"/>
          <w:sz w:val="20"/>
        </w:rPr>
        <w:t xml:space="preserve">, jeigu jis turi akivaizdų interesų konfliktą (pvz. </w:t>
      </w:r>
      <w:r w:rsidRPr="006E2655">
        <w:rPr>
          <w:rFonts w:ascii="Verdana" w:eastAsia="Calibri" w:hAnsi="Verdana" w:cstheme="majorBidi"/>
          <w:sz w:val="20"/>
        </w:rPr>
        <w:t>jis yra šios priemonės pareiškėjų sudėtyje</w:t>
      </w:r>
      <w:r w:rsidRPr="003B5DCC">
        <w:rPr>
          <w:rFonts w:ascii="Verdana" w:eastAsia="Calibri" w:hAnsi="Verdana" w:cstheme="majorBidi"/>
          <w:sz w:val="20"/>
        </w:rPr>
        <w:t>)</w:t>
      </w:r>
      <w:r>
        <w:rPr>
          <w:rFonts w:ascii="Verdana" w:eastAsia="Calibri" w:hAnsi="Verdana" w:cstheme="majorBidi"/>
          <w:sz w:val="20"/>
        </w:rPr>
        <w:t xml:space="preserve"> </w:t>
      </w:r>
      <w:r w:rsidRPr="003B5DCC">
        <w:rPr>
          <w:rFonts w:ascii="Verdana" w:eastAsia="Calibri" w:hAnsi="Verdana" w:cstheme="majorBidi"/>
          <w:sz w:val="20"/>
        </w:rPr>
        <w:t xml:space="preserve"> arba paaiškėja, kad Tiekėjas negali teikti paslaug</w:t>
      </w:r>
      <w:r>
        <w:rPr>
          <w:rFonts w:ascii="Verdana" w:eastAsia="Calibri" w:hAnsi="Verdana" w:cstheme="majorBidi"/>
          <w:sz w:val="20"/>
        </w:rPr>
        <w:t>ų</w:t>
      </w:r>
      <w:r w:rsidRPr="003B5DCC">
        <w:rPr>
          <w:rFonts w:ascii="Verdana" w:eastAsia="Calibri" w:hAnsi="Verdana" w:cstheme="majorBidi"/>
          <w:sz w:val="20"/>
        </w:rPr>
        <w:t xml:space="preserve"> dėl objektyvių priežasčių (pvz. Tiekėjo reikiamas ekspertas turi nedarbingumą). Tokiu atveju</w:t>
      </w:r>
      <w:r>
        <w:rPr>
          <w:rFonts w:ascii="Verdana" w:eastAsia="Calibri" w:hAnsi="Verdana" w:cstheme="majorBidi"/>
          <w:sz w:val="20"/>
        </w:rPr>
        <w:t>,</w:t>
      </w:r>
      <w:r w:rsidRPr="003B5DCC">
        <w:rPr>
          <w:rFonts w:ascii="Verdana" w:eastAsia="Calibri" w:hAnsi="Verdana" w:cstheme="majorBidi"/>
          <w:sz w:val="20"/>
        </w:rPr>
        <w:t xml:space="preserve"> jeigu yra kitas Tiekėjas, kuris galėtų suteikti paslaugas – teis</w:t>
      </w:r>
      <w:r>
        <w:rPr>
          <w:rFonts w:ascii="Verdana" w:eastAsia="Calibri" w:hAnsi="Verdana" w:cstheme="majorBidi"/>
          <w:sz w:val="20"/>
        </w:rPr>
        <w:t>ė</w:t>
      </w:r>
      <w:r w:rsidRPr="003B5DCC">
        <w:rPr>
          <w:rFonts w:ascii="Verdana" w:eastAsia="Calibri" w:hAnsi="Verdana" w:cstheme="majorBidi"/>
          <w:sz w:val="20"/>
        </w:rPr>
        <w:t xml:space="preserve"> teikti paslaugą pereina jam remiantis Preliminariosios sutarties </w:t>
      </w:r>
      <w:r w:rsidR="00A81330">
        <w:rPr>
          <w:rFonts w:ascii="Verdana" w:eastAsia="Calibri" w:hAnsi="Verdana" w:cstheme="majorBidi"/>
          <w:sz w:val="20"/>
        </w:rPr>
        <w:t>1</w:t>
      </w:r>
      <w:r w:rsidRPr="003B5DCC">
        <w:rPr>
          <w:rFonts w:ascii="Verdana" w:eastAsia="Calibri" w:hAnsi="Verdana" w:cstheme="majorBidi"/>
          <w:sz w:val="20"/>
        </w:rPr>
        <w:t xml:space="preserve">.2.1 punkte nurodytu algoritmu; </w:t>
      </w:r>
    </w:p>
    <w:p w14:paraId="345DB15C" w14:textId="7849918C" w:rsidR="007D739D" w:rsidRPr="00F24198" w:rsidRDefault="007D739D" w:rsidP="007D739D">
      <w:pPr>
        <w:pStyle w:val="ListParagraph"/>
        <w:numPr>
          <w:ilvl w:val="2"/>
          <w:numId w:val="11"/>
        </w:numPr>
        <w:tabs>
          <w:tab w:val="left" w:pos="1560"/>
        </w:tabs>
        <w:spacing w:line="276" w:lineRule="auto"/>
        <w:ind w:left="0" w:right="-1" w:firstLine="709"/>
        <w:jc w:val="both"/>
        <w:rPr>
          <w:rFonts w:ascii="Verdana" w:eastAsia="Calibri" w:hAnsi="Verdana" w:cstheme="majorBidi"/>
          <w:sz w:val="20"/>
        </w:rPr>
      </w:pPr>
      <w:r w:rsidRPr="0A45818B">
        <w:rPr>
          <w:rFonts w:ascii="Verdana" w:hAnsi="Verdana"/>
          <w:sz w:val="20"/>
          <w:lang w:eastAsia="lt-LT"/>
        </w:rPr>
        <w:t xml:space="preserve">Tuo atveju, jeigu Tiekėjo ekspertas negali vertinti konkrečios paraiškos dėl realaus interesų konflikto, Tiekėjas privalo informuoti apie tai Agentūrą.  </w:t>
      </w:r>
      <w:r w:rsidRPr="0A45818B">
        <w:rPr>
          <w:rFonts w:ascii="Verdana" w:eastAsia="Calibri" w:hAnsi="Verdana" w:cstheme="majorBidi"/>
          <w:sz w:val="20"/>
        </w:rPr>
        <w:t xml:space="preserve">Tokiu atveju, jeigu yra kitas Tiekėjas, kuris galėtų suteikti paslaugas – teisė teikti paslaugą pereina jam remiantis Preliminariosios sutarties </w:t>
      </w:r>
      <w:r w:rsidR="00A81330">
        <w:rPr>
          <w:rFonts w:ascii="Verdana" w:eastAsia="Calibri" w:hAnsi="Verdana" w:cstheme="majorBidi"/>
          <w:sz w:val="20"/>
        </w:rPr>
        <w:t>1</w:t>
      </w:r>
      <w:r w:rsidRPr="0A45818B">
        <w:rPr>
          <w:rFonts w:ascii="Verdana" w:eastAsia="Calibri" w:hAnsi="Verdana" w:cstheme="majorBidi"/>
          <w:sz w:val="20"/>
        </w:rPr>
        <w:t>.2.1 punkte nurodytu algoritmu;</w:t>
      </w:r>
    </w:p>
    <w:p w14:paraId="0969E7DF" w14:textId="77777777" w:rsidR="007D739D" w:rsidRPr="003B5DCC" w:rsidRDefault="007D739D" w:rsidP="007D739D">
      <w:pPr>
        <w:pStyle w:val="ListParagraph"/>
        <w:numPr>
          <w:ilvl w:val="2"/>
          <w:numId w:val="11"/>
        </w:numPr>
        <w:tabs>
          <w:tab w:val="left" w:pos="1560"/>
        </w:tabs>
        <w:spacing w:line="276" w:lineRule="auto"/>
        <w:ind w:left="0" w:right="-1" w:firstLine="709"/>
        <w:jc w:val="both"/>
        <w:rPr>
          <w:rFonts w:ascii="Verdana" w:eastAsia="Calibri" w:hAnsi="Verdana" w:cstheme="majorBidi"/>
          <w:sz w:val="20"/>
        </w:rPr>
      </w:pPr>
      <w:r w:rsidRPr="003B5DCC">
        <w:rPr>
          <w:rFonts w:ascii="Verdana" w:eastAsia="Calibri" w:hAnsi="Verdana" w:cstheme="majorBidi"/>
          <w:sz w:val="20"/>
        </w:rPr>
        <w:t xml:space="preserve">Tiekėjo pasitelkti ekspertai teikdami paslaugas pagal Preliminariąją sutartį privalės </w:t>
      </w:r>
      <w:r w:rsidRPr="00F24198">
        <w:rPr>
          <w:rFonts w:ascii="Verdana" w:eastAsia="Calibri" w:hAnsi="Verdana" w:cstheme="majorBidi"/>
          <w:sz w:val="20"/>
        </w:rPr>
        <w:t xml:space="preserve"> užtikrinti viešųjų ir privačių interesų derinimo valstybės tarnyboje įstatymo nuostatų praktinį įgyvendinimą: paslaugos teikėjui deklaruoti galimus interesų konfliktus, privalomai nusišalinti nuo paslaugų teikimo, jeigu vertinamas projektas konkrečiam ekspertui sukelia viešųjų ir privačių interesų konflikto situaciją</w:t>
      </w:r>
      <w:r w:rsidRPr="003B5DCC">
        <w:rPr>
          <w:rFonts w:ascii="Verdana" w:eastAsia="Calibri" w:hAnsi="Verdana" w:cstheme="majorBidi"/>
          <w:sz w:val="20"/>
        </w:rPr>
        <w:t xml:space="preserve">; </w:t>
      </w:r>
    </w:p>
    <w:p w14:paraId="3EF11A7F" w14:textId="77777777" w:rsidR="007D739D" w:rsidRPr="003B5DCC" w:rsidRDefault="007D739D" w:rsidP="007D739D">
      <w:pPr>
        <w:pStyle w:val="ListParagraph"/>
        <w:numPr>
          <w:ilvl w:val="2"/>
          <w:numId w:val="11"/>
        </w:numPr>
        <w:tabs>
          <w:tab w:val="left" w:pos="1560"/>
        </w:tabs>
        <w:spacing w:line="276" w:lineRule="auto"/>
        <w:ind w:left="0" w:right="-1" w:firstLine="709"/>
        <w:jc w:val="both"/>
        <w:rPr>
          <w:rFonts w:ascii="Verdana" w:eastAsia="Calibri" w:hAnsi="Verdana" w:cstheme="majorBidi"/>
          <w:sz w:val="20"/>
        </w:rPr>
      </w:pPr>
      <w:r w:rsidRPr="003B5DCC">
        <w:rPr>
          <w:rFonts w:ascii="Verdana" w:eastAsia="Calibri" w:hAnsi="Verdana" w:cstheme="majorBidi"/>
          <w:sz w:val="20"/>
        </w:rPr>
        <w:t xml:space="preserve">Tiekėjas turi užtikrinti, kad Tiekėjo pasitelkti ekspertai suprastų, kokie yra Viešųjų ir privačių interesų derinimo valstybės tarnyboje reikalavimai. Turint klausimų Tiekėjas gali kreiptis į Agentūros kontaktinį asmenį dėl konsultacijos; </w:t>
      </w:r>
    </w:p>
    <w:p w14:paraId="429254BA" w14:textId="77777777" w:rsidR="007D739D" w:rsidRPr="003B5DCC" w:rsidRDefault="007D739D" w:rsidP="007D739D">
      <w:pPr>
        <w:pStyle w:val="ListParagraph"/>
        <w:numPr>
          <w:ilvl w:val="2"/>
          <w:numId w:val="11"/>
        </w:numPr>
        <w:tabs>
          <w:tab w:val="left" w:pos="1560"/>
        </w:tabs>
        <w:spacing w:line="276" w:lineRule="auto"/>
        <w:ind w:left="0" w:right="-1" w:firstLine="709"/>
        <w:jc w:val="both"/>
        <w:rPr>
          <w:rFonts w:ascii="Verdana" w:eastAsia="Calibri" w:hAnsi="Verdana" w:cstheme="majorBidi"/>
          <w:sz w:val="20"/>
        </w:rPr>
      </w:pPr>
      <w:r w:rsidRPr="003B5DCC">
        <w:rPr>
          <w:rFonts w:ascii="Verdana" w:eastAsia="Calibri" w:hAnsi="Verdana" w:cstheme="majorBidi"/>
          <w:sz w:val="20"/>
          <w:lang w:val="la-Latn"/>
        </w:rPr>
        <w:t>jeigu paslaugų teikimo metu, ar 7 (septynis) metus po Preliminariosios sutarties</w:t>
      </w:r>
      <w:r w:rsidRPr="003B5DCC">
        <w:rPr>
          <w:rFonts w:ascii="Verdana" w:eastAsia="Calibri" w:hAnsi="Verdana" w:cstheme="majorBidi"/>
          <w:sz w:val="20"/>
        </w:rPr>
        <w:t xml:space="preserve"> galiojimo pabaigos Tiekėjo pasitelkti ekspertai neužtikrins tinkamo Viešųjų ir privačių interesų derinimo valstybės tarnyboje įstatymo nuostatų ir dėl to Agentūra patyrė finansinių nuostolių (pralaimėta byla teisme), Tiekėjas įsipareigoja atlyginti visą Agentūros patirtą finansinę žalą; </w:t>
      </w:r>
    </w:p>
    <w:p w14:paraId="02C92E34" w14:textId="77777777" w:rsidR="007D739D" w:rsidRPr="003B5DCC" w:rsidRDefault="007D739D" w:rsidP="007D739D">
      <w:pPr>
        <w:pStyle w:val="ListParagraph"/>
        <w:numPr>
          <w:ilvl w:val="2"/>
          <w:numId w:val="11"/>
        </w:numPr>
        <w:tabs>
          <w:tab w:val="left" w:pos="1560"/>
        </w:tabs>
        <w:spacing w:line="276" w:lineRule="auto"/>
        <w:ind w:left="0" w:right="-1" w:firstLine="709"/>
        <w:jc w:val="both"/>
        <w:rPr>
          <w:rFonts w:ascii="Verdana" w:eastAsia="Calibri" w:hAnsi="Verdana" w:cstheme="majorBidi"/>
          <w:sz w:val="20"/>
        </w:rPr>
      </w:pPr>
      <w:r w:rsidRPr="003B5DCC">
        <w:rPr>
          <w:rFonts w:ascii="Verdana" w:eastAsia="Calibri" w:hAnsi="Verdana" w:cstheme="majorBidi"/>
          <w:sz w:val="20"/>
        </w:rPr>
        <w:t>Tiekėjas ir Tiekėjo pasitelkti ekspertai taip pat tur</w:t>
      </w:r>
      <w:r>
        <w:rPr>
          <w:rFonts w:ascii="Verdana" w:eastAsia="Calibri" w:hAnsi="Verdana" w:cstheme="majorBidi"/>
          <w:sz w:val="20"/>
        </w:rPr>
        <w:t>i</w:t>
      </w:r>
      <w:r w:rsidRPr="003B5DCC">
        <w:rPr>
          <w:rFonts w:ascii="Verdana" w:eastAsia="Calibri" w:hAnsi="Verdana" w:cstheme="majorBidi"/>
          <w:sz w:val="20"/>
        </w:rPr>
        <w:t xml:space="preserve"> įsipareigoti laikytis nešališkumo ir konfidencialumo reikalavimų (Žr. Preliminariosios sutarties 2 priedą „Konfidencialumo ir nešališkumo užtikrinimo </w:t>
      </w:r>
      <w:r w:rsidRPr="0A45818B">
        <w:rPr>
          <w:rFonts w:ascii="Verdana" w:eastAsia="Calibri" w:hAnsi="Verdana" w:cstheme="majorBidi"/>
          <w:sz w:val="20"/>
        </w:rPr>
        <w:t>pasižadėjimas</w:t>
      </w:r>
      <w:r w:rsidRPr="003B5DCC">
        <w:rPr>
          <w:rFonts w:ascii="Verdana" w:eastAsia="Calibri" w:hAnsi="Verdana" w:cstheme="majorBidi"/>
          <w:sz w:val="20"/>
        </w:rPr>
        <w:t xml:space="preserve">“).          </w:t>
      </w:r>
    </w:p>
    <w:p w14:paraId="7AFE3111" w14:textId="3961A01F" w:rsidR="007D739D" w:rsidRPr="0019157B" w:rsidRDefault="007D739D" w:rsidP="0AEB5649">
      <w:pPr>
        <w:pStyle w:val="ListParagraph"/>
        <w:numPr>
          <w:ilvl w:val="1"/>
          <w:numId w:val="11"/>
        </w:numPr>
        <w:tabs>
          <w:tab w:val="left" w:pos="1134"/>
        </w:tabs>
        <w:spacing w:line="276" w:lineRule="auto"/>
        <w:ind w:left="0" w:right="-1" w:firstLine="709"/>
        <w:jc w:val="both"/>
        <w:rPr>
          <w:rFonts w:ascii="Verdana" w:eastAsia="Calibri" w:hAnsi="Verdana" w:cstheme="majorBidi"/>
          <w:sz w:val="20"/>
        </w:rPr>
      </w:pPr>
      <w:r w:rsidRPr="0AEB5649">
        <w:rPr>
          <w:rFonts w:ascii="Verdana" w:eastAsia="Calibri" w:hAnsi="Verdana" w:cstheme="majorBidi"/>
          <w:sz w:val="20"/>
        </w:rPr>
        <w:lastRenderedPageBreak/>
        <w:t xml:space="preserve"> </w:t>
      </w:r>
      <w:r w:rsidR="00891AC3" w:rsidRPr="00891AC3">
        <w:rPr>
          <w:rFonts w:ascii="Verdana" w:eastAsia="Calibri" w:hAnsi="Verdana" w:cstheme="majorBidi"/>
          <w:sz w:val="20"/>
        </w:rPr>
        <w:t>Užsakymas – tai veiksmų visuma, kuriais siekiama įsigyti paslaugas pagal Preliminariojoje sutartyje nustatytas procedūras ir sąlygas, apimantis tiek Agentūros, tiek Tiekėjo veiksmus. Užsakymai prilyginami Pagrindinėms sutartims</w:t>
      </w:r>
      <w:r w:rsidR="0059434D">
        <w:rPr>
          <w:rFonts w:ascii="Verdana" w:eastAsia="Calibri" w:hAnsi="Verdana" w:cstheme="majorBidi"/>
          <w:sz w:val="20"/>
        </w:rPr>
        <w:t>.</w:t>
      </w:r>
    </w:p>
    <w:p w14:paraId="04AD5184" w14:textId="77777777" w:rsidR="007D739D" w:rsidRPr="003B5DCC" w:rsidRDefault="007D739D" w:rsidP="007D739D">
      <w:pPr>
        <w:tabs>
          <w:tab w:val="left" w:pos="1134"/>
        </w:tabs>
        <w:spacing w:line="276" w:lineRule="auto"/>
        <w:ind w:right="-1"/>
        <w:jc w:val="both"/>
        <w:rPr>
          <w:rFonts w:ascii="Verdana" w:eastAsia="Calibri" w:hAnsi="Verdana" w:cstheme="majorBidi"/>
          <w:sz w:val="20"/>
        </w:rPr>
      </w:pPr>
    </w:p>
    <w:p w14:paraId="71D28DE1" w14:textId="5F69C915" w:rsidR="007B313E" w:rsidRDefault="007B313E">
      <w:r>
        <w:br w:type="page"/>
      </w:r>
    </w:p>
    <w:p w14:paraId="4BF6ED59" w14:textId="77777777" w:rsidR="007B313E" w:rsidRPr="003B5DCC" w:rsidRDefault="007B313E" w:rsidP="007B313E">
      <w:pPr>
        <w:ind w:left="5670"/>
        <w:rPr>
          <w:rFonts w:ascii="Verdana" w:hAnsi="Verdana"/>
          <w:sz w:val="20"/>
        </w:rPr>
      </w:pPr>
      <w:r w:rsidRPr="003B5DCC">
        <w:rPr>
          <w:rFonts w:ascii="Verdana" w:hAnsi="Verdana"/>
          <w:sz w:val="20"/>
        </w:rPr>
        <w:lastRenderedPageBreak/>
        <w:t xml:space="preserve">Preliminariosios sutarties </w:t>
      </w:r>
    </w:p>
    <w:p w14:paraId="5AFC5A41" w14:textId="77777777" w:rsidR="007B313E" w:rsidRPr="003B5DCC" w:rsidRDefault="007B313E" w:rsidP="007B313E">
      <w:pPr>
        <w:ind w:left="5670"/>
        <w:rPr>
          <w:rFonts w:ascii="Verdana" w:hAnsi="Verdana"/>
          <w:sz w:val="20"/>
        </w:rPr>
      </w:pPr>
      <w:r w:rsidRPr="003B5DCC">
        <w:rPr>
          <w:rFonts w:ascii="Verdana" w:hAnsi="Verdana"/>
          <w:sz w:val="20"/>
        </w:rPr>
        <w:t>3 priedas</w:t>
      </w:r>
    </w:p>
    <w:p w14:paraId="1E1F512C" w14:textId="77777777" w:rsidR="007B313E" w:rsidRPr="003B5DCC" w:rsidRDefault="007B313E" w:rsidP="007B313E">
      <w:pPr>
        <w:rPr>
          <w:rFonts w:ascii="Verdana" w:hAnsi="Verdana"/>
          <w:sz w:val="20"/>
        </w:rPr>
      </w:pPr>
    </w:p>
    <w:p w14:paraId="3279CB7E" w14:textId="77777777" w:rsidR="007B313E" w:rsidRPr="003B5DCC" w:rsidRDefault="007B313E" w:rsidP="007B313E">
      <w:pPr>
        <w:spacing w:line="360" w:lineRule="auto"/>
        <w:jc w:val="center"/>
        <w:rPr>
          <w:rFonts w:ascii="Verdana" w:hAnsi="Verdana"/>
          <w:i/>
          <w:sz w:val="20"/>
        </w:rPr>
      </w:pPr>
      <w:r w:rsidRPr="003B5DCC">
        <w:rPr>
          <w:rFonts w:ascii="Verdana" w:hAnsi="Verdana"/>
          <w:b/>
          <w:i/>
          <w:noProof/>
          <w:sz w:val="20"/>
        </w:rPr>
        <w:t>(Užsakymo forma)</w:t>
      </w:r>
    </w:p>
    <w:tbl>
      <w:tblPr>
        <w:tblStyle w:val="TableGrid"/>
        <w:tblW w:w="0" w:type="auto"/>
        <w:tblLook w:val="04A0" w:firstRow="1" w:lastRow="0" w:firstColumn="1" w:lastColumn="0" w:noHBand="0" w:noVBand="1"/>
      </w:tblPr>
      <w:tblGrid>
        <w:gridCol w:w="3437"/>
        <w:gridCol w:w="6191"/>
      </w:tblGrid>
      <w:tr w:rsidR="007B313E" w:rsidRPr="003B5DCC" w14:paraId="41A39968" w14:textId="77777777" w:rsidTr="00575166">
        <w:tc>
          <w:tcPr>
            <w:tcW w:w="3437" w:type="dxa"/>
          </w:tcPr>
          <w:p w14:paraId="058077B2" w14:textId="77777777" w:rsidR="007B313E" w:rsidRPr="003B5DCC" w:rsidRDefault="007B313E" w:rsidP="00575166">
            <w:pPr>
              <w:pStyle w:val="ListParagraph"/>
              <w:ind w:left="0"/>
              <w:rPr>
                <w:rFonts w:ascii="Verdana" w:hAnsi="Verdana" w:cs="Times New Roman"/>
                <w:color w:val="000000"/>
                <w:sz w:val="20"/>
                <w:szCs w:val="20"/>
              </w:rPr>
            </w:pPr>
            <w:r w:rsidRPr="003B5DCC">
              <w:rPr>
                <w:rFonts w:ascii="Verdana" w:hAnsi="Verdana" w:cs="Times New Roman"/>
                <w:color w:val="000000"/>
                <w:sz w:val="20"/>
                <w:szCs w:val="20"/>
              </w:rPr>
              <w:t>Paraiškos / Projekto Nr.</w:t>
            </w:r>
          </w:p>
        </w:tc>
        <w:tc>
          <w:tcPr>
            <w:tcW w:w="6191" w:type="dxa"/>
          </w:tcPr>
          <w:p w14:paraId="2C7C8FC1" w14:textId="77777777" w:rsidR="007B313E" w:rsidRPr="003B5DCC" w:rsidRDefault="007B313E" w:rsidP="00575166">
            <w:pPr>
              <w:pStyle w:val="ListParagraph"/>
              <w:ind w:left="34"/>
              <w:rPr>
                <w:rFonts w:ascii="Verdana" w:hAnsi="Verdana" w:cs="Times New Roman"/>
                <w:color w:val="000000"/>
                <w:sz w:val="20"/>
                <w:szCs w:val="20"/>
              </w:rPr>
            </w:pPr>
          </w:p>
        </w:tc>
      </w:tr>
      <w:tr w:rsidR="007B313E" w:rsidRPr="003B5DCC" w14:paraId="7B7A92FF" w14:textId="77777777" w:rsidTr="00575166">
        <w:tc>
          <w:tcPr>
            <w:tcW w:w="3437" w:type="dxa"/>
          </w:tcPr>
          <w:p w14:paraId="3C4110C2" w14:textId="77777777" w:rsidR="007B313E" w:rsidRPr="003B5DCC" w:rsidRDefault="007B313E" w:rsidP="00575166">
            <w:pPr>
              <w:pStyle w:val="ListParagraph"/>
              <w:ind w:left="0"/>
              <w:rPr>
                <w:rFonts w:ascii="Verdana" w:hAnsi="Verdana" w:cs="Times New Roman"/>
                <w:color w:val="000000"/>
                <w:sz w:val="20"/>
                <w:szCs w:val="20"/>
              </w:rPr>
            </w:pPr>
            <w:r w:rsidRPr="003B5DCC">
              <w:rPr>
                <w:rFonts w:ascii="Verdana" w:hAnsi="Verdana" w:cs="Times New Roman"/>
                <w:color w:val="000000"/>
                <w:sz w:val="20"/>
                <w:szCs w:val="20"/>
              </w:rPr>
              <w:t>Paraiškos / Projekto pavadinimas</w:t>
            </w:r>
          </w:p>
        </w:tc>
        <w:tc>
          <w:tcPr>
            <w:tcW w:w="6191" w:type="dxa"/>
          </w:tcPr>
          <w:p w14:paraId="272CC47C" w14:textId="77777777" w:rsidR="007B313E" w:rsidRPr="003B5DCC" w:rsidRDefault="007B313E" w:rsidP="00575166">
            <w:pPr>
              <w:pStyle w:val="ListParagraph"/>
              <w:ind w:left="0"/>
              <w:rPr>
                <w:rFonts w:ascii="Verdana" w:hAnsi="Verdana" w:cs="Times New Roman"/>
                <w:color w:val="000000"/>
                <w:sz w:val="20"/>
                <w:szCs w:val="20"/>
              </w:rPr>
            </w:pPr>
          </w:p>
        </w:tc>
      </w:tr>
      <w:tr w:rsidR="007B313E" w:rsidRPr="003B5DCC" w14:paraId="38C016CA" w14:textId="77777777" w:rsidTr="00575166">
        <w:tc>
          <w:tcPr>
            <w:tcW w:w="3437" w:type="dxa"/>
          </w:tcPr>
          <w:p w14:paraId="28664B8E" w14:textId="77777777" w:rsidR="007B313E" w:rsidRPr="003B5DCC" w:rsidRDefault="007B313E" w:rsidP="00575166">
            <w:pPr>
              <w:pStyle w:val="ListParagraph"/>
              <w:ind w:left="0"/>
              <w:rPr>
                <w:rFonts w:ascii="Verdana" w:hAnsi="Verdana" w:cs="Times New Roman"/>
                <w:color w:val="000000"/>
                <w:sz w:val="20"/>
                <w:szCs w:val="20"/>
              </w:rPr>
            </w:pPr>
            <w:r w:rsidRPr="003B5DCC">
              <w:rPr>
                <w:rFonts w:ascii="Verdana" w:hAnsi="Verdana" w:cs="Times New Roman"/>
                <w:color w:val="000000"/>
                <w:sz w:val="20"/>
                <w:szCs w:val="20"/>
              </w:rPr>
              <w:t>Pareiškėjas </w:t>
            </w:r>
          </w:p>
        </w:tc>
        <w:tc>
          <w:tcPr>
            <w:tcW w:w="6191" w:type="dxa"/>
          </w:tcPr>
          <w:p w14:paraId="776D576E" w14:textId="77777777" w:rsidR="007B313E" w:rsidRPr="003B5DCC" w:rsidRDefault="007B313E" w:rsidP="00575166">
            <w:pPr>
              <w:pStyle w:val="ListParagraph"/>
              <w:ind w:left="0"/>
              <w:rPr>
                <w:rFonts w:ascii="Verdana" w:hAnsi="Verdana" w:cs="Times New Roman"/>
                <w:color w:val="000000"/>
                <w:sz w:val="20"/>
                <w:szCs w:val="20"/>
              </w:rPr>
            </w:pPr>
          </w:p>
        </w:tc>
      </w:tr>
      <w:tr w:rsidR="007B313E" w:rsidRPr="003B5DCC" w14:paraId="5FB3C230" w14:textId="77777777" w:rsidTr="00575166">
        <w:tc>
          <w:tcPr>
            <w:tcW w:w="3437" w:type="dxa"/>
          </w:tcPr>
          <w:p w14:paraId="3C3718BA" w14:textId="77777777" w:rsidR="007B313E" w:rsidRPr="003B5DCC" w:rsidRDefault="007B313E" w:rsidP="00575166">
            <w:pPr>
              <w:pStyle w:val="ListParagraph"/>
              <w:ind w:left="0"/>
              <w:rPr>
                <w:rFonts w:ascii="Verdana" w:hAnsi="Verdana" w:cs="Times New Roman"/>
                <w:color w:val="000000"/>
                <w:sz w:val="20"/>
                <w:szCs w:val="20"/>
              </w:rPr>
            </w:pPr>
            <w:r w:rsidRPr="003B5DCC">
              <w:rPr>
                <w:rFonts w:ascii="Verdana" w:hAnsi="Verdana" w:cs="Times New Roman"/>
                <w:color w:val="000000"/>
                <w:sz w:val="20"/>
                <w:szCs w:val="20"/>
              </w:rPr>
              <w:t>Projekto partneris</w:t>
            </w:r>
          </w:p>
        </w:tc>
        <w:tc>
          <w:tcPr>
            <w:tcW w:w="6191" w:type="dxa"/>
          </w:tcPr>
          <w:p w14:paraId="28BC6D24" w14:textId="77777777" w:rsidR="007B313E" w:rsidRPr="003B5DCC" w:rsidRDefault="007B313E" w:rsidP="00575166">
            <w:pPr>
              <w:pStyle w:val="ListParagraph"/>
              <w:ind w:left="0"/>
              <w:rPr>
                <w:rFonts w:ascii="Verdana" w:hAnsi="Verdana" w:cs="Times New Roman"/>
                <w:color w:val="000000"/>
                <w:sz w:val="20"/>
                <w:szCs w:val="20"/>
              </w:rPr>
            </w:pPr>
          </w:p>
        </w:tc>
      </w:tr>
      <w:tr w:rsidR="007B313E" w:rsidRPr="003B5DCC" w14:paraId="739E3063" w14:textId="77777777" w:rsidTr="00575166">
        <w:tc>
          <w:tcPr>
            <w:tcW w:w="3437" w:type="dxa"/>
          </w:tcPr>
          <w:p w14:paraId="0E2D898D" w14:textId="77777777" w:rsidR="007B313E" w:rsidRPr="003B5DCC" w:rsidRDefault="007B313E" w:rsidP="00575166">
            <w:pPr>
              <w:pStyle w:val="ListParagraph"/>
              <w:ind w:left="0"/>
              <w:rPr>
                <w:rFonts w:ascii="Verdana" w:hAnsi="Verdana" w:cs="Times New Roman"/>
                <w:color w:val="000000"/>
                <w:sz w:val="20"/>
                <w:szCs w:val="20"/>
              </w:rPr>
            </w:pPr>
            <w:r w:rsidRPr="003B5DCC">
              <w:rPr>
                <w:rFonts w:ascii="Verdana" w:hAnsi="Verdana" w:cs="Times New Roman"/>
                <w:color w:val="000000"/>
                <w:sz w:val="20"/>
                <w:szCs w:val="20"/>
              </w:rPr>
              <w:t>Su pareiškėju / projekto vykdytoju / partneriu / projektu susiję asmenys ir / ar įmonės / mokslo įstaigos, galimos interesų konfliktų sritys</w:t>
            </w:r>
          </w:p>
        </w:tc>
        <w:tc>
          <w:tcPr>
            <w:tcW w:w="6191" w:type="dxa"/>
          </w:tcPr>
          <w:p w14:paraId="04029F19" w14:textId="77777777" w:rsidR="007B313E" w:rsidRPr="003B5DCC" w:rsidRDefault="007B313E" w:rsidP="00575166">
            <w:pPr>
              <w:pStyle w:val="ListParagraph"/>
              <w:ind w:left="0"/>
              <w:rPr>
                <w:rFonts w:ascii="Verdana" w:hAnsi="Verdana" w:cs="Times New Roman"/>
                <w:i/>
                <w:color w:val="000000"/>
                <w:sz w:val="20"/>
                <w:szCs w:val="20"/>
              </w:rPr>
            </w:pPr>
          </w:p>
        </w:tc>
      </w:tr>
      <w:tr w:rsidR="007B313E" w:rsidRPr="003B5DCC" w14:paraId="724DA2C5" w14:textId="77777777" w:rsidTr="00575166">
        <w:tc>
          <w:tcPr>
            <w:tcW w:w="9628" w:type="dxa"/>
            <w:gridSpan w:val="2"/>
          </w:tcPr>
          <w:p w14:paraId="16B3298C" w14:textId="77777777" w:rsidR="007B313E" w:rsidRPr="003B5DCC" w:rsidRDefault="007B313E" w:rsidP="00575166">
            <w:pPr>
              <w:pStyle w:val="ListParagraph"/>
              <w:ind w:left="0"/>
              <w:jc w:val="center"/>
              <w:rPr>
                <w:rFonts w:ascii="Verdana" w:hAnsi="Verdana" w:cs="Times New Roman"/>
                <w:color w:val="000000"/>
                <w:sz w:val="20"/>
                <w:szCs w:val="20"/>
              </w:rPr>
            </w:pPr>
            <w:r w:rsidRPr="003B5DCC">
              <w:rPr>
                <w:rFonts w:ascii="Verdana" w:hAnsi="Verdana" w:cs="Times New Roman"/>
                <w:color w:val="000000"/>
                <w:sz w:val="20"/>
                <w:szCs w:val="20"/>
              </w:rPr>
              <w:t>Duomenys apie ekspertinį vertinimą</w:t>
            </w:r>
          </w:p>
        </w:tc>
      </w:tr>
      <w:tr w:rsidR="007B313E" w:rsidRPr="003B5DCC" w14:paraId="4C16D60D" w14:textId="77777777" w:rsidTr="00575166">
        <w:tc>
          <w:tcPr>
            <w:tcW w:w="3437" w:type="dxa"/>
          </w:tcPr>
          <w:p w14:paraId="276A4146" w14:textId="77777777" w:rsidR="007B313E" w:rsidRPr="003B5DCC" w:rsidRDefault="007B313E" w:rsidP="00575166">
            <w:pPr>
              <w:pStyle w:val="ListParagraph"/>
              <w:ind w:left="0"/>
              <w:rPr>
                <w:rFonts w:ascii="Verdana" w:hAnsi="Verdana" w:cs="Times New Roman"/>
                <w:color w:val="000000"/>
                <w:sz w:val="20"/>
                <w:szCs w:val="20"/>
              </w:rPr>
            </w:pPr>
            <w:r w:rsidRPr="003B5DCC">
              <w:rPr>
                <w:rFonts w:ascii="Verdana" w:hAnsi="Verdana" w:cs="Times New Roman"/>
                <w:color w:val="000000"/>
                <w:sz w:val="20"/>
                <w:szCs w:val="20"/>
              </w:rPr>
              <w:t xml:space="preserve">Reikiamo eksperto mokslo kryptis </w:t>
            </w:r>
          </w:p>
        </w:tc>
        <w:tc>
          <w:tcPr>
            <w:tcW w:w="6191" w:type="dxa"/>
          </w:tcPr>
          <w:p w14:paraId="3256EEE0" w14:textId="77777777" w:rsidR="007B313E" w:rsidRPr="003B5DCC" w:rsidRDefault="007B313E" w:rsidP="00575166">
            <w:pPr>
              <w:pStyle w:val="ListParagraph"/>
              <w:ind w:left="0"/>
              <w:rPr>
                <w:rFonts w:ascii="Verdana" w:hAnsi="Verdana" w:cs="Times New Roman"/>
                <w:color w:val="000000"/>
                <w:sz w:val="20"/>
                <w:szCs w:val="20"/>
              </w:rPr>
            </w:pPr>
          </w:p>
        </w:tc>
      </w:tr>
      <w:tr w:rsidR="007B313E" w:rsidRPr="003B5DCC" w14:paraId="641E5A59" w14:textId="77777777" w:rsidTr="00575166">
        <w:tc>
          <w:tcPr>
            <w:tcW w:w="9628" w:type="dxa"/>
            <w:gridSpan w:val="2"/>
          </w:tcPr>
          <w:p w14:paraId="231E7FED" w14:textId="77777777" w:rsidR="007B313E" w:rsidRPr="003B5DCC" w:rsidRDefault="007B313E" w:rsidP="00575166">
            <w:pPr>
              <w:pStyle w:val="ListParagraph"/>
              <w:ind w:left="0"/>
              <w:jc w:val="center"/>
              <w:rPr>
                <w:rFonts w:ascii="Verdana" w:hAnsi="Verdana" w:cs="Times New Roman"/>
                <w:color w:val="000000"/>
                <w:sz w:val="20"/>
                <w:szCs w:val="20"/>
              </w:rPr>
            </w:pPr>
            <w:r w:rsidRPr="003B5DCC">
              <w:rPr>
                <w:rFonts w:ascii="Verdana" w:hAnsi="Verdana" w:cs="Times New Roman"/>
                <w:color w:val="000000"/>
                <w:sz w:val="20"/>
                <w:szCs w:val="20"/>
              </w:rPr>
              <w:t>Projekto aprašymas</w:t>
            </w:r>
          </w:p>
        </w:tc>
      </w:tr>
      <w:tr w:rsidR="007B313E" w:rsidRPr="003B5DCC" w14:paraId="17EA0B47" w14:textId="77777777" w:rsidTr="00575166">
        <w:trPr>
          <w:trHeight w:val="5453"/>
        </w:trPr>
        <w:tc>
          <w:tcPr>
            <w:tcW w:w="9628" w:type="dxa"/>
            <w:gridSpan w:val="2"/>
          </w:tcPr>
          <w:p w14:paraId="7B7CEB75" w14:textId="77777777" w:rsidR="007B313E" w:rsidRPr="003B5DCC" w:rsidRDefault="007B313E" w:rsidP="00575166">
            <w:pPr>
              <w:pStyle w:val="ListParagraph"/>
              <w:ind w:left="0"/>
              <w:rPr>
                <w:rFonts w:ascii="Verdana" w:hAnsi="Verdana" w:cs="Times New Roman"/>
                <w:color w:val="000000"/>
                <w:sz w:val="20"/>
                <w:szCs w:val="20"/>
              </w:rPr>
            </w:pPr>
          </w:p>
          <w:p w14:paraId="0261F3A0" w14:textId="77777777" w:rsidR="007B313E" w:rsidRPr="003B5DCC" w:rsidRDefault="007B313E" w:rsidP="00575166">
            <w:pPr>
              <w:pStyle w:val="ListParagraph"/>
              <w:ind w:left="0"/>
              <w:rPr>
                <w:rFonts w:ascii="Verdana" w:hAnsi="Verdana" w:cs="Times New Roman"/>
                <w:color w:val="000000"/>
                <w:sz w:val="20"/>
                <w:szCs w:val="20"/>
              </w:rPr>
            </w:pPr>
          </w:p>
          <w:p w14:paraId="02CBE804" w14:textId="77777777" w:rsidR="007B313E" w:rsidRPr="003B5DCC" w:rsidRDefault="007B313E" w:rsidP="00575166">
            <w:pPr>
              <w:pStyle w:val="ListParagraph"/>
              <w:ind w:left="0"/>
              <w:rPr>
                <w:rFonts w:ascii="Verdana" w:hAnsi="Verdana" w:cs="Times New Roman"/>
                <w:color w:val="000000"/>
                <w:sz w:val="20"/>
                <w:szCs w:val="20"/>
              </w:rPr>
            </w:pPr>
          </w:p>
          <w:p w14:paraId="63909F58" w14:textId="77777777" w:rsidR="007B313E" w:rsidRPr="003B5DCC" w:rsidRDefault="007B313E" w:rsidP="00575166">
            <w:pPr>
              <w:pStyle w:val="ListParagraph"/>
              <w:ind w:left="0"/>
              <w:rPr>
                <w:rFonts w:ascii="Verdana" w:hAnsi="Verdana" w:cs="Times New Roman"/>
                <w:color w:val="000000"/>
                <w:sz w:val="20"/>
                <w:szCs w:val="20"/>
              </w:rPr>
            </w:pPr>
          </w:p>
          <w:p w14:paraId="3E3DE528" w14:textId="77777777" w:rsidR="007B313E" w:rsidRPr="003B5DCC" w:rsidRDefault="007B313E" w:rsidP="00575166">
            <w:pPr>
              <w:pStyle w:val="ListParagraph"/>
              <w:ind w:left="0"/>
              <w:rPr>
                <w:rFonts w:ascii="Verdana" w:hAnsi="Verdana" w:cs="Times New Roman"/>
                <w:color w:val="000000"/>
                <w:sz w:val="20"/>
                <w:szCs w:val="20"/>
              </w:rPr>
            </w:pPr>
          </w:p>
          <w:p w14:paraId="678CFAD5" w14:textId="77777777" w:rsidR="007B313E" w:rsidRPr="003B5DCC" w:rsidRDefault="007B313E" w:rsidP="00575166">
            <w:pPr>
              <w:pStyle w:val="ListParagraph"/>
              <w:ind w:left="0"/>
              <w:rPr>
                <w:rFonts w:ascii="Verdana" w:hAnsi="Verdana" w:cs="Times New Roman"/>
                <w:color w:val="000000"/>
                <w:sz w:val="20"/>
                <w:szCs w:val="20"/>
              </w:rPr>
            </w:pPr>
          </w:p>
          <w:p w14:paraId="267FAC46" w14:textId="77777777" w:rsidR="007B313E" w:rsidRPr="003B5DCC" w:rsidRDefault="007B313E" w:rsidP="00575166">
            <w:pPr>
              <w:pStyle w:val="ListParagraph"/>
              <w:ind w:left="0"/>
              <w:rPr>
                <w:rFonts w:ascii="Verdana" w:hAnsi="Verdana" w:cs="Times New Roman"/>
                <w:color w:val="000000"/>
                <w:sz w:val="20"/>
                <w:szCs w:val="20"/>
              </w:rPr>
            </w:pPr>
          </w:p>
          <w:p w14:paraId="0B00CCAE" w14:textId="77777777" w:rsidR="007B313E" w:rsidRPr="003B5DCC" w:rsidRDefault="007B313E" w:rsidP="00575166">
            <w:pPr>
              <w:pStyle w:val="ListParagraph"/>
              <w:ind w:left="0"/>
              <w:rPr>
                <w:rFonts w:ascii="Verdana" w:hAnsi="Verdana" w:cs="Times New Roman"/>
                <w:color w:val="000000"/>
                <w:sz w:val="20"/>
                <w:szCs w:val="20"/>
              </w:rPr>
            </w:pPr>
          </w:p>
          <w:p w14:paraId="38B8DB1F" w14:textId="77777777" w:rsidR="007B313E" w:rsidRPr="003B5DCC" w:rsidRDefault="007B313E" w:rsidP="00575166">
            <w:pPr>
              <w:pStyle w:val="ListParagraph"/>
              <w:ind w:left="0"/>
              <w:rPr>
                <w:rFonts w:ascii="Verdana" w:hAnsi="Verdana" w:cs="Times New Roman"/>
                <w:color w:val="000000"/>
                <w:sz w:val="20"/>
                <w:szCs w:val="20"/>
              </w:rPr>
            </w:pPr>
          </w:p>
          <w:p w14:paraId="26BAF8AC" w14:textId="77777777" w:rsidR="007B313E" w:rsidRPr="003B5DCC" w:rsidRDefault="007B313E" w:rsidP="00575166">
            <w:pPr>
              <w:pStyle w:val="ListParagraph"/>
              <w:ind w:left="0"/>
              <w:rPr>
                <w:rFonts w:ascii="Verdana" w:hAnsi="Verdana" w:cs="Times New Roman"/>
                <w:color w:val="000000"/>
                <w:sz w:val="20"/>
                <w:szCs w:val="20"/>
              </w:rPr>
            </w:pPr>
          </w:p>
          <w:p w14:paraId="6DE2B21A" w14:textId="77777777" w:rsidR="007B313E" w:rsidRPr="003B5DCC" w:rsidRDefault="007B313E" w:rsidP="00575166">
            <w:pPr>
              <w:pStyle w:val="ListParagraph"/>
              <w:ind w:left="0"/>
              <w:rPr>
                <w:rFonts w:ascii="Verdana" w:hAnsi="Verdana" w:cs="Times New Roman"/>
                <w:color w:val="000000"/>
                <w:sz w:val="20"/>
                <w:szCs w:val="20"/>
              </w:rPr>
            </w:pPr>
          </w:p>
          <w:p w14:paraId="2CD7848F" w14:textId="77777777" w:rsidR="007B313E" w:rsidRPr="003B5DCC" w:rsidRDefault="007B313E" w:rsidP="00575166">
            <w:pPr>
              <w:pStyle w:val="ListParagraph"/>
              <w:ind w:left="0"/>
              <w:rPr>
                <w:rFonts w:ascii="Verdana" w:hAnsi="Verdana" w:cs="Times New Roman"/>
                <w:color w:val="000000"/>
                <w:sz w:val="20"/>
                <w:szCs w:val="20"/>
              </w:rPr>
            </w:pPr>
          </w:p>
          <w:p w14:paraId="63053831" w14:textId="77777777" w:rsidR="007B313E" w:rsidRPr="003B5DCC" w:rsidRDefault="007B313E" w:rsidP="00575166">
            <w:pPr>
              <w:pStyle w:val="ListParagraph"/>
              <w:ind w:left="0"/>
              <w:rPr>
                <w:rFonts w:ascii="Verdana" w:hAnsi="Verdana" w:cs="Times New Roman"/>
                <w:color w:val="000000"/>
                <w:sz w:val="20"/>
                <w:szCs w:val="20"/>
              </w:rPr>
            </w:pPr>
          </w:p>
          <w:p w14:paraId="5A498C43" w14:textId="77777777" w:rsidR="007B313E" w:rsidRPr="003B5DCC" w:rsidRDefault="007B313E" w:rsidP="00575166">
            <w:pPr>
              <w:pStyle w:val="ListParagraph"/>
              <w:ind w:left="0"/>
              <w:rPr>
                <w:rFonts w:ascii="Verdana" w:hAnsi="Verdana" w:cs="Times New Roman"/>
                <w:color w:val="000000"/>
                <w:sz w:val="20"/>
                <w:szCs w:val="20"/>
              </w:rPr>
            </w:pPr>
          </w:p>
          <w:p w14:paraId="5296C5B9" w14:textId="77777777" w:rsidR="007B313E" w:rsidRPr="003B5DCC" w:rsidRDefault="007B313E" w:rsidP="00575166">
            <w:pPr>
              <w:pStyle w:val="ListParagraph"/>
              <w:ind w:left="0"/>
              <w:rPr>
                <w:rFonts w:ascii="Verdana" w:hAnsi="Verdana" w:cs="Times New Roman"/>
                <w:color w:val="000000"/>
                <w:sz w:val="20"/>
                <w:szCs w:val="20"/>
              </w:rPr>
            </w:pPr>
          </w:p>
          <w:p w14:paraId="7D2C2CCF" w14:textId="77777777" w:rsidR="007B313E" w:rsidRPr="003B5DCC" w:rsidRDefault="007B313E" w:rsidP="00575166">
            <w:pPr>
              <w:pStyle w:val="ListParagraph"/>
              <w:ind w:left="0"/>
              <w:rPr>
                <w:rFonts w:ascii="Verdana" w:hAnsi="Verdana" w:cs="Times New Roman"/>
                <w:color w:val="000000"/>
                <w:sz w:val="20"/>
                <w:szCs w:val="20"/>
              </w:rPr>
            </w:pPr>
          </w:p>
          <w:p w14:paraId="22C002E7" w14:textId="77777777" w:rsidR="007B313E" w:rsidRPr="003B5DCC" w:rsidRDefault="007B313E" w:rsidP="00575166">
            <w:pPr>
              <w:pStyle w:val="ListParagraph"/>
              <w:ind w:left="0"/>
              <w:rPr>
                <w:rFonts w:ascii="Verdana" w:hAnsi="Verdana" w:cs="Times New Roman"/>
                <w:color w:val="000000"/>
                <w:sz w:val="20"/>
                <w:szCs w:val="20"/>
              </w:rPr>
            </w:pPr>
          </w:p>
          <w:p w14:paraId="3B3C1B94" w14:textId="77777777" w:rsidR="007B313E" w:rsidRPr="003B5DCC" w:rsidRDefault="007B313E" w:rsidP="00575166">
            <w:pPr>
              <w:pStyle w:val="ListParagraph"/>
              <w:ind w:left="0"/>
              <w:rPr>
                <w:rFonts w:ascii="Verdana" w:hAnsi="Verdana" w:cs="Times New Roman"/>
                <w:color w:val="000000"/>
                <w:sz w:val="20"/>
                <w:szCs w:val="20"/>
              </w:rPr>
            </w:pPr>
          </w:p>
          <w:p w14:paraId="0BFAD76F" w14:textId="77777777" w:rsidR="007B313E" w:rsidRPr="003B5DCC" w:rsidRDefault="007B313E" w:rsidP="00575166">
            <w:pPr>
              <w:pStyle w:val="ListParagraph"/>
              <w:ind w:left="0"/>
              <w:rPr>
                <w:rFonts w:ascii="Verdana" w:hAnsi="Verdana" w:cs="Times New Roman"/>
                <w:color w:val="000000"/>
                <w:sz w:val="20"/>
                <w:szCs w:val="20"/>
              </w:rPr>
            </w:pPr>
          </w:p>
          <w:p w14:paraId="3127688F" w14:textId="77777777" w:rsidR="007B313E" w:rsidRPr="003B5DCC" w:rsidRDefault="007B313E" w:rsidP="00575166">
            <w:pPr>
              <w:pStyle w:val="ListParagraph"/>
              <w:ind w:left="0"/>
              <w:rPr>
                <w:rFonts w:ascii="Verdana" w:hAnsi="Verdana" w:cs="Times New Roman"/>
                <w:color w:val="000000"/>
                <w:sz w:val="20"/>
                <w:szCs w:val="20"/>
              </w:rPr>
            </w:pPr>
          </w:p>
          <w:p w14:paraId="4FE3085F" w14:textId="77777777" w:rsidR="007B313E" w:rsidRPr="003B5DCC" w:rsidRDefault="007B313E" w:rsidP="00575166">
            <w:pPr>
              <w:pStyle w:val="ListParagraph"/>
              <w:ind w:left="0"/>
              <w:rPr>
                <w:rFonts w:ascii="Verdana" w:hAnsi="Verdana" w:cs="Times New Roman"/>
                <w:color w:val="000000"/>
                <w:sz w:val="20"/>
                <w:szCs w:val="20"/>
              </w:rPr>
            </w:pPr>
          </w:p>
          <w:p w14:paraId="53C4F6DB" w14:textId="77777777" w:rsidR="007B313E" w:rsidRPr="003B5DCC" w:rsidRDefault="007B313E" w:rsidP="00575166">
            <w:pPr>
              <w:pStyle w:val="ListParagraph"/>
              <w:ind w:left="0"/>
              <w:rPr>
                <w:rFonts w:ascii="Verdana" w:hAnsi="Verdana" w:cs="Times New Roman"/>
                <w:color w:val="000000"/>
                <w:sz w:val="20"/>
                <w:szCs w:val="20"/>
              </w:rPr>
            </w:pPr>
          </w:p>
          <w:p w14:paraId="463F214D" w14:textId="77777777" w:rsidR="007B313E" w:rsidRPr="003B5DCC" w:rsidRDefault="007B313E" w:rsidP="00575166">
            <w:pPr>
              <w:pStyle w:val="ListParagraph"/>
              <w:ind w:left="0"/>
              <w:rPr>
                <w:rFonts w:ascii="Verdana" w:hAnsi="Verdana" w:cs="Times New Roman"/>
                <w:color w:val="000000"/>
                <w:sz w:val="20"/>
                <w:szCs w:val="20"/>
              </w:rPr>
            </w:pPr>
          </w:p>
          <w:p w14:paraId="7EED5678" w14:textId="77777777" w:rsidR="007B313E" w:rsidRPr="003B5DCC" w:rsidRDefault="007B313E" w:rsidP="00575166">
            <w:pPr>
              <w:pStyle w:val="ListParagraph"/>
              <w:ind w:left="0"/>
              <w:rPr>
                <w:rFonts w:ascii="Verdana" w:hAnsi="Verdana" w:cs="Times New Roman"/>
                <w:color w:val="000000"/>
                <w:sz w:val="20"/>
                <w:szCs w:val="20"/>
              </w:rPr>
            </w:pPr>
          </w:p>
          <w:p w14:paraId="721B2F14" w14:textId="77777777" w:rsidR="007B313E" w:rsidRPr="003B5DCC" w:rsidRDefault="007B313E" w:rsidP="00575166">
            <w:pPr>
              <w:pStyle w:val="ListParagraph"/>
              <w:ind w:left="0"/>
              <w:rPr>
                <w:rFonts w:ascii="Verdana" w:hAnsi="Verdana" w:cs="Times New Roman"/>
                <w:color w:val="000000"/>
                <w:sz w:val="20"/>
                <w:szCs w:val="20"/>
              </w:rPr>
            </w:pPr>
          </w:p>
        </w:tc>
      </w:tr>
    </w:tbl>
    <w:p w14:paraId="78541001" w14:textId="77777777" w:rsidR="008D590E" w:rsidRDefault="008D590E">
      <w:pPr>
        <w:tabs>
          <w:tab w:val="left" w:pos="5400"/>
        </w:tabs>
        <w:jc w:val="center"/>
        <w:textAlignment w:val="center"/>
      </w:pPr>
    </w:p>
    <w:sectPr w:rsidR="008D590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DB00" w14:textId="77777777" w:rsidR="00185DCF" w:rsidRDefault="00185DCF">
      <w:pPr>
        <w:rPr>
          <w:sz w:val="20"/>
        </w:rPr>
      </w:pPr>
      <w:r>
        <w:rPr>
          <w:sz w:val="20"/>
        </w:rPr>
        <w:separator/>
      </w:r>
    </w:p>
  </w:endnote>
  <w:endnote w:type="continuationSeparator" w:id="0">
    <w:p w14:paraId="676CBC41" w14:textId="77777777" w:rsidR="00185DCF" w:rsidRDefault="00185DCF">
      <w:pPr>
        <w:rPr>
          <w:sz w:val="20"/>
        </w:rPr>
      </w:pPr>
      <w:r>
        <w:rPr>
          <w:sz w:val="20"/>
        </w:rPr>
        <w:continuationSeparator/>
      </w:r>
    </w:p>
  </w:endnote>
  <w:endnote w:type="continuationNotice" w:id="1">
    <w:p w14:paraId="105AF79A" w14:textId="77777777" w:rsidR="00185DCF" w:rsidRDefault="00185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9D12" w14:textId="77777777" w:rsidR="00185DCF" w:rsidRDefault="00185DCF">
      <w:pPr>
        <w:rPr>
          <w:sz w:val="20"/>
        </w:rPr>
      </w:pPr>
      <w:r>
        <w:rPr>
          <w:sz w:val="20"/>
        </w:rPr>
        <w:separator/>
      </w:r>
    </w:p>
  </w:footnote>
  <w:footnote w:type="continuationSeparator" w:id="0">
    <w:p w14:paraId="7AEB29F2" w14:textId="77777777" w:rsidR="00185DCF" w:rsidRDefault="00185DCF">
      <w:pPr>
        <w:rPr>
          <w:sz w:val="20"/>
        </w:rPr>
      </w:pPr>
      <w:r>
        <w:rPr>
          <w:sz w:val="20"/>
        </w:rPr>
        <w:continuationSeparator/>
      </w:r>
    </w:p>
  </w:footnote>
  <w:footnote w:type="continuationNotice" w:id="1">
    <w:p w14:paraId="044A6664" w14:textId="77777777" w:rsidR="00185DCF" w:rsidRDefault="00185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6840896"/>
    <w:multiLevelType w:val="multilevel"/>
    <w:tmpl w:val="63F080D8"/>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val="0"/>
        <w:color w:val="auto"/>
        <w:sz w:val="20"/>
        <w:szCs w:val="20"/>
      </w:rPr>
    </w:lvl>
    <w:lvl w:ilvl="2">
      <w:start w:val="1"/>
      <w:numFmt w:val="decimal"/>
      <w:lvlText w:val="%1.%2.%3."/>
      <w:lvlJc w:val="left"/>
      <w:pPr>
        <w:ind w:left="862" w:hanging="720"/>
      </w:pPr>
      <w:rPr>
        <w:i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8"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5"/>
  </w:num>
  <w:num w:numId="2" w16cid:durableId="1683624866">
    <w:abstractNumId w:val="5"/>
    <w:lvlOverride w:ilvl="1">
      <w:startOverride w:val="1"/>
    </w:lvlOverride>
  </w:num>
  <w:num w:numId="3" w16cid:durableId="119226884">
    <w:abstractNumId w:val="6"/>
  </w:num>
  <w:num w:numId="4" w16cid:durableId="1766732361">
    <w:abstractNumId w:val="2"/>
  </w:num>
  <w:num w:numId="5" w16cid:durableId="493572565">
    <w:abstractNumId w:val="1"/>
  </w:num>
  <w:num w:numId="6" w16cid:durableId="1662855150">
    <w:abstractNumId w:val="7"/>
  </w:num>
  <w:num w:numId="7" w16cid:durableId="835266254">
    <w:abstractNumId w:val="4"/>
  </w:num>
  <w:num w:numId="8" w16cid:durableId="1424229026">
    <w:abstractNumId w:val="8"/>
  </w:num>
  <w:num w:numId="9" w16cid:durableId="1200557171">
    <w:abstractNumId w:val="0"/>
  </w:num>
  <w:num w:numId="10" w16cid:durableId="297494659">
    <w:abstractNumId w:val="9"/>
  </w:num>
  <w:num w:numId="11" w16cid:durableId="2098012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24"/>
    <w:rsid w:val="00027B83"/>
    <w:rsid w:val="000335F3"/>
    <w:rsid w:val="0005177F"/>
    <w:rsid w:val="00052D5F"/>
    <w:rsid w:val="00054F9C"/>
    <w:rsid w:val="0005607C"/>
    <w:rsid w:val="00060C12"/>
    <w:rsid w:val="0006105B"/>
    <w:rsid w:val="00062FD9"/>
    <w:rsid w:val="00077F78"/>
    <w:rsid w:val="00082C03"/>
    <w:rsid w:val="00090541"/>
    <w:rsid w:val="00090B34"/>
    <w:rsid w:val="00091190"/>
    <w:rsid w:val="00091A86"/>
    <w:rsid w:val="0009530A"/>
    <w:rsid w:val="00096DD6"/>
    <w:rsid w:val="000A1444"/>
    <w:rsid w:val="000A25F6"/>
    <w:rsid w:val="000A3449"/>
    <w:rsid w:val="000B0897"/>
    <w:rsid w:val="000B0977"/>
    <w:rsid w:val="000C6025"/>
    <w:rsid w:val="000E0006"/>
    <w:rsid w:val="000E5660"/>
    <w:rsid w:val="000F477E"/>
    <w:rsid w:val="00105646"/>
    <w:rsid w:val="00105739"/>
    <w:rsid w:val="001233B6"/>
    <w:rsid w:val="00130B1C"/>
    <w:rsid w:val="00132A4D"/>
    <w:rsid w:val="001413AB"/>
    <w:rsid w:val="00142D3D"/>
    <w:rsid w:val="00143ECD"/>
    <w:rsid w:val="001462EE"/>
    <w:rsid w:val="00147C3D"/>
    <w:rsid w:val="00154392"/>
    <w:rsid w:val="001578A8"/>
    <w:rsid w:val="00170F31"/>
    <w:rsid w:val="00185DCF"/>
    <w:rsid w:val="00191C88"/>
    <w:rsid w:val="001B066D"/>
    <w:rsid w:val="001C4444"/>
    <w:rsid w:val="001C6AF4"/>
    <w:rsid w:val="001D1A00"/>
    <w:rsid w:val="001D3AEC"/>
    <w:rsid w:val="001E424C"/>
    <w:rsid w:val="001F4254"/>
    <w:rsid w:val="001F7EA4"/>
    <w:rsid w:val="00200F58"/>
    <w:rsid w:val="0021091E"/>
    <w:rsid w:val="00214768"/>
    <w:rsid w:val="00215329"/>
    <w:rsid w:val="00216552"/>
    <w:rsid w:val="00216A96"/>
    <w:rsid w:val="002232CE"/>
    <w:rsid w:val="0023136F"/>
    <w:rsid w:val="00234FDE"/>
    <w:rsid w:val="00235FD2"/>
    <w:rsid w:val="002457C2"/>
    <w:rsid w:val="0026435A"/>
    <w:rsid w:val="0026650F"/>
    <w:rsid w:val="00270701"/>
    <w:rsid w:val="002739BA"/>
    <w:rsid w:val="00275D66"/>
    <w:rsid w:val="002862DB"/>
    <w:rsid w:val="00294666"/>
    <w:rsid w:val="002A01C9"/>
    <w:rsid w:val="002A09C2"/>
    <w:rsid w:val="002A6572"/>
    <w:rsid w:val="002C21C4"/>
    <w:rsid w:val="002C5BC5"/>
    <w:rsid w:val="002D393A"/>
    <w:rsid w:val="002D486F"/>
    <w:rsid w:val="002D5D84"/>
    <w:rsid w:val="002E0A5D"/>
    <w:rsid w:val="002E3A67"/>
    <w:rsid w:val="002F015A"/>
    <w:rsid w:val="002F3F66"/>
    <w:rsid w:val="00300340"/>
    <w:rsid w:val="0031705B"/>
    <w:rsid w:val="00327CE7"/>
    <w:rsid w:val="00334BE5"/>
    <w:rsid w:val="00356292"/>
    <w:rsid w:val="0037093F"/>
    <w:rsid w:val="003A54EC"/>
    <w:rsid w:val="003A6856"/>
    <w:rsid w:val="003B38E0"/>
    <w:rsid w:val="003B6152"/>
    <w:rsid w:val="003B6181"/>
    <w:rsid w:val="003C2F44"/>
    <w:rsid w:val="003C44B1"/>
    <w:rsid w:val="003C4C9E"/>
    <w:rsid w:val="003E50BF"/>
    <w:rsid w:val="003F3198"/>
    <w:rsid w:val="00405D36"/>
    <w:rsid w:val="0041496F"/>
    <w:rsid w:val="00426C85"/>
    <w:rsid w:val="004377E5"/>
    <w:rsid w:val="0045171A"/>
    <w:rsid w:val="004563C4"/>
    <w:rsid w:val="00456C20"/>
    <w:rsid w:val="00460F74"/>
    <w:rsid w:val="00466AAF"/>
    <w:rsid w:val="00471C8B"/>
    <w:rsid w:val="0047273F"/>
    <w:rsid w:val="00476095"/>
    <w:rsid w:val="0048083F"/>
    <w:rsid w:val="00491B65"/>
    <w:rsid w:val="004A10E9"/>
    <w:rsid w:val="004B0EE5"/>
    <w:rsid w:val="004B7BD2"/>
    <w:rsid w:val="004C0F8F"/>
    <w:rsid w:val="004C38B6"/>
    <w:rsid w:val="004C614C"/>
    <w:rsid w:val="004C7B14"/>
    <w:rsid w:val="004D218D"/>
    <w:rsid w:val="004D7F2A"/>
    <w:rsid w:val="004E772A"/>
    <w:rsid w:val="004F06FD"/>
    <w:rsid w:val="004F77F0"/>
    <w:rsid w:val="004F7DF6"/>
    <w:rsid w:val="00504C30"/>
    <w:rsid w:val="00510458"/>
    <w:rsid w:val="005112A9"/>
    <w:rsid w:val="00526114"/>
    <w:rsid w:val="00527EB4"/>
    <w:rsid w:val="005368BA"/>
    <w:rsid w:val="00541DF1"/>
    <w:rsid w:val="005430E2"/>
    <w:rsid w:val="00543A69"/>
    <w:rsid w:val="0054515C"/>
    <w:rsid w:val="00550AE7"/>
    <w:rsid w:val="00554E2D"/>
    <w:rsid w:val="00561168"/>
    <w:rsid w:val="00561AA1"/>
    <w:rsid w:val="005627A5"/>
    <w:rsid w:val="00563607"/>
    <w:rsid w:val="00563850"/>
    <w:rsid w:val="00563EE2"/>
    <w:rsid w:val="00571958"/>
    <w:rsid w:val="005805B2"/>
    <w:rsid w:val="00587676"/>
    <w:rsid w:val="0059434D"/>
    <w:rsid w:val="005B2344"/>
    <w:rsid w:val="005C1A98"/>
    <w:rsid w:val="005C29DF"/>
    <w:rsid w:val="005C7C62"/>
    <w:rsid w:val="005D00D4"/>
    <w:rsid w:val="005D1EC8"/>
    <w:rsid w:val="005D2755"/>
    <w:rsid w:val="005D3B91"/>
    <w:rsid w:val="005D57E6"/>
    <w:rsid w:val="005D6724"/>
    <w:rsid w:val="005E1A5F"/>
    <w:rsid w:val="005F7025"/>
    <w:rsid w:val="00617420"/>
    <w:rsid w:val="006226EE"/>
    <w:rsid w:val="006319C3"/>
    <w:rsid w:val="00632DE0"/>
    <w:rsid w:val="006362F5"/>
    <w:rsid w:val="006428AE"/>
    <w:rsid w:val="00642AE6"/>
    <w:rsid w:val="00643416"/>
    <w:rsid w:val="0064505F"/>
    <w:rsid w:val="0065295E"/>
    <w:rsid w:val="00656A17"/>
    <w:rsid w:val="00660D1C"/>
    <w:rsid w:val="00662747"/>
    <w:rsid w:val="00673F51"/>
    <w:rsid w:val="006902FF"/>
    <w:rsid w:val="0069750A"/>
    <w:rsid w:val="006A02F3"/>
    <w:rsid w:val="006A3F4D"/>
    <w:rsid w:val="006A4327"/>
    <w:rsid w:val="006B3322"/>
    <w:rsid w:val="006B36BE"/>
    <w:rsid w:val="006C64B0"/>
    <w:rsid w:val="006C6DDD"/>
    <w:rsid w:val="006D2274"/>
    <w:rsid w:val="006D25E7"/>
    <w:rsid w:val="006F13CC"/>
    <w:rsid w:val="006F2D33"/>
    <w:rsid w:val="00702198"/>
    <w:rsid w:val="007023AE"/>
    <w:rsid w:val="00723FBC"/>
    <w:rsid w:val="00726D71"/>
    <w:rsid w:val="00727AB0"/>
    <w:rsid w:val="00752200"/>
    <w:rsid w:val="0076134D"/>
    <w:rsid w:val="00761366"/>
    <w:rsid w:val="00763448"/>
    <w:rsid w:val="00766875"/>
    <w:rsid w:val="00775A32"/>
    <w:rsid w:val="0079716C"/>
    <w:rsid w:val="007A12B1"/>
    <w:rsid w:val="007A1416"/>
    <w:rsid w:val="007B313E"/>
    <w:rsid w:val="007C523D"/>
    <w:rsid w:val="007D420E"/>
    <w:rsid w:val="007D6557"/>
    <w:rsid w:val="007D739D"/>
    <w:rsid w:val="007E2CB0"/>
    <w:rsid w:val="007F7DAA"/>
    <w:rsid w:val="00814AF1"/>
    <w:rsid w:val="008209BC"/>
    <w:rsid w:val="00820ADD"/>
    <w:rsid w:val="00834A62"/>
    <w:rsid w:val="0084749C"/>
    <w:rsid w:val="00853099"/>
    <w:rsid w:val="00860CCE"/>
    <w:rsid w:val="00861104"/>
    <w:rsid w:val="00861EEC"/>
    <w:rsid w:val="008662C1"/>
    <w:rsid w:val="0088345A"/>
    <w:rsid w:val="0088548C"/>
    <w:rsid w:val="0088706B"/>
    <w:rsid w:val="00890552"/>
    <w:rsid w:val="00891AC3"/>
    <w:rsid w:val="008928A6"/>
    <w:rsid w:val="00892D52"/>
    <w:rsid w:val="00893AE4"/>
    <w:rsid w:val="008973DB"/>
    <w:rsid w:val="008A04A1"/>
    <w:rsid w:val="008A13F8"/>
    <w:rsid w:val="008A1FCC"/>
    <w:rsid w:val="008B0D05"/>
    <w:rsid w:val="008B38E3"/>
    <w:rsid w:val="008B3C4E"/>
    <w:rsid w:val="008B3E41"/>
    <w:rsid w:val="008D0656"/>
    <w:rsid w:val="008D0F20"/>
    <w:rsid w:val="008D590E"/>
    <w:rsid w:val="008D694A"/>
    <w:rsid w:val="008E17F8"/>
    <w:rsid w:val="008F2114"/>
    <w:rsid w:val="008F2BEF"/>
    <w:rsid w:val="008F3949"/>
    <w:rsid w:val="008F48AA"/>
    <w:rsid w:val="009021AF"/>
    <w:rsid w:val="00903898"/>
    <w:rsid w:val="00910F62"/>
    <w:rsid w:val="009124AA"/>
    <w:rsid w:val="00921755"/>
    <w:rsid w:val="009317F9"/>
    <w:rsid w:val="009412D0"/>
    <w:rsid w:val="00941E0F"/>
    <w:rsid w:val="00945599"/>
    <w:rsid w:val="00946C39"/>
    <w:rsid w:val="00950097"/>
    <w:rsid w:val="00964AB9"/>
    <w:rsid w:val="00965647"/>
    <w:rsid w:val="009728BC"/>
    <w:rsid w:val="009816C7"/>
    <w:rsid w:val="009871CF"/>
    <w:rsid w:val="00990975"/>
    <w:rsid w:val="00993A09"/>
    <w:rsid w:val="0099498F"/>
    <w:rsid w:val="009A2799"/>
    <w:rsid w:val="009A37C3"/>
    <w:rsid w:val="009A43B5"/>
    <w:rsid w:val="009A54A6"/>
    <w:rsid w:val="009B3051"/>
    <w:rsid w:val="009B38DD"/>
    <w:rsid w:val="009B5B93"/>
    <w:rsid w:val="009C0C04"/>
    <w:rsid w:val="009D1874"/>
    <w:rsid w:val="009D18E7"/>
    <w:rsid w:val="009D7BB2"/>
    <w:rsid w:val="009E07DC"/>
    <w:rsid w:val="009E4A89"/>
    <w:rsid w:val="009E5913"/>
    <w:rsid w:val="009F2834"/>
    <w:rsid w:val="009F2A42"/>
    <w:rsid w:val="009F44D7"/>
    <w:rsid w:val="009F4FDF"/>
    <w:rsid w:val="00A1214C"/>
    <w:rsid w:val="00A14525"/>
    <w:rsid w:val="00A17CC3"/>
    <w:rsid w:val="00A22F7B"/>
    <w:rsid w:val="00A266C2"/>
    <w:rsid w:val="00A37A79"/>
    <w:rsid w:val="00A460B2"/>
    <w:rsid w:val="00A51910"/>
    <w:rsid w:val="00A52A88"/>
    <w:rsid w:val="00A70C04"/>
    <w:rsid w:val="00A8041D"/>
    <w:rsid w:val="00A81330"/>
    <w:rsid w:val="00A864F9"/>
    <w:rsid w:val="00A911D0"/>
    <w:rsid w:val="00A919B7"/>
    <w:rsid w:val="00A9284E"/>
    <w:rsid w:val="00A95BE0"/>
    <w:rsid w:val="00AA2368"/>
    <w:rsid w:val="00AA5EE6"/>
    <w:rsid w:val="00AE481D"/>
    <w:rsid w:val="00AF07FC"/>
    <w:rsid w:val="00AF2D3A"/>
    <w:rsid w:val="00AF2DCC"/>
    <w:rsid w:val="00AF7324"/>
    <w:rsid w:val="00B140F5"/>
    <w:rsid w:val="00B246C3"/>
    <w:rsid w:val="00B25CFB"/>
    <w:rsid w:val="00B35899"/>
    <w:rsid w:val="00B36D09"/>
    <w:rsid w:val="00B43BA9"/>
    <w:rsid w:val="00B47C0D"/>
    <w:rsid w:val="00B548BD"/>
    <w:rsid w:val="00B55D6E"/>
    <w:rsid w:val="00B62F0C"/>
    <w:rsid w:val="00B67A32"/>
    <w:rsid w:val="00B734F4"/>
    <w:rsid w:val="00B73BEE"/>
    <w:rsid w:val="00B95917"/>
    <w:rsid w:val="00BA4E03"/>
    <w:rsid w:val="00BA588F"/>
    <w:rsid w:val="00BA5ADC"/>
    <w:rsid w:val="00BB1875"/>
    <w:rsid w:val="00BB641E"/>
    <w:rsid w:val="00BB7C89"/>
    <w:rsid w:val="00BC7EA8"/>
    <w:rsid w:val="00BE726D"/>
    <w:rsid w:val="00BF374E"/>
    <w:rsid w:val="00BF4D35"/>
    <w:rsid w:val="00BF696F"/>
    <w:rsid w:val="00C0563E"/>
    <w:rsid w:val="00C15490"/>
    <w:rsid w:val="00C35A15"/>
    <w:rsid w:val="00C35CC5"/>
    <w:rsid w:val="00C4080A"/>
    <w:rsid w:val="00C41AFD"/>
    <w:rsid w:val="00C54076"/>
    <w:rsid w:val="00C57BAE"/>
    <w:rsid w:val="00C732ED"/>
    <w:rsid w:val="00C75370"/>
    <w:rsid w:val="00C810CC"/>
    <w:rsid w:val="00C93741"/>
    <w:rsid w:val="00CA3926"/>
    <w:rsid w:val="00CA7DE0"/>
    <w:rsid w:val="00CB04A7"/>
    <w:rsid w:val="00CB5015"/>
    <w:rsid w:val="00CB7B28"/>
    <w:rsid w:val="00CC5E54"/>
    <w:rsid w:val="00CC67FE"/>
    <w:rsid w:val="00CD2AE9"/>
    <w:rsid w:val="00CE311F"/>
    <w:rsid w:val="00CE35CC"/>
    <w:rsid w:val="00CF4B18"/>
    <w:rsid w:val="00D015DF"/>
    <w:rsid w:val="00D12E5F"/>
    <w:rsid w:val="00D312A5"/>
    <w:rsid w:val="00D46388"/>
    <w:rsid w:val="00D501A2"/>
    <w:rsid w:val="00D534E3"/>
    <w:rsid w:val="00D55A6C"/>
    <w:rsid w:val="00D56ED8"/>
    <w:rsid w:val="00D57E31"/>
    <w:rsid w:val="00D6074B"/>
    <w:rsid w:val="00D611B7"/>
    <w:rsid w:val="00D6194B"/>
    <w:rsid w:val="00D62916"/>
    <w:rsid w:val="00D66548"/>
    <w:rsid w:val="00D723AB"/>
    <w:rsid w:val="00D7661A"/>
    <w:rsid w:val="00D76C7F"/>
    <w:rsid w:val="00D83D06"/>
    <w:rsid w:val="00D8623F"/>
    <w:rsid w:val="00D9053F"/>
    <w:rsid w:val="00D93CBA"/>
    <w:rsid w:val="00D96FBD"/>
    <w:rsid w:val="00DA4E0C"/>
    <w:rsid w:val="00DC03F9"/>
    <w:rsid w:val="00DD4110"/>
    <w:rsid w:val="00DE5380"/>
    <w:rsid w:val="00DE7C89"/>
    <w:rsid w:val="00DF46A7"/>
    <w:rsid w:val="00DF4F69"/>
    <w:rsid w:val="00E01D1A"/>
    <w:rsid w:val="00E1505C"/>
    <w:rsid w:val="00E2054A"/>
    <w:rsid w:val="00E2274D"/>
    <w:rsid w:val="00E26A14"/>
    <w:rsid w:val="00E33AA4"/>
    <w:rsid w:val="00E3411B"/>
    <w:rsid w:val="00E402EF"/>
    <w:rsid w:val="00E40705"/>
    <w:rsid w:val="00E51BF5"/>
    <w:rsid w:val="00E51ECB"/>
    <w:rsid w:val="00E623E4"/>
    <w:rsid w:val="00E71811"/>
    <w:rsid w:val="00E76838"/>
    <w:rsid w:val="00E7766A"/>
    <w:rsid w:val="00E8095E"/>
    <w:rsid w:val="00E82912"/>
    <w:rsid w:val="00E87130"/>
    <w:rsid w:val="00E878EF"/>
    <w:rsid w:val="00E87E79"/>
    <w:rsid w:val="00E97735"/>
    <w:rsid w:val="00EA5FB6"/>
    <w:rsid w:val="00EA75A3"/>
    <w:rsid w:val="00EB05C5"/>
    <w:rsid w:val="00EB1D9E"/>
    <w:rsid w:val="00EB32CB"/>
    <w:rsid w:val="00EB6D4E"/>
    <w:rsid w:val="00EC5CF9"/>
    <w:rsid w:val="00EE13D9"/>
    <w:rsid w:val="00F14623"/>
    <w:rsid w:val="00F1486E"/>
    <w:rsid w:val="00F21684"/>
    <w:rsid w:val="00F24403"/>
    <w:rsid w:val="00F24B6F"/>
    <w:rsid w:val="00F260BB"/>
    <w:rsid w:val="00F26E27"/>
    <w:rsid w:val="00F2794C"/>
    <w:rsid w:val="00F31858"/>
    <w:rsid w:val="00F3301B"/>
    <w:rsid w:val="00F35227"/>
    <w:rsid w:val="00F37C6E"/>
    <w:rsid w:val="00F4022D"/>
    <w:rsid w:val="00F45675"/>
    <w:rsid w:val="00F46099"/>
    <w:rsid w:val="00F4636F"/>
    <w:rsid w:val="00F47E83"/>
    <w:rsid w:val="00F52D66"/>
    <w:rsid w:val="00F5554D"/>
    <w:rsid w:val="00F577CC"/>
    <w:rsid w:val="00F60BD9"/>
    <w:rsid w:val="00F614C2"/>
    <w:rsid w:val="00F66E4A"/>
    <w:rsid w:val="00F70036"/>
    <w:rsid w:val="00F722EE"/>
    <w:rsid w:val="00F75A51"/>
    <w:rsid w:val="00F831E2"/>
    <w:rsid w:val="00F85889"/>
    <w:rsid w:val="00F956F6"/>
    <w:rsid w:val="00FA0517"/>
    <w:rsid w:val="00FA2B04"/>
    <w:rsid w:val="00FA712C"/>
    <w:rsid w:val="00FB6BBA"/>
    <w:rsid w:val="00FC2DE7"/>
    <w:rsid w:val="00FC35EE"/>
    <w:rsid w:val="00FD2D26"/>
    <w:rsid w:val="00FF6B01"/>
    <w:rsid w:val="00FF7631"/>
    <w:rsid w:val="010068CE"/>
    <w:rsid w:val="010A2CB4"/>
    <w:rsid w:val="015FEE6D"/>
    <w:rsid w:val="01D01B00"/>
    <w:rsid w:val="04EF24CB"/>
    <w:rsid w:val="05E7B3EF"/>
    <w:rsid w:val="0629BB27"/>
    <w:rsid w:val="078F4BF3"/>
    <w:rsid w:val="08EDC3CE"/>
    <w:rsid w:val="0AEB5649"/>
    <w:rsid w:val="0AF58879"/>
    <w:rsid w:val="0B2AAF26"/>
    <w:rsid w:val="0DF75641"/>
    <w:rsid w:val="0E4C31C8"/>
    <w:rsid w:val="0E769233"/>
    <w:rsid w:val="12FB0E16"/>
    <w:rsid w:val="155C4DE8"/>
    <w:rsid w:val="15DDF6AC"/>
    <w:rsid w:val="1602827A"/>
    <w:rsid w:val="176A849A"/>
    <w:rsid w:val="17B6BC56"/>
    <w:rsid w:val="18E39114"/>
    <w:rsid w:val="19400ACB"/>
    <w:rsid w:val="1DC1DB1A"/>
    <w:rsid w:val="1E7FB271"/>
    <w:rsid w:val="1E97770E"/>
    <w:rsid w:val="1EEA7907"/>
    <w:rsid w:val="2003806B"/>
    <w:rsid w:val="2050267F"/>
    <w:rsid w:val="20FBA801"/>
    <w:rsid w:val="21B5A4C1"/>
    <w:rsid w:val="22635EDB"/>
    <w:rsid w:val="23F890AE"/>
    <w:rsid w:val="251AA30F"/>
    <w:rsid w:val="289FF0DD"/>
    <w:rsid w:val="2ABC2334"/>
    <w:rsid w:val="2CEC53E4"/>
    <w:rsid w:val="2FDC8DC2"/>
    <w:rsid w:val="36051CE0"/>
    <w:rsid w:val="36F0797B"/>
    <w:rsid w:val="3790B349"/>
    <w:rsid w:val="38C72A52"/>
    <w:rsid w:val="3A306614"/>
    <w:rsid w:val="3AC85721"/>
    <w:rsid w:val="3BD816F7"/>
    <w:rsid w:val="3CCCEC41"/>
    <w:rsid w:val="3CE0449C"/>
    <w:rsid w:val="3CF50F71"/>
    <w:rsid w:val="3DDCC568"/>
    <w:rsid w:val="3F915967"/>
    <w:rsid w:val="432F7F84"/>
    <w:rsid w:val="437DE1D7"/>
    <w:rsid w:val="482C87B7"/>
    <w:rsid w:val="49CED665"/>
    <w:rsid w:val="4B4D49FE"/>
    <w:rsid w:val="4B9C4221"/>
    <w:rsid w:val="4CDB0423"/>
    <w:rsid w:val="4DD39746"/>
    <w:rsid w:val="51377129"/>
    <w:rsid w:val="519960CF"/>
    <w:rsid w:val="528F31EE"/>
    <w:rsid w:val="52EDFBCA"/>
    <w:rsid w:val="54D7D863"/>
    <w:rsid w:val="5700FC00"/>
    <w:rsid w:val="59CDF7AE"/>
    <w:rsid w:val="59DB0093"/>
    <w:rsid w:val="5A59E71F"/>
    <w:rsid w:val="5ACBD81D"/>
    <w:rsid w:val="5DC11A94"/>
    <w:rsid w:val="5FE8CEC3"/>
    <w:rsid w:val="6336D1E0"/>
    <w:rsid w:val="633B36BB"/>
    <w:rsid w:val="63F7BA89"/>
    <w:rsid w:val="646D9358"/>
    <w:rsid w:val="65065EA1"/>
    <w:rsid w:val="671ADD39"/>
    <w:rsid w:val="68DB7F83"/>
    <w:rsid w:val="69B867E2"/>
    <w:rsid w:val="6D0A4F3C"/>
    <w:rsid w:val="6E42AC53"/>
    <w:rsid w:val="6F4C00D5"/>
    <w:rsid w:val="700D41EA"/>
    <w:rsid w:val="70A2497D"/>
    <w:rsid w:val="70DF4540"/>
    <w:rsid w:val="715CC674"/>
    <w:rsid w:val="749204BF"/>
    <w:rsid w:val="7663ECF0"/>
    <w:rsid w:val="7726BAD2"/>
    <w:rsid w:val="774BC82D"/>
    <w:rsid w:val="792EC07C"/>
    <w:rsid w:val="7A5A8478"/>
    <w:rsid w:val="7ACF1F41"/>
    <w:rsid w:val="7B26CCD4"/>
    <w:rsid w:val="7C3BD58E"/>
    <w:rsid w:val="7D63E1B1"/>
    <w:rsid w:val="7FE6C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B31B3AD-AD6F-4C75-8B37-45568EC3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34"/>
    <w:qFormat/>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qFormat/>
    <w:rsid w:val="007D739D"/>
  </w:style>
  <w:style w:type="table" w:styleId="TableGrid">
    <w:name w:val="Table Grid"/>
    <w:basedOn w:val="TableNormal"/>
    <w:uiPriority w:val="59"/>
    <w:rsid w:val="007B31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2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6475066">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3183403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091720">
      <w:bodyDiv w:val="1"/>
      <w:marLeft w:val="0"/>
      <w:marRight w:val="0"/>
      <w:marTop w:val="0"/>
      <w:marBottom w:val="0"/>
      <w:divBdr>
        <w:top w:val="none" w:sz="0" w:space="0" w:color="auto"/>
        <w:left w:val="none" w:sz="0" w:space="0" w:color="auto"/>
        <w:bottom w:val="none" w:sz="0" w:space="0" w:color="auto"/>
        <w:right w:val="none" w:sz="0" w:space="0" w:color="auto"/>
      </w:divBdr>
    </w:div>
    <w:div w:id="129317683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607574">
      <w:bodyDiv w:val="1"/>
      <w:marLeft w:val="0"/>
      <w:marRight w:val="0"/>
      <w:marTop w:val="0"/>
      <w:marBottom w:val="0"/>
      <w:divBdr>
        <w:top w:val="none" w:sz="0" w:space="0" w:color="auto"/>
        <w:left w:val="none" w:sz="0" w:space="0" w:color="auto"/>
        <w:bottom w:val="none" w:sz="0" w:space="0" w:color="auto"/>
        <w:right w:val="none" w:sz="0" w:space="0" w:color="auto"/>
      </w:divBdr>
    </w:div>
    <w:div w:id="152374185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9751258">
      <w:bodyDiv w:val="1"/>
      <w:marLeft w:val="0"/>
      <w:marRight w:val="0"/>
      <w:marTop w:val="0"/>
      <w:marBottom w:val="0"/>
      <w:divBdr>
        <w:top w:val="none" w:sz="0" w:space="0" w:color="auto"/>
        <w:left w:val="none" w:sz="0" w:space="0" w:color="auto"/>
        <w:bottom w:val="none" w:sz="0" w:space="0" w:color="auto"/>
        <w:right w:val="none" w:sz="0" w:space="0" w:color="auto"/>
      </w:divBdr>
    </w:div>
    <w:div w:id="164057629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5156">
      <w:bodyDiv w:val="1"/>
      <w:marLeft w:val="0"/>
      <w:marRight w:val="0"/>
      <w:marTop w:val="0"/>
      <w:marBottom w:val="0"/>
      <w:divBdr>
        <w:top w:val="none" w:sz="0" w:space="0" w:color="auto"/>
        <w:left w:val="none" w:sz="0" w:space="0" w:color="auto"/>
        <w:bottom w:val="none" w:sz="0" w:space="0" w:color="auto"/>
        <w:right w:val="none" w:sz="0" w:space="0" w:color="auto"/>
      </w:divBdr>
    </w:div>
    <w:div w:id="18425458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314107">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5F9D9BAB745AFBFC0045C448C22BB"/>
        <w:category>
          <w:name w:val="Bendrosios nuostatos"/>
          <w:gallery w:val="placeholder"/>
        </w:category>
        <w:types>
          <w:type w:val="bbPlcHdr"/>
        </w:types>
        <w:behaviors>
          <w:behavior w:val="content"/>
        </w:behaviors>
        <w:guid w:val="{5EB46A12-2AF9-4D68-BC60-24E77AE51AC6}"/>
      </w:docPartPr>
      <w:docPartBody>
        <w:p w:rsidR="003969F3" w:rsidRDefault="00DF4F69" w:rsidP="00DF4F69">
          <w:pPr>
            <w:pStyle w:val="3E65F9D9BAB745AFBFC0045C448C22BB"/>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9"/>
    <w:rsid w:val="00000315"/>
    <w:rsid w:val="00040E22"/>
    <w:rsid w:val="00052D5F"/>
    <w:rsid w:val="00062FD9"/>
    <w:rsid w:val="00077F78"/>
    <w:rsid w:val="00087F33"/>
    <w:rsid w:val="0009268A"/>
    <w:rsid w:val="000B7035"/>
    <w:rsid w:val="000C2F34"/>
    <w:rsid w:val="00114BEF"/>
    <w:rsid w:val="001446C4"/>
    <w:rsid w:val="001578A8"/>
    <w:rsid w:val="001B1B20"/>
    <w:rsid w:val="002457C2"/>
    <w:rsid w:val="002C21C4"/>
    <w:rsid w:val="0031705B"/>
    <w:rsid w:val="00385892"/>
    <w:rsid w:val="003969F3"/>
    <w:rsid w:val="003A4346"/>
    <w:rsid w:val="0042067F"/>
    <w:rsid w:val="004377E5"/>
    <w:rsid w:val="00527EB4"/>
    <w:rsid w:val="0058046C"/>
    <w:rsid w:val="005805B2"/>
    <w:rsid w:val="005E47EE"/>
    <w:rsid w:val="00632DE0"/>
    <w:rsid w:val="006428AE"/>
    <w:rsid w:val="0064324A"/>
    <w:rsid w:val="0065135C"/>
    <w:rsid w:val="006857D1"/>
    <w:rsid w:val="006C6DDD"/>
    <w:rsid w:val="00726D71"/>
    <w:rsid w:val="0076134D"/>
    <w:rsid w:val="00775A32"/>
    <w:rsid w:val="007F5AE0"/>
    <w:rsid w:val="007F7DAA"/>
    <w:rsid w:val="00820ADD"/>
    <w:rsid w:val="00827CC9"/>
    <w:rsid w:val="008302D9"/>
    <w:rsid w:val="00853099"/>
    <w:rsid w:val="0088345A"/>
    <w:rsid w:val="008A04A1"/>
    <w:rsid w:val="008A13F8"/>
    <w:rsid w:val="008D5D48"/>
    <w:rsid w:val="009816C7"/>
    <w:rsid w:val="009B2A86"/>
    <w:rsid w:val="00A2373E"/>
    <w:rsid w:val="00AF07FC"/>
    <w:rsid w:val="00B36D09"/>
    <w:rsid w:val="00B62F0C"/>
    <w:rsid w:val="00BF374E"/>
    <w:rsid w:val="00C57BAE"/>
    <w:rsid w:val="00C732ED"/>
    <w:rsid w:val="00CD2AE9"/>
    <w:rsid w:val="00CE311F"/>
    <w:rsid w:val="00CE35CC"/>
    <w:rsid w:val="00D66548"/>
    <w:rsid w:val="00DB6054"/>
    <w:rsid w:val="00DC03F9"/>
    <w:rsid w:val="00DD6C1E"/>
    <w:rsid w:val="00DE7C89"/>
    <w:rsid w:val="00DF4F69"/>
    <w:rsid w:val="00E53962"/>
    <w:rsid w:val="00F21684"/>
    <w:rsid w:val="00F35227"/>
    <w:rsid w:val="00F53280"/>
    <w:rsid w:val="00F831E2"/>
    <w:rsid w:val="00FA7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4F69"/>
    <w:rPr>
      <w:color w:val="808080"/>
    </w:rPr>
  </w:style>
  <w:style w:type="paragraph" w:customStyle="1" w:styleId="3E65F9D9BAB745AFBFC0045C448C22BB">
    <w:name w:val="3E65F9D9BAB745AFBFC0045C448C22BB"/>
    <w:rsid w:val="00D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46e192d82b531037016539977959da21">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487082ce29064e27ca3025d8c969c02"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D3690BBD-FDB7-41F3-8F31-6147256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13551</Words>
  <Characters>96484</Characters>
  <Application>Microsoft Office Word</Application>
  <DocSecurity>0</DocSecurity>
  <Lines>1929</Lines>
  <Paragraphs>733</Paragraphs>
  <ScaleCrop>false</ScaleCrop>
  <Company/>
  <LinksUpToDate>false</LinksUpToDate>
  <CharactersWithSpaces>109302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Audrius Kuznicovas</cp:lastModifiedBy>
  <cp:revision>215</cp:revision>
  <cp:lastPrinted>2017-06-30T19:42:00Z</cp:lastPrinted>
  <dcterms:created xsi:type="dcterms:W3CDTF">2025-01-19T05:59:00Z</dcterms:created>
  <dcterms:modified xsi:type="dcterms:W3CDTF">2025-10-30T14:04:00Z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