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210E1"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Arial" w:hAnsi="Arial" w:cs="Arial"/>
          <w:b w:val="0"/>
          <w:bCs w:val="0"/>
          <w:sz w:val="21"/>
          <w:szCs w:val="21"/>
        </w:rPr>
      </w:sdtEndPr>
      <w:sdtContent>
        <w:p w14:paraId="3C615991" w14:textId="77777777" w:rsidR="007B67F9" w:rsidRPr="00A210E1" w:rsidRDefault="007B67F9" w:rsidP="007B67F9">
          <w:pPr>
            <w:spacing w:line="240" w:lineRule="auto"/>
            <w:contextualSpacing/>
            <w:jc w:val="center"/>
            <w:rPr>
              <w:rFonts w:ascii="Arial" w:hAnsi="Arial" w:cs="Arial"/>
              <w:b/>
              <w:bCs/>
              <w:color w:val="00435B"/>
              <w:sz w:val="20"/>
              <w:szCs w:val="20"/>
            </w:rPr>
          </w:pPr>
          <w:r w:rsidRPr="00A210E1">
            <w:rPr>
              <w:rFonts w:ascii="Arial" w:hAnsi="Arial" w:cs="Arial"/>
              <w:b/>
              <w:bCs/>
              <w:color w:val="00435B"/>
              <w:sz w:val="20"/>
              <w:szCs w:val="20"/>
            </w:rPr>
            <w:t>UAB ILTE</w:t>
          </w:r>
          <w:r w:rsidRPr="00A210E1">
            <w:rPr>
              <w:rFonts w:ascii="Arial" w:hAnsi="Arial" w:cs="Arial"/>
              <w:color w:val="00435B"/>
              <w:sz w:val="20"/>
              <w:szCs w:val="20"/>
            </w:rPr>
            <w:t xml:space="preserve"> </w:t>
          </w:r>
        </w:p>
        <w:p w14:paraId="7DB5D19C" w14:textId="75E3F94F" w:rsidR="007B67F9" w:rsidRPr="00A210E1" w:rsidRDefault="007B67F9" w:rsidP="007B67F9">
          <w:pPr>
            <w:spacing w:line="240" w:lineRule="auto"/>
            <w:contextualSpacing/>
            <w:jc w:val="center"/>
            <w:rPr>
              <w:rFonts w:ascii="Arial" w:hAnsi="Arial" w:cs="Arial"/>
              <w:color w:val="00435B"/>
              <w:sz w:val="20"/>
              <w:szCs w:val="20"/>
            </w:rPr>
          </w:pPr>
          <w:proofErr w:type="spellStart"/>
          <w:r w:rsidRPr="00A210E1">
            <w:rPr>
              <w:rFonts w:ascii="Arial" w:hAnsi="Arial" w:cs="Arial"/>
              <w:color w:val="00435B"/>
              <w:sz w:val="20"/>
              <w:szCs w:val="20"/>
            </w:rPr>
            <w:t>Ukmergė</w:t>
          </w:r>
          <w:proofErr w:type="spellEnd"/>
          <w:r w:rsidRPr="00A210E1">
            <w:rPr>
              <w:rFonts w:ascii="Arial" w:hAnsi="Arial" w:cs="Arial"/>
              <w:color w:val="00435B"/>
              <w:sz w:val="20"/>
              <w:szCs w:val="20"/>
            </w:rPr>
            <w:t xml:space="preserve"> str. 124, 08100 Vilnius, tel. +370 5 210 7510, email </w:t>
          </w:r>
          <w:hyperlink r:id="rId11" w:history="1">
            <w:r w:rsidRPr="00A210E1">
              <w:rPr>
                <w:rStyle w:val="Hipersaitas"/>
                <w:rFonts w:ascii="Arial" w:hAnsi="Arial" w:cs="Arial"/>
                <w:color w:val="00435B"/>
                <w:sz w:val="20"/>
                <w:szCs w:val="20"/>
              </w:rPr>
              <w:t>info@ilte.lt</w:t>
            </w:r>
          </w:hyperlink>
          <w:r w:rsidRPr="00A210E1">
            <w:rPr>
              <w:rFonts w:ascii="Arial" w:hAnsi="Arial" w:cs="Arial"/>
              <w:color w:val="00435B"/>
              <w:sz w:val="20"/>
              <w:szCs w:val="20"/>
            </w:rPr>
            <w:t>, www.ilte.lt</w:t>
          </w:r>
        </w:p>
        <w:p w14:paraId="46315E48" w14:textId="09DCD820" w:rsidR="00C32E53" w:rsidRPr="00A210E1" w:rsidRDefault="000B6BC7" w:rsidP="007B67F9">
          <w:pPr>
            <w:spacing w:after="120" w:line="20" w:lineRule="atLeast"/>
            <w:contextualSpacing/>
            <w:jc w:val="center"/>
            <w:rPr>
              <w:rFonts w:ascii="Arial" w:hAnsi="Arial" w:cs="Arial"/>
              <w:color w:val="00B050"/>
              <w:sz w:val="20"/>
              <w:szCs w:val="20"/>
            </w:rPr>
          </w:pPr>
          <w:r w:rsidRPr="00A210E1">
            <w:rPr>
              <w:rFonts w:ascii="Arial" w:hAnsi="Arial" w:cs="Arial"/>
              <w:color w:val="00435B"/>
              <w:sz w:val="20"/>
              <w:szCs w:val="20"/>
            </w:rPr>
            <w:t>Data is collected and stored in the Register of Legal En</w:t>
          </w:r>
          <w:r w:rsidR="00CD424B" w:rsidRPr="00A210E1">
            <w:rPr>
              <w:rFonts w:ascii="Arial" w:hAnsi="Arial" w:cs="Arial"/>
              <w:color w:val="00435B"/>
              <w:sz w:val="20"/>
              <w:szCs w:val="20"/>
            </w:rPr>
            <w:t>tities</w:t>
          </w:r>
          <w:r w:rsidR="007B67F9" w:rsidRPr="00A210E1">
            <w:rPr>
              <w:rFonts w:ascii="Arial" w:hAnsi="Arial" w:cs="Arial"/>
              <w:color w:val="00435B"/>
              <w:sz w:val="20"/>
              <w:szCs w:val="20"/>
            </w:rPr>
            <w:t xml:space="preserve">, </w:t>
          </w:r>
          <w:r w:rsidR="00A8226D" w:rsidRPr="00A210E1">
            <w:rPr>
              <w:rFonts w:ascii="Arial" w:hAnsi="Arial" w:cs="Arial"/>
              <w:color w:val="00435B"/>
              <w:sz w:val="20"/>
              <w:szCs w:val="20"/>
            </w:rPr>
            <w:t>legal entity code</w:t>
          </w:r>
          <w:r w:rsidR="007B67F9" w:rsidRPr="00A210E1">
            <w:rPr>
              <w:rFonts w:ascii="Arial" w:hAnsi="Arial" w:cs="Arial"/>
              <w:color w:val="00435B"/>
              <w:sz w:val="20"/>
              <w:szCs w:val="20"/>
            </w:rPr>
            <w:t xml:space="preserve"> 110084026</w:t>
          </w:r>
        </w:p>
        <w:p w14:paraId="4B92F888" w14:textId="74622C04" w:rsidR="00C32E53" w:rsidRPr="00A210E1" w:rsidRDefault="00C32E53" w:rsidP="00DE7037">
          <w:pPr>
            <w:tabs>
              <w:tab w:val="left" w:pos="870"/>
            </w:tabs>
            <w:spacing w:after="120" w:line="20" w:lineRule="atLeast"/>
            <w:contextualSpacing/>
            <w:rPr>
              <w:rFonts w:ascii="Arial" w:hAnsi="Arial" w:cs="Arial"/>
              <w:color w:val="00B050"/>
              <w:sz w:val="24"/>
              <w:szCs w:val="24"/>
            </w:rPr>
          </w:pPr>
        </w:p>
        <w:p w14:paraId="47B8E29B" w14:textId="1ADA2B87" w:rsidR="00D526C8" w:rsidRPr="00A210E1" w:rsidRDefault="00D526C8" w:rsidP="004E4612">
          <w:pPr>
            <w:spacing w:after="120" w:line="20" w:lineRule="atLeast"/>
            <w:contextualSpacing/>
            <w:jc w:val="center"/>
            <w:rPr>
              <w:rFonts w:ascii="Arial" w:hAnsi="Arial" w:cs="Arial"/>
              <w:sz w:val="24"/>
              <w:szCs w:val="24"/>
            </w:rPr>
          </w:pPr>
        </w:p>
        <w:p w14:paraId="6AAE6684" w14:textId="77777777" w:rsidR="00141043" w:rsidRPr="00A210E1" w:rsidRDefault="00141043" w:rsidP="004E4612">
          <w:pPr>
            <w:spacing w:after="120" w:line="20" w:lineRule="atLeast"/>
            <w:contextualSpacing/>
            <w:jc w:val="center"/>
            <w:rPr>
              <w:rFonts w:ascii="Arial" w:hAnsi="Arial" w:cs="Arial"/>
              <w:sz w:val="24"/>
              <w:szCs w:val="24"/>
            </w:rPr>
          </w:pPr>
        </w:p>
        <w:p w14:paraId="6EE810BB" w14:textId="77777777" w:rsidR="00141043" w:rsidRPr="00A210E1" w:rsidRDefault="00141043" w:rsidP="004E4612">
          <w:pPr>
            <w:spacing w:after="120" w:line="20" w:lineRule="atLeast"/>
            <w:contextualSpacing/>
            <w:jc w:val="center"/>
            <w:rPr>
              <w:rFonts w:ascii="Arial" w:hAnsi="Arial" w:cs="Arial"/>
              <w:sz w:val="24"/>
              <w:szCs w:val="24"/>
            </w:rPr>
          </w:pPr>
        </w:p>
        <w:p w14:paraId="3EC49E01" w14:textId="7FA2180A" w:rsidR="00D526C8" w:rsidRPr="00A210E1" w:rsidRDefault="00D526C8" w:rsidP="004E4612">
          <w:pPr>
            <w:spacing w:after="120" w:line="20" w:lineRule="atLeast"/>
            <w:ind w:left="5245"/>
            <w:contextualSpacing/>
            <w:rPr>
              <w:rFonts w:ascii="Arial" w:hAnsi="Arial" w:cs="Arial"/>
              <w:color w:val="00435B"/>
              <w:sz w:val="20"/>
              <w:szCs w:val="20"/>
            </w:rPr>
          </w:pPr>
          <w:r w:rsidRPr="00A210E1">
            <w:rPr>
              <w:rFonts w:ascii="Arial" w:hAnsi="Arial" w:cs="Arial"/>
              <w:color w:val="00435B"/>
              <w:sz w:val="20"/>
              <w:szCs w:val="20"/>
            </w:rPr>
            <w:t xml:space="preserve">APPROVED BY </w:t>
          </w:r>
        </w:p>
        <w:p w14:paraId="54DCAA0C" w14:textId="55630C7C" w:rsidR="00D53BF4" w:rsidRPr="00A210E1" w:rsidRDefault="001C24BC" w:rsidP="00141043">
          <w:pPr>
            <w:spacing w:after="120" w:line="20" w:lineRule="atLeast"/>
            <w:ind w:left="5245"/>
            <w:contextualSpacing/>
            <w:rPr>
              <w:rFonts w:ascii="Arial" w:hAnsi="Arial" w:cs="Arial"/>
              <w:i/>
              <w:iCs/>
              <w:color w:val="00435B"/>
              <w:sz w:val="20"/>
              <w:szCs w:val="20"/>
            </w:rPr>
          </w:pPr>
          <w:r w:rsidRPr="00A210E1">
            <w:rPr>
              <w:rFonts w:ascii="Arial" w:hAnsi="Arial" w:cs="Arial"/>
              <w:color w:val="00435B"/>
              <w:sz w:val="20"/>
              <w:szCs w:val="20"/>
            </w:rPr>
            <w:t>Minutes No. </w:t>
          </w:r>
          <w:r w:rsidR="00141043" w:rsidRPr="00A210E1">
            <w:rPr>
              <w:rFonts w:ascii="Arial" w:hAnsi="Arial" w:cs="Arial"/>
              <w:color w:val="00435B"/>
              <w:sz w:val="20"/>
              <w:szCs w:val="20"/>
            </w:rPr>
            <w:t>1</w:t>
          </w:r>
          <w:r w:rsidRPr="00A210E1">
            <w:rPr>
              <w:rFonts w:ascii="Arial" w:hAnsi="Arial" w:cs="Arial"/>
              <w:color w:val="00435B"/>
              <w:sz w:val="20"/>
              <w:szCs w:val="20"/>
            </w:rPr>
            <w:t xml:space="preserve"> of the Public Procurement Commission of the contracting authority</w:t>
          </w:r>
        </w:p>
        <w:p w14:paraId="47EF0C37" w14:textId="19126F9D" w:rsidR="00D526C8" w:rsidRPr="00A210E1" w:rsidRDefault="00D526C8" w:rsidP="004E4612">
          <w:pPr>
            <w:spacing w:after="120" w:line="20" w:lineRule="atLeast"/>
            <w:contextualSpacing/>
            <w:jc w:val="center"/>
            <w:rPr>
              <w:rFonts w:ascii="Arial" w:hAnsi="Arial" w:cs="Arial"/>
              <w:color w:val="00435B"/>
              <w:sz w:val="20"/>
              <w:szCs w:val="20"/>
            </w:rPr>
          </w:pPr>
        </w:p>
        <w:p w14:paraId="7350A7E2" w14:textId="78457EBC" w:rsidR="00D526C8" w:rsidRPr="00A210E1" w:rsidRDefault="00D526C8" w:rsidP="004E4612">
          <w:pPr>
            <w:spacing w:after="120" w:line="20" w:lineRule="atLeast"/>
            <w:contextualSpacing/>
            <w:jc w:val="center"/>
            <w:rPr>
              <w:rFonts w:ascii="Arial" w:hAnsi="Arial" w:cs="Arial"/>
              <w:sz w:val="24"/>
              <w:szCs w:val="24"/>
            </w:rPr>
          </w:pPr>
        </w:p>
        <w:p w14:paraId="65FC0464" w14:textId="77777777" w:rsidR="00141043" w:rsidRPr="00A210E1" w:rsidRDefault="00141043" w:rsidP="004E4612">
          <w:pPr>
            <w:spacing w:after="120" w:line="20" w:lineRule="atLeast"/>
            <w:contextualSpacing/>
            <w:jc w:val="center"/>
            <w:rPr>
              <w:rFonts w:ascii="Arial" w:hAnsi="Arial" w:cs="Arial"/>
              <w:sz w:val="24"/>
              <w:szCs w:val="24"/>
            </w:rPr>
          </w:pPr>
        </w:p>
        <w:p w14:paraId="1D1BF965" w14:textId="0AA23A3B" w:rsidR="00D526C8" w:rsidRPr="00A210E1" w:rsidRDefault="007A130B" w:rsidP="004E4612">
          <w:pPr>
            <w:spacing w:after="120" w:line="20" w:lineRule="atLeast"/>
            <w:contextualSpacing/>
            <w:jc w:val="center"/>
            <w:rPr>
              <w:rFonts w:ascii="Arial" w:hAnsi="Arial" w:cs="Arial"/>
              <w:b/>
              <w:bCs/>
              <w:color w:val="00435B"/>
              <w:sz w:val="22"/>
              <w:szCs w:val="22"/>
            </w:rPr>
          </w:pPr>
          <w:r w:rsidRPr="00A210E1">
            <w:rPr>
              <w:rFonts w:ascii="Arial" w:hAnsi="Arial" w:cs="Arial"/>
              <w:b/>
              <w:bCs/>
              <w:color w:val="00435B"/>
              <w:sz w:val="22"/>
              <w:szCs w:val="22"/>
            </w:rPr>
            <w:t xml:space="preserve">SPECIAL TERMS </w:t>
          </w:r>
          <w:r w:rsidR="00BD4F7F" w:rsidRPr="00A210E1">
            <w:rPr>
              <w:rFonts w:ascii="Arial" w:hAnsi="Arial" w:cs="Arial"/>
              <w:b/>
              <w:bCs/>
              <w:color w:val="00435B"/>
              <w:sz w:val="22"/>
              <w:szCs w:val="22"/>
            </w:rPr>
            <w:t>O</w:t>
          </w:r>
          <w:r w:rsidRPr="00A210E1">
            <w:rPr>
              <w:rFonts w:ascii="Arial" w:hAnsi="Arial" w:cs="Arial"/>
              <w:b/>
              <w:bCs/>
              <w:color w:val="00435B"/>
              <w:sz w:val="22"/>
              <w:szCs w:val="22"/>
            </w:rPr>
            <w:t>F</w:t>
          </w:r>
          <w:r w:rsidR="00BD4F7F" w:rsidRPr="00A210E1">
            <w:rPr>
              <w:rFonts w:ascii="Arial" w:hAnsi="Arial" w:cs="Arial"/>
              <w:b/>
              <w:bCs/>
              <w:color w:val="00435B"/>
              <w:sz w:val="22"/>
              <w:szCs w:val="22"/>
            </w:rPr>
            <w:t xml:space="preserve"> THE</w:t>
          </w:r>
          <w:r w:rsidRPr="00A210E1">
            <w:rPr>
              <w:rFonts w:ascii="Arial" w:hAnsi="Arial" w:cs="Arial"/>
              <w:b/>
              <w:bCs/>
              <w:color w:val="00435B"/>
              <w:sz w:val="22"/>
              <w:szCs w:val="22"/>
            </w:rPr>
            <w:t xml:space="preserve"> </w:t>
          </w:r>
          <w:r w:rsidRPr="00A210E1">
            <w:rPr>
              <w:rFonts w:ascii="Arial" w:hAnsi="Arial" w:cs="Arial"/>
              <w:b/>
              <w:color w:val="00435B"/>
              <w:sz w:val="22"/>
              <w:szCs w:val="22"/>
            </w:rPr>
            <w:t>INTERNATIONAL PUBLIC PROCUREMENT “</w:t>
          </w:r>
          <w:r w:rsidR="007304CD" w:rsidRPr="00A210E1">
            <w:rPr>
              <w:rFonts w:ascii="Arial" w:hAnsi="Arial" w:cs="Arial"/>
              <w:b/>
              <w:bCs/>
              <w:color w:val="00435B"/>
              <w:sz w:val="22"/>
              <w:szCs w:val="22"/>
            </w:rPr>
            <w:t>INFORMATION PROVISION SERVICES ON POLITICALLY EXPOSED PERSONS AND INTERNATIONAL SANCTIONS</w:t>
          </w:r>
          <w:r w:rsidRPr="00A210E1">
            <w:rPr>
              <w:rFonts w:ascii="Arial" w:hAnsi="Arial" w:cs="Arial"/>
              <w:b/>
              <w:color w:val="00435B"/>
              <w:sz w:val="22"/>
              <w:szCs w:val="22"/>
            </w:rPr>
            <w:t>”</w:t>
          </w:r>
          <w:r w:rsidR="00BD4F7F" w:rsidRPr="00A210E1">
            <w:rPr>
              <w:rFonts w:ascii="Arial" w:hAnsi="Arial" w:cs="Arial"/>
              <w:b/>
              <w:color w:val="00435B"/>
              <w:sz w:val="22"/>
              <w:szCs w:val="22"/>
            </w:rPr>
            <w:t xml:space="preserve"> </w:t>
          </w:r>
          <w:r w:rsidR="00BD4F7F" w:rsidRPr="00A210E1">
            <w:rPr>
              <w:rFonts w:ascii="Arial" w:hAnsi="Arial" w:cs="Arial"/>
              <w:b/>
              <w:bCs/>
              <w:color w:val="00435B"/>
              <w:sz w:val="22"/>
              <w:szCs w:val="22"/>
            </w:rPr>
            <w:t>IN AN OPEN TENDERING PROCEDURE</w:t>
          </w:r>
        </w:p>
        <w:p w14:paraId="517C01D9" w14:textId="143C5950" w:rsidR="001C24BC" w:rsidRPr="00A210E1" w:rsidRDefault="00D53BF4" w:rsidP="00141043">
          <w:pPr>
            <w:spacing w:after="120" w:line="20" w:lineRule="atLeast"/>
            <w:contextualSpacing/>
            <w:jc w:val="center"/>
            <w:rPr>
              <w:rFonts w:ascii="Arial" w:hAnsi="Arial" w:cs="Arial"/>
              <w:b/>
              <w:bCs/>
              <w:color w:val="00435B"/>
              <w:sz w:val="22"/>
              <w:szCs w:val="22"/>
            </w:rPr>
          </w:pPr>
          <w:r w:rsidRPr="00A210E1">
            <w:rPr>
              <w:rFonts w:ascii="Arial" w:hAnsi="Arial" w:cs="Arial"/>
              <w:b/>
              <w:color w:val="00435B"/>
              <w:sz w:val="22"/>
              <w:szCs w:val="22"/>
            </w:rPr>
            <w:t xml:space="preserve">Version No. </w:t>
          </w:r>
          <w:r w:rsidR="00AA6ABE" w:rsidRPr="00A210E1">
            <w:rPr>
              <w:rFonts w:ascii="Arial" w:hAnsi="Arial" w:cs="Arial"/>
              <w:b/>
              <w:color w:val="00435B"/>
              <w:sz w:val="22"/>
              <w:szCs w:val="22"/>
            </w:rPr>
            <w:t>1</w:t>
          </w:r>
          <w:r w:rsidRPr="00A210E1">
            <w:rPr>
              <w:rFonts w:ascii="Arial" w:hAnsi="Arial" w:cs="Arial"/>
              <w:b/>
              <w:color w:val="00435B"/>
              <w:sz w:val="22"/>
              <w:szCs w:val="22"/>
            </w:rPr>
            <w:t>.</w:t>
          </w:r>
          <w:r w:rsidRPr="00A210E1">
            <w:rPr>
              <w:rFonts w:ascii="Arial" w:hAnsi="Arial" w:cs="Arial"/>
              <w:i/>
              <w:color w:val="00435B"/>
              <w:sz w:val="22"/>
              <w:szCs w:val="22"/>
            </w:rPr>
            <w:t xml:space="preserve"> </w:t>
          </w:r>
        </w:p>
        <w:p w14:paraId="77C2F49C" w14:textId="77777777" w:rsidR="00141043" w:rsidRPr="00A210E1" w:rsidRDefault="00141043" w:rsidP="00141043">
          <w:pPr>
            <w:spacing w:after="120" w:line="20" w:lineRule="atLeast"/>
            <w:contextualSpacing/>
            <w:jc w:val="center"/>
            <w:rPr>
              <w:rFonts w:ascii="Arial" w:hAnsi="Arial" w:cs="Arial"/>
              <w:b/>
              <w:bCs/>
              <w:color w:val="00435B"/>
              <w:sz w:val="22"/>
              <w:szCs w:val="22"/>
            </w:rPr>
          </w:pPr>
        </w:p>
        <w:p w14:paraId="5D627392" w14:textId="77777777" w:rsidR="00141043" w:rsidRPr="00A210E1" w:rsidRDefault="00141043" w:rsidP="00141043">
          <w:pPr>
            <w:spacing w:after="120" w:line="20" w:lineRule="atLeast"/>
            <w:contextualSpacing/>
            <w:jc w:val="center"/>
            <w:rPr>
              <w:rFonts w:ascii="Arial" w:hAnsi="Arial" w:cs="Arial"/>
              <w:b/>
              <w:bCs/>
              <w:color w:val="00435B"/>
              <w:sz w:val="22"/>
              <w:szCs w:val="22"/>
            </w:rPr>
          </w:pPr>
        </w:p>
        <w:p w14:paraId="7138D141" w14:textId="77777777" w:rsidR="00141043" w:rsidRPr="00A210E1" w:rsidRDefault="00141043" w:rsidP="00141043">
          <w:pPr>
            <w:spacing w:after="120" w:line="20" w:lineRule="atLeast"/>
            <w:contextualSpacing/>
            <w:jc w:val="center"/>
            <w:rPr>
              <w:rFonts w:ascii="Arial" w:hAnsi="Arial" w:cs="Arial"/>
              <w:b/>
              <w:bCs/>
              <w:color w:val="00435B"/>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0E1" w:rsidRDefault="001C24BC" w:rsidP="004E4612">
              <w:pPr>
                <w:pStyle w:val="Turinioantrat"/>
                <w:spacing w:before="0" w:line="20" w:lineRule="atLeast"/>
                <w:ind w:left="432" w:hanging="432"/>
                <w:contextualSpacing/>
                <w:rPr>
                  <w:rFonts w:ascii="Arial" w:hAnsi="Arial" w:cs="Arial"/>
                  <w:color w:val="00435B"/>
                  <w:sz w:val="20"/>
                  <w:szCs w:val="20"/>
                </w:rPr>
              </w:pPr>
              <w:r w:rsidRPr="00A210E1">
                <w:rPr>
                  <w:rFonts w:ascii="Arial" w:hAnsi="Arial" w:cs="Arial"/>
                  <w:color w:val="00435B"/>
                  <w:sz w:val="20"/>
                  <w:szCs w:val="20"/>
                </w:rPr>
                <w:t>TABLE OF CONTENTS</w:t>
              </w:r>
            </w:p>
            <w:p w14:paraId="4124089A" w14:textId="18775056" w:rsidR="009D1CDC" w:rsidRPr="00A210E1" w:rsidRDefault="001C24BC">
              <w:pPr>
                <w:pStyle w:val="Turinys1"/>
                <w:tabs>
                  <w:tab w:val="left" w:pos="720"/>
                </w:tabs>
                <w:rPr>
                  <w:rFonts w:ascii="Arial" w:hAnsi="Arial" w:cs="Arial"/>
                  <w:color w:val="00435B"/>
                  <w:kern w:val="2"/>
                  <w:sz w:val="20"/>
                  <w:szCs w:val="20"/>
                  <w:lang w:eastAsia="en-GB"/>
                  <w14:ligatures w14:val="standardContextual"/>
                </w:rPr>
              </w:pPr>
              <w:r w:rsidRPr="00A210E1">
                <w:rPr>
                  <w:rFonts w:ascii="Arial" w:hAnsi="Arial" w:cs="Arial"/>
                  <w:color w:val="00435B"/>
                  <w:sz w:val="20"/>
                  <w:szCs w:val="20"/>
                  <w:shd w:val="clear" w:color="auto" w:fill="E6E6E6"/>
                </w:rPr>
                <w:fldChar w:fldCharType="begin"/>
              </w:r>
              <w:r w:rsidRPr="00A210E1">
                <w:rPr>
                  <w:rFonts w:ascii="Arial" w:hAnsi="Arial" w:cs="Arial"/>
                  <w:color w:val="00435B"/>
                  <w:sz w:val="20"/>
                  <w:szCs w:val="20"/>
                </w:rPr>
                <w:instrText xml:space="preserve"> TOC \o "1-3" \h \z \u </w:instrText>
              </w:r>
              <w:r w:rsidRPr="00A210E1">
                <w:rPr>
                  <w:rFonts w:ascii="Arial" w:hAnsi="Arial" w:cs="Arial"/>
                  <w:color w:val="00435B"/>
                  <w:sz w:val="20"/>
                  <w:szCs w:val="20"/>
                  <w:shd w:val="clear" w:color="auto" w:fill="E6E6E6"/>
                </w:rPr>
                <w:fldChar w:fldCharType="separate"/>
              </w:r>
              <w:hyperlink w:anchor="_Toc203389840" w:history="1">
                <w:r w:rsidR="009D1CDC" w:rsidRPr="00A210E1">
                  <w:rPr>
                    <w:rStyle w:val="Hipersaitas"/>
                    <w:rFonts w:ascii="Arial" w:hAnsi="Arial" w:cs="Arial"/>
                    <w:color w:val="00435B"/>
                    <w:sz w:val="20"/>
                    <w:szCs w:val="20"/>
                  </w:rPr>
                  <w:t>1.</w:t>
                </w:r>
                <w:r w:rsidR="009D1CDC" w:rsidRPr="00A210E1">
                  <w:rPr>
                    <w:rFonts w:ascii="Arial" w:hAnsi="Arial" w:cs="Arial"/>
                    <w:color w:val="00435B"/>
                    <w:kern w:val="2"/>
                    <w:sz w:val="20"/>
                    <w:szCs w:val="20"/>
                    <w:lang w:eastAsia="en-GB"/>
                    <w14:ligatures w14:val="standardContextual"/>
                  </w:rPr>
                  <w:tab/>
                </w:r>
                <w:r w:rsidR="009D1CDC" w:rsidRPr="00A210E1">
                  <w:rPr>
                    <w:rStyle w:val="Hipersaitas"/>
                    <w:rFonts w:ascii="Arial" w:hAnsi="Arial" w:cs="Arial"/>
                    <w:color w:val="00435B"/>
                    <w:sz w:val="20"/>
                    <w:szCs w:val="20"/>
                  </w:rPr>
                  <w:t>General Information</w:t>
                </w:r>
                <w:r w:rsidR="009D1CDC" w:rsidRPr="00A210E1">
                  <w:rPr>
                    <w:rFonts w:ascii="Arial" w:hAnsi="Arial" w:cs="Arial"/>
                    <w:webHidden/>
                    <w:color w:val="00435B"/>
                    <w:sz w:val="20"/>
                    <w:szCs w:val="20"/>
                  </w:rPr>
                  <w:tab/>
                </w:r>
                <w:r w:rsidR="00141043" w:rsidRPr="00A210E1">
                  <w:rPr>
                    <w:rFonts w:ascii="Arial" w:hAnsi="Arial" w:cs="Arial"/>
                    <w:webHidden/>
                    <w:color w:val="00435B"/>
                    <w:sz w:val="20"/>
                    <w:szCs w:val="20"/>
                  </w:rPr>
                  <w:t>1</w:t>
                </w:r>
              </w:hyperlink>
            </w:p>
            <w:p w14:paraId="1E6AD09E" w14:textId="5DC77E14" w:rsidR="009D1CDC" w:rsidRPr="00A210E1" w:rsidRDefault="009D1CDC">
              <w:pPr>
                <w:pStyle w:val="Turinys1"/>
                <w:rPr>
                  <w:rFonts w:ascii="Arial" w:hAnsi="Arial" w:cs="Arial"/>
                  <w:color w:val="00435B"/>
                  <w:kern w:val="2"/>
                  <w:sz w:val="20"/>
                  <w:szCs w:val="20"/>
                  <w:lang w:eastAsia="en-GB"/>
                  <w14:ligatures w14:val="standardContextual"/>
                </w:rPr>
              </w:pPr>
              <w:hyperlink w:anchor="_Toc203389841" w:history="1">
                <w:r w:rsidRPr="00A210E1">
                  <w:rPr>
                    <w:rStyle w:val="Hipersaitas"/>
                    <w:rFonts w:ascii="Arial" w:hAnsi="Arial" w:cs="Arial"/>
                    <w:color w:val="00435B"/>
                    <w:sz w:val="20"/>
                    <w:szCs w:val="20"/>
                  </w:rPr>
                  <w:t>2. Object of Procurement</w:t>
                </w:r>
                <w:r w:rsidRPr="00A210E1">
                  <w:rPr>
                    <w:rFonts w:ascii="Arial" w:hAnsi="Arial" w:cs="Arial"/>
                    <w:webHidden/>
                    <w:color w:val="00435B"/>
                    <w:sz w:val="20"/>
                    <w:szCs w:val="20"/>
                  </w:rPr>
                  <w:tab/>
                </w:r>
                <w:r w:rsidR="003D38DC" w:rsidRPr="00A210E1">
                  <w:rPr>
                    <w:rFonts w:ascii="Arial" w:hAnsi="Arial" w:cs="Arial"/>
                    <w:webHidden/>
                    <w:color w:val="00435B"/>
                    <w:sz w:val="20"/>
                    <w:szCs w:val="20"/>
                  </w:rPr>
                  <w:t>1</w:t>
                </w:r>
              </w:hyperlink>
            </w:p>
            <w:p w14:paraId="02D1FA9E" w14:textId="387C6047" w:rsidR="009D1CDC" w:rsidRPr="00A210E1" w:rsidRDefault="009D1CDC">
              <w:pPr>
                <w:pStyle w:val="Turinys1"/>
                <w:rPr>
                  <w:rFonts w:ascii="Arial" w:hAnsi="Arial" w:cs="Arial"/>
                  <w:color w:val="00435B"/>
                  <w:kern w:val="2"/>
                  <w:sz w:val="20"/>
                  <w:szCs w:val="20"/>
                  <w:lang w:eastAsia="en-GB"/>
                  <w14:ligatures w14:val="standardContextual"/>
                </w:rPr>
              </w:pPr>
              <w:hyperlink w:anchor="_Toc203389842" w:history="1">
                <w:r w:rsidRPr="00A210E1">
                  <w:rPr>
                    <w:rStyle w:val="Hipersaitas"/>
                    <w:rFonts w:ascii="Arial" w:hAnsi="Arial" w:cs="Arial"/>
                    <w:color w:val="00435B"/>
                    <w:sz w:val="20"/>
                    <w:szCs w:val="20"/>
                  </w:rPr>
                  <w:t>3. Meetings with Suppliers and Site Visits</w:t>
                </w:r>
                <w:r w:rsidRPr="00A210E1">
                  <w:rPr>
                    <w:rFonts w:ascii="Arial" w:hAnsi="Arial" w:cs="Arial"/>
                    <w:webHidden/>
                    <w:color w:val="00435B"/>
                    <w:sz w:val="20"/>
                    <w:szCs w:val="20"/>
                  </w:rPr>
                  <w:tab/>
                </w:r>
                <w:r w:rsidR="003D38DC" w:rsidRPr="00A210E1">
                  <w:rPr>
                    <w:rFonts w:ascii="Arial" w:hAnsi="Arial" w:cs="Arial"/>
                    <w:webHidden/>
                    <w:color w:val="00435B"/>
                    <w:sz w:val="20"/>
                    <w:szCs w:val="20"/>
                  </w:rPr>
                  <w:t>1</w:t>
                </w:r>
              </w:hyperlink>
            </w:p>
            <w:p w14:paraId="4C88423C" w14:textId="17F4F465" w:rsidR="009D1CDC" w:rsidRPr="00A210E1" w:rsidRDefault="009D1CDC">
              <w:pPr>
                <w:pStyle w:val="Turinys1"/>
                <w:rPr>
                  <w:rFonts w:ascii="Arial" w:hAnsi="Arial" w:cs="Arial"/>
                  <w:color w:val="00435B"/>
                  <w:kern w:val="2"/>
                  <w:sz w:val="20"/>
                  <w:szCs w:val="20"/>
                  <w:lang w:eastAsia="en-GB"/>
                  <w14:ligatures w14:val="standardContextual"/>
                </w:rPr>
              </w:pPr>
              <w:hyperlink w:anchor="_Toc203389843" w:history="1">
                <w:r w:rsidRPr="00A210E1">
                  <w:rPr>
                    <w:rStyle w:val="Hipersaitas"/>
                    <w:rFonts w:ascii="Arial" w:hAnsi="Arial" w:cs="Arial"/>
                    <w:color w:val="00435B"/>
                    <w:sz w:val="20"/>
                    <w:szCs w:val="20"/>
                  </w:rPr>
                  <w:t>4. Grounds for Exclusion of Candidates and Qualification Requirements</w:t>
                </w:r>
                <w:r w:rsidRPr="00A210E1">
                  <w:rPr>
                    <w:rFonts w:ascii="Arial" w:hAnsi="Arial" w:cs="Arial"/>
                    <w:webHidden/>
                    <w:color w:val="00435B"/>
                    <w:sz w:val="20"/>
                    <w:szCs w:val="20"/>
                  </w:rPr>
                  <w:tab/>
                </w:r>
                <w:r w:rsidR="007B2FFE" w:rsidRPr="00A210E1">
                  <w:rPr>
                    <w:rFonts w:ascii="Arial" w:hAnsi="Arial" w:cs="Arial"/>
                    <w:webHidden/>
                    <w:color w:val="00435B"/>
                    <w:sz w:val="20"/>
                    <w:szCs w:val="20"/>
                  </w:rPr>
                  <w:t>2</w:t>
                </w:r>
              </w:hyperlink>
            </w:p>
            <w:p w14:paraId="2261D28A" w14:textId="4962F5AE" w:rsidR="009D1CDC" w:rsidRPr="00A210E1" w:rsidRDefault="009D1CDC">
              <w:pPr>
                <w:pStyle w:val="Turinys1"/>
                <w:rPr>
                  <w:rFonts w:ascii="Arial" w:hAnsi="Arial" w:cs="Arial"/>
                  <w:color w:val="00435B"/>
                  <w:kern w:val="2"/>
                  <w:sz w:val="20"/>
                  <w:szCs w:val="20"/>
                  <w:lang w:eastAsia="en-GB"/>
                  <w14:ligatures w14:val="standardContextual"/>
                </w:rPr>
              </w:pPr>
              <w:hyperlink w:anchor="_Toc203389844" w:history="1">
                <w:r w:rsidRPr="00A210E1">
                  <w:rPr>
                    <w:rStyle w:val="Hipersaitas"/>
                    <w:rFonts w:ascii="Arial" w:hAnsi="Arial" w:cs="Arial"/>
                    <w:color w:val="00435B"/>
                    <w:sz w:val="20"/>
                    <w:szCs w:val="20"/>
                  </w:rPr>
                  <w:t>5. Requirements Related to National Security</w:t>
                </w:r>
                <w:r w:rsidRPr="00A210E1">
                  <w:rPr>
                    <w:rFonts w:ascii="Arial" w:hAnsi="Arial" w:cs="Arial"/>
                    <w:webHidden/>
                    <w:color w:val="00435B"/>
                    <w:sz w:val="20"/>
                    <w:szCs w:val="20"/>
                  </w:rPr>
                  <w:tab/>
                </w:r>
                <w:r w:rsidR="007B2FFE" w:rsidRPr="00A210E1">
                  <w:rPr>
                    <w:rFonts w:ascii="Arial" w:hAnsi="Arial" w:cs="Arial"/>
                    <w:webHidden/>
                    <w:color w:val="00435B"/>
                    <w:sz w:val="20"/>
                    <w:szCs w:val="20"/>
                  </w:rPr>
                  <w:t>2</w:t>
                </w:r>
              </w:hyperlink>
            </w:p>
            <w:p w14:paraId="1DD6C157" w14:textId="08DDBF88" w:rsidR="009D1CDC" w:rsidRPr="00A210E1" w:rsidRDefault="009D1CDC">
              <w:pPr>
                <w:pStyle w:val="Turinys1"/>
                <w:rPr>
                  <w:rFonts w:ascii="Arial" w:hAnsi="Arial" w:cs="Arial"/>
                  <w:color w:val="00435B"/>
                  <w:kern w:val="2"/>
                  <w:sz w:val="20"/>
                  <w:szCs w:val="20"/>
                  <w:lang w:eastAsia="en-GB"/>
                  <w14:ligatures w14:val="standardContextual"/>
                </w:rPr>
              </w:pPr>
              <w:hyperlink w:anchor="_Toc203389845" w:history="1">
                <w:r w:rsidRPr="00A210E1">
                  <w:rPr>
                    <w:rStyle w:val="Hipersaitas"/>
                    <w:rFonts w:ascii="Arial" w:hAnsi="Arial" w:cs="Arial"/>
                    <w:color w:val="00435B"/>
                    <w:sz w:val="20"/>
                    <w:szCs w:val="20"/>
                  </w:rPr>
                  <w:t>6. Special Requirements for the Preparation and Submission of Tenders</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_Toc203389845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8</w:t>
                </w:r>
                <w:r w:rsidRPr="00A210E1">
                  <w:rPr>
                    <w:rFonts w:ascii="Arial" w:hAnsi="Arial" w:cs="Arial"/>
                    <w:webHidden/>
                    <w:color w:val="00435B"/>
                    <w:sz w:val="20"/>
                    <w:szCs w:val="20"/>
                  </w:rPr>
                  <w:fldChar w:fldCharType="end"/>
                </w:r>
              </w:hyperlink>
            </w:p>
            <w:p w14:paraId="52C3EBD7" w14:textId="0D76BD33" w:rsidR="009D1CDC" w:rsidRPr="00A210E1" w:rsidRDefault="009D1CDC">
              <w:pPr>
                <w:pStyle w:val="Turinys1"/>
                <w:tabs>
                  <w:tab w:val="left" w:pos="720"/>
                </w:tabs>
                <w:rPr>
                  <w:rFonts w:ascii="Arial" w:hAnsi="Arial" w:cs="Arial"/>
                  <w:color w:val="00435B"/>
                  <w:kern w:val="2"/>
                  <w:sz w:val="20"/>
                  <w:szCs w:val="20"/>
                  <w:lang w:eastAsia="en-GB"/>
                  <w14:ligatures w14:val="standardContextual"/>
                </w:rPr>
              </w:pPr>
              <w:hyperlink w:anchor="_Toc203389846" w:history="1">
                <w:r w:rsidRPr="00A210E1">
                  <w:rPr>
                    <w:rStyle w:val="Hipersaitas"/>
                    <w:rFonts w:ascii="Arial" w:eastAsia="Calibri" w:hAnsi="Arial" w:cs="Arial"/>
                    <w:color w:val="00435B"/>
                    <w:sz w:val="20"/>
                    <w:szCs w:val="20"/>
                  </w:rPr>
                  <w:t>7.</w:t>
                </w:r>
                <w:r w:rsidRPr="00A210E1">
                  <w:rPr>
                    <w:rFonts w:ascii="Arial" w:hAnsi="Arial" w:cs="Arial"/>
                    <w:color w:val="00435B"/>
                    <w:kern w:val="2"/>
                    <w:sz w:val="20"/>
                    <w:szCs w:val="20"/>
                    <w:lang w:eastAsia="en-GB"/>
                    <w14:ligatures w14:val="standardContextual"/>
                  </w:rPr>
                  <w:tab/>
                </w:r>
                <w:r w:rsidRPr="00A210E1">
                  <w:rPr>
                    <w:rStyle w:val="Hipersaitas"/>
                    <w:rFonts w:ascii="Arial" w:hAnsi="Arial" w:cs="Arial"/>
                    <w:color w:val="00435B"/>
                    <w:sz w:val="20"/>
                    <w:szCs w:val="20"/>
                  </w:rPr>
                  <w:t>Ensuring the Validity of the Tender</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_Toc203389846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10</w:t>
                </w:r>
                <w:r w:rsidRPr="00A210E1">
                  <w:rPr>
                    <w:rFonts w:ascii="Arial" w:hAnsi="Arial" w:cs="Arial"/>
                    <w:webHidden/>
                    <w:color w:val="00435B"/>
                    <w:sz w:val="20"/>
                    <w:szCs w:val="20"/>
                  </w:rPr>
                  <w:fldChar w:fldCharType="end"/>
                </w:r>
              </w:hyperlink>
            </w:p>
            <w:p w14:paraId="413B6AA7" w14:textId="3398084E" w:rsidR="009D1CDC" w:rsidRPr="00A210E1" w:rsidRDefault="009D1CDC">
              <w:pPr>
                <w:pStyle w:val="Turinys1"/>
                <w:tabs>
                  <w:tab w:val="left" w:pos="720"/>
                </w:tabs>
                <w:rPr>
                  <w:rFonts w:ascii="Arial" w:hAnsi="Arial" w:cs="Arial"/>
                  <w:color w:val="00435B"/>
                  <w:kern w:val="2"/>
                  <w:sz w:val="20"/>
                  <w:szCs w:val="20"/>
                  <w:lang w:eastAsia="en-GB"/>
                  <w14:ligatures w14:val="standardContextual"/>
                </w:rPr>
              </w:pPr>
              <w:hyperlink w:anchor="_Toc203389847" w:history="1">
                <w:r w:rsidRPr="00A210E1">
                  <w:rPr>
                    <w:rStyle w:val="Hipersaitas"/>
                    <w:rFonts w:ascii="Arial" w:eastAsia="Calibri" w:hAnsi="Arial" w:cs="Arial"/>
                    <w:color w:val="00435B"/>
                    <w:sz w:val="20"/>
                    <w:szCs w:val="20"/>
                  </w:rPr>
                  <w:t>8.</w:t>
                </w:r>
                <w:r w:rsidRPr="00A210E1">
                  <w:rPr>
                    <w:rFonts w:ascii="Arial" w:hAnsi="Arial" w:cs="Arial"/>
                    <w:color w:val="00435B"/>
                    <w:kern w:val="2"/>
                    <w:sz w:val="20"/>
                    <w:szCs w:val="20"/>
                    <w:lang w:eastAsia="en-GB"/>
                    <w14:ligatures w14:val="standardContextual"/>
                  </w:rPr>
                  <w:tab/>
                </w:r>
                <w:r w:rsidRPr="00A210E1">
                  <w:rPr>
                    <w:rStyle w:val="Hipersaitas"/>
                    <w:rFonts w:ascii="Arial" w:hAnsi="Arial" w:cs="Arial"/>
                    <w:color w:val="00435B"/>
                    <w:sz w:val="20"/>
                    <w:szCs w:val="20"/>
                  </w:rPr>
                  <w:t>Electronic Auction</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_Toc203389847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11</w:t>
                </w:r>
                <w:r w:rsidRPr="00A210E1">
                  <w:rPr>
                    <w:rFonts w:ascii="Arial" w:hAnsi="Arial" w:cs="Arial"/>
                    <w:webHidden/>
                    <w:color w:val="00435B"/>
                    <w:sz w:val="20"/>
                    <w:szCs w:val="20"/>
                  </w:rPr>
                  <w:fldChar w:fldCharType="end"/>
                </w:r>
              </w:hyperlink>
            </w:p>
            <w:p w14:paraId="1F775074" w14:textId="4FB75A68" w:rsidR="009D1CDC" w:rsidRPr="00A210E1" w:rsidRDefault="009D1CDC">
              <w:pPr>
                <w:pStyle w:val="Turinys1"/>
                <w:tabs>
                  <w:tab w:val="left" w:pos="720"/>
                </w:tabs>
                <w:rPr>
                  <w:rFonts w:ascii="Arial" w:hAnsi="Arial" w:cs="Arial"/>
                  <w:color w:val="00435B"/>
                  <w:kern w:val="2"/>
                  <w:sz w:val="20"/>
                  <w:szCs w:val="20"/>
                  <w:lang w:eastAsia="en-GB"/>
                  <w14:ligatures w14:val="standardContextual"/>
                </w:rPr>
              </w:pPr>
              <w:hyperlink w:anchor="_Toc203389848" w:history="1">
                <w:r w:rsidRPr="00A210E1">
                  <w:rPr>
                    <w:rStyle w:val="Hipersaitas"/>
                    <w:rFonts w:ascii="Arial" w:eastAsia="Calibri" w:hAnsi="Arial" w:cs="Arial"/>
                    <w:color w:val="00435B"/>
                    <w:sz w:val="20"/>
                    <w:szCs w:val="20"/>
                  </w:rPr>
                  <w:t>9.</w:t>
                </w:r>
                <w:r w:rsidRPr="00A210E1">
                  <w:rPr>
                    <w:rFonts w:ascii="Arial" w:hAnsi="Arial" w:cs="Arial"/>
                    <w:color w:val="00435B"/>
                    <w:kern w:val="2"/>
                    <w:sz w:val="20"/>
                    <w:szCs w:val="20"/>
                    <w:lang w:eastAsia="en-GB"/>
                    <w14:ligatures w14:val="standardContextual"/>
                  </w:rPr>
                  <w:tab/>
                </w:r>
                <w:r w:rsidRPr="00A210E1">
                  <w:rPr>
                    <w:rStyle w:val="Hipersaitas"/>
                    <w:rFonts w:ascii="Arial" w:hAnsi="Arial" w:cs="Arial"/>
                    <w:color w:val="00435B"/>
                    <w:sz w:val="20"/>
                    <w:szCs w:val="20"/>
                  </w:rPr>
                  <w:t>Evaluation of Tenders</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_Toc203389848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11</w:t>
                </w:r>
                <w:r w:rsidRPr="00A210E1">
                  <w:rPr>
                    <w:rFonts w:ascii="Arial" w:hAnsi="Arial" w:cs="Arial"/>
                    <w:webHidden/>
                    <w:color w:val="00435B"/>
                    <w:sz w:val="20"/>
                    <w:szCs w:val="20"/>
                  </w:rPr>
                  <w:fldChar w:fldCharType="end"/>
                </w:r>
              </w:hyperlink>
            </w:p>
            <w:p w14:paraId="3F562611" w14:textId="4923ADDF" w:rsidR="009D1CDC" w:rsidRPr="00A210E1" w:rsidRDefault="009D1CDC">
              <w:pPr>
                <w:pStyle w:val="Turinys1"/>
                <w:tabs>
                  <w:tab w:val="left" w:pos="720"/>
                </w:tabs>
                <w:rPr>
                  <w:rFonts w:ascii="Arial" w:hAnsi="Arial" w:cs="Arial"/>
                  <w:color w:val="00435B"/>
                  <w:kern w:val="2"/>
                  <w:sz w:val="20"/>
                  <w:szCs w:val="20"/>
                  <w:lang w:eastAsia="en-GB"/>
                  <w14:ligatures w14:val="standardContextual"/>
                </w:rPr>
              </w:pPr>
              <w:hyperlink w:anchor="_Toc203389849" w:history="1">
                <w:r w:rsidRPr="00A210E1">
                  <w:rPr>
                    <w:rStyle w:val="Hipersaitas"/>
                    <w:rFonts w:ascii="Arial" w:eastAsia="Calibri" w:hAnsi="Arial" w:cs="Arial"/>
                    <w:color w:val="00435B"/>
                    <w:sz w:val="20"/>
                    <w:szCs w:val="20"/>
                  </w:rPr>
                  <w:t>10.</w:t>
                </w:r>
                <w:r w:rsidRPr="00A210E1">
                  <w:rPr>
                    <w:rFonts w:ascii="Arial" w:hAnsi="Arial" w:cs="Arial"/>
                    <w:color w:val="00435B"/>
                    <w:kern w:val="2"/>
                    <w:sz w:val="20"/>
                    <w:szCs w:val="20"/>
                    <w:lang w:eastAsia="en-GB"/>
                    <w14:ligatures w14:val="standardContextual"/>
                  </w:rPr>
                  <w:tab/>
                </w:r>
                <w:r w:rsidRPr="00A210E1">
                  <w:rPr>
                    <w:rStyle w:val="Hipersaitas"/>
                    <w:rFonts w:ascii="Arial" w:hAnsi="Arial" w:cs="Arial"/>
                    <w:color w:val="00435B"/>
                    <w:sz w:val="20"/>
                    <w:szCs w:val="20"/>
                  </w:rPr>
                  <w:t>Award of Contract</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_Toc203389849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13</w:t>
                </w:r>
                <w:r w:rsidRPr="00A210E1">
                  <w:rPr>
                    <w:rFonts w:ascii="Arial" w:hAnsi="Arial" w:cs="Arial"/>
                    <w:webHidden/>
                    <w:color w:val="00435B"/>
                    <w:sz w:val="20"/>
                    <w:szCs w:val="20"/>
                  </w:rPr>
                  <w:fldChar w:fldCharType="end"/>
                </w:r>
              </w:hyperlink>
            </w:p>
            <w:p w14:paraId="66FF2F4B" w14:textId="2F48EBF2" w:rsidR="009D1CDC" w:rsidRPr="00A210E1" w:rsidRDefault="009D1CDC">
              <w:pPr>
                <w:pStyle w:val="Turinys1"/>
                <w:tabs>
                  <w:tab w:val="left" w:pos="720"/>
                </w:tabs>
                <w:rPr>
                  <w:rFonts w:ascii="Arial" w:hAnsi="Arial" w:cs="Arial"/>
                  <w:color w:val="00435B"/>
                  <w:kern w:val="2"/>
                  <w:sz w:val="20"/>
                  <w:szCs w:val="20"/>
                  <w:lang w:eastAsia="en-GB"/>
                  <w14:ligatures w14:val="standardContextual"/>
                </w:rPr>
              </w:pPr>
              <w:hyperlink w:anchor="_Toc203389850" w:history="1">
                <w:r w:rsidRPr="00A210E1">
                  <w:rPr>
                    <w:rStyle w:val="Hipersaitas"/>
                    <w:rFonts w:ascii="Arial" w:hAnsi="Arial" w:cs="Arial"/>
                    <w:color w:val="00435B"/>
                    <w:sz w:val="20"/>
                    <w:szCs w:val="20"/>
                  </w:rPr>
                  <w:t>11.</w:t>
                </w:r>
                <w:r w:rsidRPr="00A210E1">
                  <w:rPr>
                    <w:rFonts w:ascii="Arial" w:hAnsi="Arial" w:cs="Arial"/>
                    <w:color w:val="00435B"/>
                    <w:kern w:val="2"/>
                    <w:sz w:val="20"/>
                    <w:szCs w:val="20"/>
                    <w:lang w:eastAsia="en-GB"/>
                    <w14:ligatures w14:val="standardContextual"/>
                  </w:rPr>
                  <w:tab/>
                </w:r>
                <w:r w:rsidRPr="00A210E1">
                  <w:rPr>
                    <w:rStyle w:val="Hipersaitas"/>
                    <w:rFonts w:ascii="Arial" w:hAnsi="Arial" w:cs="Arial"/>
                    <w:color w:val="00435B"/>
                    <w:sz w:val="20"/>
                    <w:szCs w:val="20"/>
                  </w:rPr>
                  <w:t>Other Terms and Conditions</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_Toc203389850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14</w:t>
                </w:r>
                <w:r w:rsidRPr="00A210E1">
                  <w:rPr>
                    <w:rFonts w:ascii="Arial" w:hAnsi="Arial" w:cs="Arial"/>
                    <w:webHidden/>
                    <w:color w:val="00435B"/>
                    <w:sz w:val="20"/>
                    <w:szCs w:val="20"/>
                  </w:rPr>
                  <w:fldChar w:fldCharType="end"/>
                </w:r>
              </w:hyperlink>
            </w:p>
            <w:p w14:paraId="66C63745" w14:textId="61AE1D67" w:rsidR="009D1CDC" w:rsidRPr="00A210E1" w:rsidRDefault="009D1CDC">
              <w:pPr>
                <w:pStyle w:val="Turinys1"/>
                <w:rPr>
                  <w:rFonts w:ascii="Arial" w:hAnsi="Arial" w:cs="Arial"/>
                  <w:color w:val="00435B"/>
                  <w:kern w:val="2"/>
                  <w:sz w:val="20"/>
                  <w:szCs w:val="20"/>
                  <w:lang w:eastAsia="en-GB"/>
                  <w14:ligatures w14:val="standardContextual"/>
                </w:rPr>
              </w:pPr>
              <w:r w:rsidRPr="00A210E1">
                <w:rPr>
                  <w:rStyle w:val="Hipersaitas"/>
                  <w:rFonts w:ascii="Arial" w:hAnsi="Arial" w:cs="Arial"/>
                  <w:color w:val="00435B"/>
                  <w:sz w:val="20"/>
                  <w:szCs w:val="20"/>
                </w:rPr>
                <w:t xml:space="preserve"> </w:t>
              </w:r>
              <w:hyperlink w:anchor="_Toc203389851" w:history="1">
                <w:r w:rsidRPr="00A210E1">
                  <w:rPr>
                    <w:rStyle w:val="Hipersaitas"/>
                    <w:rFonts w:ascii="Arial" w:hAnsi="Arial" w:cs="Arial"/>
                    <w:color w:val="00435B"/>
                    <w:sz w:val="20"/>
                    <w:szCs w:val="20"/>
                  </w:rPr>
                  <w:t>Annex</w:t>
                </w:r>
                <w:r w:rsidR="000F523D" w:rsidRPr="00A210E1">
                  <w:rPr>
                    <w:rStyle w:val="Hipersaitas"/>
                    <w:rFonts w:ascii="Arial" w:hAnsi="Arial" w:cs="Arial"/>
                    <w:color w:val="00435B"/>
                    <w:sz w:val="20"/>
                    <w:szCs w:val="20"/>
                  </w:rPr>
                  <w:t>s</w:t>
                </w:r>
                <w:r w:rsidRPr="00A210E1">
                  <w:rPr>
                    <w:rFonts w:ascii="Arial" w:hAnsi="Arial" w:cs="Arial"/>
                    <w:webHidden/>
                    <w:color w:val="00435B"/>
                    <w:sz w:val="20"/>
                    <w:szCs w:val="20"/>
                  </w:rPr>
                  <w:tab/>
                </w:r>
                <w:r w:rsidRPr="00A210E1">
                  <w:rPr>
                    <w:rFonts w:ascii="Arial" w:hAnsi="Arial" w:cs="Arial"/>
                    <w:webHidden/>
                    <w:color w:val="00435B"/>
                    <w:sz w:val="20"/>
                    <w:szCs w:val="20"/>
                  </w:rPr>
                  <w:fldChar w:fldCharType="begin"/>
                </w:r>
                <w:r w:rsidRPr="00A210E1">
                  <w:rPr>
                    <w:rFonts w:ascii="Arial" w:hAnsi="Arial" w:cs="Arial"/>
                    <w:webHidden/>
                    <w:color w:val="00435B"/>
                    <w:sz w:val="20"/>
                    <w:szCs w:val="20"/>
                  </w:rPr>
                  <w:instrText xml:space="preserve"> PAGEREF _Toc203389851 \h </w:instrText>
                </w:r>
                <w:r w:rsidRPr="00A210E1">
                  <w:rPr>
                    <w:rFonts w:ascii="Arial" w:hAnsi="Arial" w:cs="Arial"/>
                    <w:webHidden/>
                    <w:color w:val="00435B"/>
                    <w:sz w:val="20"/>
                    <w:szCs w:val="20"/>
                  </w:rPr>
                </w:r>
                <w:r w:rsidRPr="00A210E1">
                  <w:rPr>
                    <w:rFonts w:ascii="Arial" w:hAnsi="Arial" w:cs="Arial"/>
                    <w:webHidden/>
                    <w:color w:val="00435B"/>
                    <w:sz w:val="20"/>
                    <w:szCs w:val="20"/>
                  </w:rPr>
                  <w:fldChar w:fldCharType="separate"/>
                </w:r>
                <w:r w:rsidRPr="00A210E1">
                  <w:rPr>
                    <w:rFonts w:ascii="Arial" w:hAnsi="Arial" w:cs="Arial"/>
                    <w:webHidden/>
                    <w:color w:val="00435B"/>
                    <w:sz w:val="20"/>
                    <w:szCs w:val="20"/>
                  </w:rPr>
                  <w:t>13</w:t>
                </w:r>
                <w:r w:rsidRPr="00A210E1">
                  <w:rPr>
                    <w:rFonts w:ascii="Arial" w:hAnsi="Arial" w:cs="Arial"/>
                    <w:webHidden/>
                    <w:color w:val="00435B"/>
                    <w:sz w:val="20"/>
                    <w:szCs w:val="20"/>
                  </w:rPr>
                  <w:fldChar w:fldCharType="end"/>
                </w:r>
              </w:hyperlink>
            </w:p>
            <w:p w14:paraId="0DDC40AE" w14:textId="04D9018C" w:rsidR="001C24BC" w:rsidRPr="00A210E1" w:rsidRDefault="001C24BC" w:rsidP="004E4612">
              <w:pPr>
                <w:contextualSpacing/>
                <w:rPr>
                  <w:rFonts w:ascii="Arial" w:hAnsi="Arial" w:cs="Arial"/>
                </w:rPr>
              </w:pPr>
              <w:r w:rsidRPr="00A210E1">
                <w:rPr>
                  <w:rFonts w:ascii="Arial" w:hAnsi="Arial" w:cs="Arial"/>
                  <w:b/>
                  <w:color w:val="00435B"/>
                  <w:sz w:val="20"/>
                  <w:szCs w:val="20"/>
                  <w:shd w:val="clear" w:color="auto" w:fill="E6E6E6"/>
                </w:rPr>
                <w:fldChar w:fldCharType="end"/>
              </w:r>
            </w:p>
          </w:sdtContent>
        </w:sdt>
        <w:p w14:paraId="73CCB438" w14:textId="0E813B55" w:rsidR="005F13F0" w:rsidRPr="00A210E1" w:rsidRDefault="001C24BC" w:rsidP="004E4612">
          <w:pPr>
            <w:spacing w:after="120" w:line="20" w:lineRule="atLeast"/>
            <w:contextualSpacing/>
            <w:rPr>
              <w:rFonts w:ascii="Arial" w:hAnsi="Arial" w:cs="Arial"/>
            </w:rPr>
          </w:pPr>
          <w:r w:rsidRPr="00A210E1">
            <w:rPr>
              <w:rFonts w:ascii="Arial" w:hAnsi="Arial" w:cs="Arial"/>
            </w:rPr>
            <w:br w:type="page"/>
          </w:r>
        </w:p>
      </w:sdtContent>
    </w:sdt>
    <w:p w14:paraId="7DBFF88B" w14:textId="0FE73970" w:rsidR="002415C7" w:rsidRPr="00A210E1" w:rsidRDefault="00263B34" w:rsidP="00457163">
      <w:pPr>
        <w:pStyle w:val="Antrat1"/>
        <w:numPr>
          <w:ilvl w:val="0"/>
          <w:numId w:val="1"/>
        </w:numPr>
        <w:spacing w:line="20" w:lineRule="atLeast"/>
        <w:ind w:left="567" w:hanging="567"/>
        <w:contextualSpacing/>
        <w:rPr>
          <w:rFonts w:ascii="Arial" w:hAnsi="Arial" w:cs="Arial"/>
          <w:color w:val="00435B"/>
        </w:rPr>
      </w:pPr>
      <w:bookmarkStart w:id="0" w:name="_Toc203389840"/>
      <w:bookmarkStart w:id="1" w:name="_Toc335201954"/>
      <w:bookmarkStart w:id="2" w:name="_Toc147739116"/>
      <w:r w:rsidRPr="00A210E1">
        <w:rPr>
          <w:rFonts w:ascii="Arial" w:hAnsi="Arial" w:cs="Arial"/>
          <w:color w:val="00435B"/>
        </w:rPr>
        <w:lastRenderedPageBreak/>
        <w:t>General Information</w:t>
      </w:r>
      <w:bookmarkEnd w:id="0"/>
    </w:p>
    <w:p w14:paraId="56E82863" w14:textId="4934ABE4" w:rsidR="00234558" w:rsidRPr="00A210E1" w:rsidRDefault="00E05E2D" w:rsidP="00234558">
      <w:pPr>
        <w:pStyle w:val="Sraopastraipa"/>
        <w:numPr>
          <w:ilvl w:val="1"/>
          <w:numId w:val="1"/>
        </w:numPr>
        <w:tabs>
          <w:tab w:val="left" w:pos="993"/>
        </w:tabs>
        <w:spacing w:after="0" w:line="20" w:lineRule="atLeast"/>
        <w:ind w:left="0" w:firstLine="567"/>
        <w:jc w:val="both"/>
        <w:rPr>
          <w:rFonts w:ascii="Arial" w:hAnsi="Arial" w:cs="Arial"/>
          <w:color w:val="00435B"/>
          <w:sz w:val="20"/>
          <w:szCs w:val="20"/>
        </w:rPr>
      </w:pPr>
      <w:r w:rsidRPr="00A210E1">
        <w:rPr>
          <w:rFonts w:ascii="Arial" w:hAnsi="Arial" w:cs="Arial"/>
          <w:color w:val="00435B"/>
          <w:sz w:val="20"/>
          <w:szCs w:val="20"/>
        </w:rPr>
        <w:t xml:space="preserve">The contracting authority is </w:t>
      </w:r>
      <w:r w:rsidR="009048F3" w:rsidRPr="00A210E1">
        <w:rPr>
          <w:rFonts w:ascii="Arial" w:hAnsi="Arial" w:cs="Arial"/>
          <w:color w:val="00435B"/>
          <w:sz w:val="20"/>
          <w:szCs w:val="20"/>
        </w:rPr>
        <w:t>UAB ILTE</w:t>
      </w:r>
      <w:r w:rsidRPr="00A210E1">
        <w:rPr>
          <w:rFonts w:ascii="Arial" w:hAnsi="Arial" w:cs="Arial"/>
          <w:color w:val="00435B"/>
          <w:sz w:val="20"/>
          <w:szCs w:val="20"/>
        </w:rPr>
        <w:t xml:space="preserve">, legal entity code </w:t>
      </w:r>
      <w:r w:rsidR="00F404EB" w:rsidRPr="00A210E1">
        <w:rPr>
          <w:rFonts w:ascii="Arial" w:hAnsi="Arial" w:cs="Arial"/>
          <w:color w:val="00435B"/>
          <w:sz w:val="20"/>
          <w:szCs w:val="20"/>
        </w:rPr>
        <w:t>110084026</w:t>
      </w:r>
      <w:r w:rsidRPr="00A210E1">
        <w:rPr>
          <w:rFonts w:ascii="Arial" w:hAnsi="Arial" w:cs="Arial"/>
          <w:color w:val="00435B"/>
          <w:sz w:val="20"/>
          <w:szCs w:val="20"/>
        </w:rPr>
        <w:t xml:space="preserve">, address </w:t>
      </w:r>
      <w:proofErr w:type="spellStart"/>
      <w:r w:rsidR="00F53E41" w:rsidRPr="00A210E1">
        <w:rPr>
          <w:rFonts w:ascii="Arial" w:hAnsi="Arial" w:cs="Arial"/>
          <w:color w:val="00435B"/>
          <w:sz w:val="20"/>
          <w:szCs w:val="20"/>
        </w:rPr>
        <w:t>Ukmergės</w:t>
      </w:r>
      <w:proofErr w:type="spellEnd"/>
      <w:r w:rsidR="00F53E41" w:rsidRPr="00A210E1">
        <w:rPr>
          <w:rFonts w:ascii="Arial" w:hAnsi="Arial" w:cs="Arial"/>
          <w:color w:val="00435B"/>
          <w:sz w:val="20"/>
          <w:szCs w:val="20"/>
        </w:rPr>
        <w:t xml:space="preserve"> str. 124</w:t>
      </w:r>
      <w:r w:rsidRPr="00A210E1">
        <w:rPr>
          <w:rFonts w:ascii="Arial" w:hAnsi="Arial" w:cs="Arial"/>
          <w:color w:val="00435B"/>
          <w:sz w:val="20"/>
          <w:szCs w:val="20"/>
        </w:rPr>
        <w:t xml:space="preserve">, working hours </w:t>
      </w:r>
      <w:r w:rsidR="00C63C64" w:rsidRPr="00A210E1">
        <w:rPr>
          <w:rFonts w:ascii="Arial" w:hAnsi="Arial" w:cs="Arial"/>
          <w:color w:val="00435B"/>
          <w:sz w:val="20"/>
          <w:szCs w:val="20"/>
        </w:rPr>
        <w:t xml:space="preserve">Monday-Thursday 8:00 – 17:00 val., Friday 8:00 – 15:45 val. </w:t>
      </w:r>
      <w:r w:rsidRPr="00A210E1">
        <w:rPr>
          <w:rFonts w:ascii="Arial" w:hAnsi="Arial" w:cs="Arial"/>
          <w:color w:val="00435B"/>
          <w:sz w:val="20"/>
          <w:szCs w:val="20"/>
        </w:rPr>
        <w:t>The contracting authority is not a VAT payer.</w:t>
      </w:r>
    </w:p>
    <w:p w14:paraId="1C93F7BF" w14:textId="34235A58" w:rsidR="00234558" w:rsidRPr="00A210E1" w:rsidRDefault="002F5F8E" w:rsidP="00234558">
      <w:pPr>
        <w:pStyle w:val="Sraopastraipa"/>
        <w:numPr>
          <w:ilvl w:val="1"/>
          <w:numId w:val="1"/>
        </w:numPr>
        <w:tabs>
          <w:tab w:val="left" w:pos="993"/>
        </w:tabs>
        <w:spacing w:after="0" w:line="20" w:lineRule="atLeast"/>
        <w:ind w:left="0" w:firstLine="567"/>
        <w:jc w:val="both"/>
        <w:rPr>
          <w:rFonts w:ascii="Arial" w:hAnsi="Arial" w:cs="Arial"/>
          <w:color w:val="00435B"/>
          <w:sz w:val="20"/>
          <w:szCs w:val="20"/>
        </w:rPr>
      </w:pPr>
      <w:r w:rsidRPr="00A210E1">
        <w:rPr>
          <w:rFonts w:ascii="Arial" w:hAnsi="Arial" w:cs="Arial"/>
          <w:color w:val="00435B"/>
          <w:sz w:val="20"/>
          <w:szCs w:val="20"/>
        </w:rPr>
        <w:t>The procurement is carried out without using the centralised procurement catalogue because</w:t>
      </w:r>
      <w:r w:rsidR="00122944" w:rsidRPr="00A210E1">
        <w:rPr>
          <w:rFonts w:ascii="Arial" w:hAnsi="Arial" w:cs="Arial"/>
          <w:color w:val="00435B"/>
          <w:sz w:val="20"/>
          <w:szCs w:val="20"/>
        </w:rPr>
        <w:t xml:space="preserve"> there are no such services in the catalogue.</w:t>
      </w:r>
    </w:p>
    <w:p w14:paraId="49CB121A" w14:textId="77777777" w:rsidR="00234558" w:rsidRPr="00A210E1" w:rsidRDefault="00AA23FB" w:rsidP="00234558">
      <w:pPr>
        <w:pStyle w:val="Sraopastraipa"/>
        <w:numPr>
          <w:ilvl w:val="1"/>
          <w:numId w:val="1"/>
        </w:numPr>
        <w:tabs>
          <w:tab w:val="left" w:pos="993"/>
        </w:tabs>
        <w:spacing w:after="0" w:line="20" w:lineRule="atLeast"/>
        <w:ind w:left="0" w:firstLine="567"/>
        <w:jc w:val="both"/>
        <w:rPr>
          <w:rFonts w:ascii="Arial" w:hAnsi="Arial" w:cs="Arial"/>
          <w:color w:val="00435B"/>
          <w:sz w:val="20"/>
          <w:szCs w:val="20"/>
        </w:rPr>
      </w:pPr>
      <w:r w:rsidRPr="00A210E1">
        <w:rPr>
          <w:rFonts w:ascii="Arial" w:hAnsi="Arial" w:cs="Arial"/>
          <w:color w:val="00435B"/>
          <w:sz w:val="20"/>
          <w:szCs w:val="20"/>
        </w:rPr>
        <w:t>The contracting authority shall not reserve the right to participate in the procurement.</w:t>
      </w:r>
    </w:p>
    <w:p w14:paraId="7558CFF5" w14:textId="77777777" w:rsidR="00234558" w:rsidRPr="00A210E1" w:rsidRDefault="00E32C8E" w:rsidP="00234558">
      <w:pPr>
        <w:pStyle w:val="Sraopastraipa"/>
        <w:numPr>
          <w:ilvl w:val="1"/>
          <w:numId w:val="1"/>
        </w:numPr>
        <w:tabs>
          <w:tab w:val="left" w:pos="993"/>
        </w:tabs>
        <w:spacing w:after="0" w:line="20" w:lineRule="atLeast"/>
        <w:ind w:left="0" w:firstLine="567"/>
        <w:jc w:val="both"/>
        <w:rPr>
          <w:rFonts w:ascii="Arial" w:hAnsi="Arial" w:cs="Arial"/>
          <w:color w:val="00435B"/>
          <w:sz w:val="20"/>
          <w:szCs w:val="20"/>
        </w:rPr>
      </w:pPr>
      <w:r w:rsidRPr="00A210E1">
        <w:rPr>
          <w:rFonts w:ascii="Arial" w:hAnsi="Arial" w:cs="Arial"/>
          <w:color w:val="00435B"/>
          <w:sz w:val="20"/>
          <w:szCs w:val="20"/>
        </w:rPr>
        <w:t>Observers shall not be invited to attend the meetings of the Commission.</w:t>
      </w:r>
    </w:p>
    <w:p w14:paraId="7D303CD1" w14:textId="2093302C" w:rsidR="00FF3723" w:rsidRPr="00A210E1" w:rsidRDefault="003A502A" w:rsidP="00FF3723">
      <w:pPr>
        <w:pStyle w:val="Sraopastraipa"/>
        <w:numPr>
          <w:ilvl w:val="1"/>
          <w:numId w:val="1"/>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 xml:space="preserve">Green procurement shall be carried out. The procurement shall be carried out in accordance with paragraph(s) </w:t>
      </w:r>
      <w:r w:rsidR="00234558" w:rsidRPr="00A210E1">
        <w:rPr>
          <w:rFonts w:ascii="Arial" w:hAnsi="Arial" w:cs="Arial"/>
          <w:color w:val="00435B"/>
          <w:sz w:val="20"/>
          <w:szCs w:val="20"/>
        </w:rPr>
        <w:t>4.</w:t>
      </w:r>
      <w:r w:rsidR="003D38DC" w:rsidRPr="00A210E1">
        <w:rPr>
          <w:rFonts w:ascii="Arial" w:hAnsi="Arial" w:cs="Arial"/>
          <w:color w:val="00435B"/>
          <w:sz w:val="20"/>
          <w:szCs w:val="20"/>
        </w:rPr>
        <w:t>4</w:t>
      </w:r>
      <w:r w:rsidR="00234558" w:rsidRPr="00A210E1">
        <w:rPr>
          <w:rFonts w:ascii="Arial" w:hAnsi="Arial" w:cs="Arial"/>
          <w:color w:val="00435B"/>
          <w:sz w:val="20"/>
          <w:szCs w:val="20"/>
        </w:rPr>
        <w:t>.3.</w:t>
      </w:r>
      <w:r w:rsidRPr="00A210E1">
        <w:rPr>
          <w:rFonts w:ascii="Arial" w:hAnsi="Arial" w:cs="Arial"/>
          <w:color w:val="00435B"/>
          <w:sz w:val="20"/>
          <w:szCs w:val="20"/>
        </w:rPr>
        <w:t xml:space="preserve"> of Order No. D1-508 “</w:t>
      </w:r>
      <w:hyperlink r:id="rId12" w:history="1">
        <w:r w:rsidRPr="00A210E1">
          <w:rPr>
            <w:rStyle w:val="Hipersaitas"/>
            <w:rFonts w:ascii="Arial" w:hAnsi="Arial" w:cs="Arial"/>
            <w:color w:val="00435B"/>
            <w:sz w:val="20"/>
            <w:szCs w:val="20"/>
            <w:u w:val="single"/>
          </w:rPr>
          <w:t>On the approval of the Description of the Procedures for the Application of Environmental Criteria in the Conduct of Green Procurement</w:t>
        </w:r>
      </w:hyperlink>
      <w:r w:rsidRPr="00A210E1">
        <w:rPr>
          <w:rFonts w:ascii="Arial" w:hAnsi="Arial" w:cs="Arial"/>
          <w:color w:val="00435B"/>
          <w:sz w:val="20"/>
          <w:szCs w:val="20"/>
        </w:rPr>
        <w:t xml:space="preserve">” of the Minister of Environment of the Republic of Lithuania, dated 28 June 2011. The environmental criteria are set out in </w:t>
      </w:r>
      <w:r w:rsidR="00C11D16" w:rsidRPr="00A210E1">
        <w:rPr>
          <w:rFonts w:ascii="Arial" w:hAnsi="Arial" w:cs="Arial"/>
          <w:color w:val="00435B"/>
          <w:sz w:val="20"/>
          <w:szCs w:val="20"/>
        </w:rPr>
        <w:t>Annex 8 “Draft Contract”.</w:t>
      </w:r>
    </w:p>
    <w:p w14:paraId="0FCEE656" w14:textId="77777777" w:rsidR="00FF3723" w:rsidRPr="00A210E1" w:rsidRDefault="00E35E7C" w:rsidP="00FF3723">
      <w:pPr>
        <w:pStyle w:val="Sraopastraipa"/>
        <w:numPr>
          <w:ilvl w:val="1"/>
          <w:numId w:val="1"/>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 xml:space="preserve">The social criteria applicable to this procurement are set out in </w:t>
      </w:r>
      <w:r w:rsidR="00C11D16" w:rsidRPr="00A210E1">
        <w:rPr>
          <w:rFonts w:ascii="Arial" w:hAnsi="Arial" w:cs="Arial"/>
          <w:color w:val="00435B"/>
          <w:sz w:val="20"/>
          <w:szCs w:val="20"/>
        </w:rPr>
        <w:t>Annex 8 “Draft Contract”.</w:t>
      </w:r>
    </w:p>
    <w:p w14:paraId="45C5C91D" w14:textId="77777777" w:rsidR="00FF3723" w:rsidRPr="00A210E1" w:rsidRDefault="00E32C8E" w:rsidP="00FF3723">
      <w:pPr>
        <w:pStyle w:val="Sraopastraipa"/>
        <w:numPr>
          <w:ilvl w:val="1"/>
          <w:numId w:val="1"/>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No advance contract notice of the procurement has been published</w:t>
      </w:r>
      <w:r w:rsidR="00FF3723" w:rsidRPr="00A210E1">
        <w:rPr>
          <w:rFonts w:ascii="Arial" w:hAnsi="Arial" w:cs="Arial"/>
          <w:color w:val="00435B"/>
          <w:sz w:val="20"/>
          <w:szCs w:val="20"/>
        </w:rPr>
        <w:t>.</w:t>
      </w:r>
    </w:p>
    <w:p w14:paraId="536131E4" w14:textId="77777777" w:rsidR="00955E82" w:rsidRPr="00A210E1" w:rsidRDefault="00015FC9" w:rsidP="00955E82">
      <w:pPr>
        <w:pStyle w:val="Sraopastraipa"/>
        <w:numPr>
          <w:ilvl w:val="1"/>
          <w:numId w:val="1"/>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For the procurement, the contracting authority does not foresee the publication of a notice for voluntary ex ante transparency.</w:t>
      </w:r>
    </w:p>
    <w:p w14:paraId="7913ACCE" w14:textId="77777777" w:rsidR="006005FE" w:rsidRPr="00A210E1" w:rsidRDefault="007466F8" w:rsidP="006005FE">
      <w:pPr>
        <w:pStyle w:val="Sraopastraipa"/>
        <w:numPr>
          <w:ilvl w:val="1"/>
          <w:numId w:val="1"/>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 xml:space="preserve">Submission of variants shall not be permitted in the procurement. </w:t>
      </w:r>
    </w:p>
    <w:p w14:paraId="0C002F05" w14:textId="6A0C688C" w:rsidR="00E32C8E" w:rsidRPr="00A210E1" w:rsidRDefault="00E32C8E" w:rsidP="006005FE">
      <w:pPr>
        <w:pStyle w:val="Sraopastraipa"/>
        <w:numPr>
          <w:ilvl w:val="1"/>
          <w:numId w:val="1"/>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The general terms of procurement shall form an integral part of these terms of procurement.</w:t>
      </w:r>
    </w:p>
    <w:p w14:paraId="5DEDEBC7" w14:textId="1ED44FB6" w:rsidR="00B41C66" w:rsidRPr="00A210E1" w:rsidRDefault="00507DC9" w:rsidP="00717DCC">
      <w:pPr>
        <w:pStyle w:val="Antrat1"/>
        <w:spacing w:line="20" w:lineRule="atLeast"/>
        <w:contextualSpacing/>
        <w:rPr>
          <w:rFonts w:ascii="Arial" w:hAnsi="Arial" w:cs="Arial"/>
          <w:color w:val="00435B"/>
        </w:rPr>
      </w:pPr>
      <w:bookmarkStart w:id="3" w:name="_Ref39426332"/>
      <w:bookmarkStart w:id="4" w:name="_Ref39426338"/>
      <w:bookmarkStart w:id="5" w:name="_Toc203389841"/>
      <w:bookmarkEnd w:id="1"/>
      <w:r w:rsidRPr="00A210E1">
        <w:rPr>
          <w:rFonts w:ascii="Arial" w:hAnsi="Arial" w:cs="Arial"/>
          <w:color w:val="00435B"/>
        </w:rPr>
        <w:t>2. Object of Procurement</w:t>
      </w:r>
      <w:bookmarkEnd w:id="3"/>
      <w:bookmarkEnd w:id="4"/>
      <w:bookmarkEnd w:id="5"/>
    </w:p>
    <w:p w14:paraId="0B7B0A50" w14:textId="4DD500DD" w:rsidR="00B41C66" w:rsidRPr="00A210E1" w:rsidRDefault="00B41C66" w:rsidP="00952B89">
      <w:pPr>
        <w:pStyle w:val="Betarp"/>
        <w:numPr>
          <w:ilvl w:val="1"/>
          <w:numId w:val="5"/>
        </w:numPr>
        <w:tabs>
          <w:tab w:val="left" w:pos="1134"/>
        </w:tabs>
        <w:spacing w:after="120"/>
        <w:ind w:left="0" w:firstLine="709"/>
        <w:contextualSpacing/>
        <w:jc w:val="both"/>
        <w:rPr>
          <w:rFonts w:ascii="Arial" w:hAnsi="Arial" w:cs="Arial"/>
          <w:color w:val="00435B"/>
          <w:sz w:val="20"/>
          <w:szCs w:val="20"/>
        </w:rPr>
      </w:pPr>
      <w:r w:rsidRPr="00A210E1">
        <w:rPr>
          <w:rFonts w:ascii="Arial" w:hAnsi="Arial" w:cs="Arial"/>
          <w:color w:val="00435B"/>
          <w:sz w:val="20"/>
          <w:szCs w:val="20"/>
        </w:rPr>
        <w:t>The contracting authority intends to procure</w:t>
      </w:r>
      <w:r w:rsidR="00135221" w:rsidRPr="00A210E1">
        <w:rPr>
          <w:rFonts w:ascii="Arial" w:hAnsi="Arial" w:cs="Arial"/>
          <w:color w:val="00435B"/>
          <w:sz w:val="20"/>
          <w:szCs w:val="20"/>
        </w:rPr>
        <w:t xml:space="preserve"> </w:t>
      </w:r>
      <w:r w:rsidR="00560EB6" w:rsidRPr="00A210E1">
        <w:rPr>
          <w:rFonts w:ascii="Arial" w:hAnsi="Arial" w:cs="Arial"/>
          <w:bCs/>
          <w:color w:val="00435B"/>
          <w:sz w:val="20"/>
          <w:szCs w:val="20"/>
        </w:rPr>
        <w:t xml:space="preserve">– </w:t>
      </w:r>
      <w:r w:rsidR="00560EB6" w:rsidRPr="00A210E1">
        <w:rPr>
          <w:rFonts w:ascii="Arial" w:eastAsia="Calibri" w:hAnsi="Arial" w:cs="Arial"/>
          <w:color w:val="00435B"/>
          <w:sz w:val="20"/>
          <w:szCs w:val="20"/>
        </w:rPr>
        <w:t>Politically Exposed Persons and International Sanctions Screening Services</w:t>
      </w:r>
      <w:r w:rsidR="00D54CBB" w:rsidRPr="00A210E1">
        <w:rPr>
          <w:rFonts w:ascii="Arial" w:eastAsia="Calibri" w:hAnsi="Arial" w:cs="Arial"/>
          <w:color w:val="00435B"/>
          <w:sz w:val="20"/>
          <w:szCs w:val="20"/>
        </w:rPr>
        <w:t>.</w:t>
      </w:r>
      <w:r w:rsidRPr="00A210E1">
        <w:rPr>
          <w:rFonts w:ascii="Arial" w:hAnsi="Arial" w:cs="Arial"/>
          <w:color w:val="00435B"/>
          <w:sz w:val="20"/>
          <w:szCs w:val="20"/>
        </w:rPr>
        <w:t xml:space="preserve"> The requirements for the object of procurement are set out in Annex </w:t>
      </w:r>
      <w:r w:rsidR="00D513E8" w:rsidRPr="00A210E1">
        <w:rPr>
          <w:rFonts w:ascii="Arial" w:hAnsi="Arial" w:cs="Arial"/>
          <w:color w:val="00435B"/>
          <w:sz w:val="20"/>
          <w:szCs w:val="20"/>
        </w:rPr>
        <w:t xml:space="preserve">2 </w:t>
      </w:r>
      <w:r w:rsidRPr="00A210E1">
        <w:rPr>
          <w:rFonts w:ascii="Arial" w:hAnsi="Arial" w:cs="Arial"/>
          <w:color w:val="00435B"/>
          <w:sz w:val="20"/>
          <w:szCs w:val="20"/>
        </w:rPr>
        <w:t>to the special terms of procurement.</w:t>
      </w:r>
    </w:p>
    <w:p w14:paraId="53C40B8B" w14:textId="7B0FDE1C" w:rsidR="00D513E8" w:rsidRPr="00A210E1" w:rsidRDefault="00507DC9" w:rsidP="00D513E8">
      <w:pPr>
        <w:pStyle w:val="Betarp"/>
        <w:tabs>
          <w:tab w:val="left" w:pos="1276"/>
        </w:tabs>
        <w:spacing w:after="120"/>
        <w:ind w:firstLine="709"/>
        <w:contextualSpacing/>
        <w:jc w:val="both"/>
        <w:rPr>
          <w:rFonts w:ascii="Arial" w:hAnsi="Arial" w:cs="Arial"/>
          <w:color w:val="00435B"/>
          <w:sz w:val="20"/>
          <w:szCs w:val="20"/>
        </w:rPr>
      </w:pPr>
      <w:r w:rsidRPr="00A210E1">
        <w:rPr>
          <w:rFonts w:ascii="Arial" w:hAnsi="Arial" w:cs="Arial"/>
          <w:color w:val="00435B"/>
          <w:sz w:val="20"/>
          <w:szCs w:val="20"/>
        </w:rPr>
        <w:t>2.2</w:t>
      </w:r>
      <w:r w:rsidR="00D513E8" w:rsidRPr="00A210E1">
        <w:rPr>
          <w:rFonts w:ascii="Arial" w:hAnsi="Arial" w:cs="Arial"/>
          <w:color w:val="00435B"/>
          <w:sz w:val="20"/>
          <w:szCs w:val="20"/>
        </w:rPr>
        <w:t xml:space="preserve">. </w:t>
      </w:r>
      <w:r w:rsidR="00B41C66" w:rsidRPr="00A210E1">
        <w:rPr>
          <w:rFonts w:ascii="Arial" w:hAnsi="Arial" w:cs="Arial"/>
          <w:color w:val="00435B"/>
          <w:sz w:val="20"/>
          <w:szCs w:val="20"/>
        </w:rPr>
        <w:t xml:space="preserve">The object of procurement shall not be divided into lots. The scope, requirements and technical specifications of the procurement are defined in Annex </w:t>
      </w:r>
      <w:r w:rsidR="00D513E8" w:rsidRPr="00A210E1">
        <w:rPr>
          <w:rFonts w:ascii="Arial" w:hAnsi="Arial" w:cs="Arial"/>
          <w:color w:val="00435B"/>
          <w:sz w:val="20"/>
          <w:szCs w:val="20"/>
        </w:rPr>
        <w:t>2</w:t>
      </w:r>
      <w:r w:rsidR="00B41C66" w:rsidRPr="00A210E1">
        <w:rPr>
          <w:rFonts w:ascii="Arial" w:hAnsi="Arial" w:cs="Arial"/>
          <w:color w:val="00435B"/>
          <w:sz w:val="20"/>
          <w:szCs w:val="20"/>
        </w:rPr>
        <w:t xml:space="preserve"> to the special terms of procurement. </w:t>
      </w:r>
      <w:r w:rsidR="005D14DC" w:rsidRPr="00A210E1">
        <w:rPr>
          <w:rFonts w:ascii="Arial" w:hAnsi="Arial" w:cs="Arial"/>
          <w:color w:val="00435B"/>
          <w:sz w:val="20"/>
          <w:szCs w:val="20"/>
        </w:rPr>
        <w:t xml:space="preserve">The object of procurement is indivisible from a quantitative point of view. The execution of the </w:t>
      </w:r>
      <w:r w:rsidR="00136B6A" w:rsidRPr="00A210E1">
        <w:rPr>
          <w:rFonts w:ascii="Arial" w:hAnsi="Arial" w:cs="Arial"/>
          <w:color w:val="00435B"/>
          <w:sz w:val="20"/>
          <w:szCs w:val="20"/>
        </w:rPr>
        <w:t>procurement contract</w:t>
      </w:r>
      <w:r w:rsidR="005D14DC" w:rsidRPr="00A210E1">
        <w:rPr>
          <w:rFonts w:ascii="Arial" w:hAnsi="Arial" w:cs="Arial"/>
          <w:color w:val="00435B"/>
          <w:sz w:val="20"/>
          <w:szCs w:val="20"/>
        </w:rPr>
        <w:t xml:space="preserve"> would become technically too complex, as one set of services is being purchased, the division of which would be irrational, while solutions from different suppliers may be incompatible.</w:t>
      </w:r>
    </w:p>
    <w:p w14:paraId="7C0A00C3" w14:textId="77777777" w:rsidR="00D513E8" w:rsidRPr="00A210E1" w:rsidRDefault="00325243" w:rsidP="00D513E8">
      <w:pPr>
        <w:pStyle w:val="Betarp"/>
        <w:tabs>
          <w:tab w:val="left" w:pos="1276"/>
        </w:tabs>
        <w:spacing w:after="120"/>
        <w:ind w:firstLine="709"/>
        <w:contextualSpacing/>
        <w:jc w:val="both"/>
        <w:rPr>
          <w:rFonts w:ascii="Arial" w:hAnsi="Arial" w:cs="Arial"/>
          <w:color w:val="00435B"/>
          <w:sz w:val="20"/>
          <w:szCs w:val="20"/>
        </w:rPr>
      </w:pPr>
      <w:r w:rsidRPr="00A210E1">
        <w:rPr>
          <w:rFonts w:ascii="Arial" w:hAnsi="Arial" w:cs="Arial"/>
          <w:color w:val="00435B"/>
          <w:sz w:val="20"/>
          <w:szCs w:val="20"/>
        </w:rPr>
        <w:t>2.</w:t>
      </w:r>
      <w:r w:rsidR="00D513E8" w:rsidRPr="00A210E1">
        <w:rPr>
          <w:rFonts w:ascii="Arial" w:hAnsi="Arial" w:cs="Arial"/>
          <w:color w:val="00435B"/>
          <w:sz w:val="20"/>
          <w:szCs w:val="20"/>
        </w:rPr>
        <w:t>3</w:t>
      </w:r>
      <w:r w:rsidRPr="00A210E1">
        <w:rPr>
          <w:rFonts w:ascii="Arial" w:hAnsi="Arial" w:cs="Arial"/>
          <w:color w:val="00435B"/>
          <w:sz w:val="20"/>
          <w:szCs w:val="20"/>
        </w:rPr>
        <w:t xml:space="preserve">. Where, in describing the object of procurement, the technical specification refers to a particular model or source of supply, to a particular process specific to the goods or services supplied by a particular supplier, or to a trademark, patent, types, specific origin or manufacture, each such reference shall be deemed to be accompanied by the words “or equivalent”. </w:t>
      </w:r>
    </w:p>
    <w:p w14:paraId="5734BACD" w14:textId="38D2E60C" w:rsidR="0083071D" w:rsidRPr="00A210E1" w:rsidRDefault="00004521" w:rsidP="00952B89">
      <w:pPr>
        <w:pStyle w:val="Betarp"/>
        <w:tabs>
          <w:tab w:val="left" w:pos="1276"/>
        </w:tabs>
        <w:spacing w:after="120"/>
        <w:ind w:firstLine="709"/>
        <w:contextualSpacing/>
        <w:jc w:val="both"/>
        <w:rPr>
          <w:rFonts w:ascii="Arial" w:hAnsi="Arial" w:cs="Arial"/>
          <w:color w:val="00435B"/>
          <w:sz w:val="20"/>
          <w:szCs w:val="20"/>
        </w:rPr>
      </w:pPr>
      <w:r w:rsidRPr="00A210E1">
        <w:rPr>
          <w:rFonts w:ascii="Arial" w:hAnsi="Arial" w:cs="Arial"/>
          <w:color w:val="00435B"/>
          <w:sz w:val="20"/>
          <w:szCs w:val="20"/>
        </w:rPr>
        <w:t>2.</w:t>
      </w:r>
      <w:r w:rsidR="00D513E8" w:rsidRPr="00A210E1">
        <w:rPr>
          <w:rFonts w:ascii="Arial" w:hAnsi="Arial" w:cs="Arial"/>
          <w:color w:val="00435B"/>
          <w:sz w:val="20"/>
          <w:szCs w:val="20"/>
        </w:rPr>
        <w:t>4</w:t>
      </w:r>
      <w:r w:rsidRPr="00A210E1">
        <w:rPr>
          <w:rFonts w:ascii="Arial" w:hAnsi="Arial" w:cs="Arial"/>
          <w:color w:val="00435B"/>
          <w:sz w:val="20"/>
          <w:szCs w:val="20"/>
        </w:rPr>
        <w:t xml:space="preserve">. Where, in describing the object of procurement, the technical specification refers to a standard, a technical certificate or general technical specifications (a Lithuanian standard transposing a European standard, a European Technical Assessment Approval Document, general technical specification for information and communication technologies, an international standard, other systems of technical norms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 </w:t>
      </w:r>
    </w:p>
    <w:p w14:paraId="7B478B03" w14:textId="5702FA07" w:rsidR="00D22226" w:rsidRPr="00A210E1" w:rsidRDefault="00202323" w:rsidP="00202323">
      <w:pPr>
        <w:pStyle w:val="Antrat1"/>
        <w:spacing w:line="20" w:lineRule="atLeast"/>
        <w:contextualSpacing/>
        <w:rPr>
          <w:rFonts w:ascii="Arial" w:hAnsi="Arial" w:cs="Arial"/>
          <w:color w:val="00435B"/>
        </w:rPr>
      </w:pPr>
      <w:bookmarkStart w:id="6" w:name="_Toc203389842"/>
      <w:r w:rsidRPr="00A210E1">
        <w:rPr>
          <w:rFonts w:ascii="Arial" w:hAnsi="Arial" w:cs="Arial"/>
          <w:color w:val="00435B"/>
        </w:rPr>
        <w:t xml:space="preserve">3. </w:t>
      </w:r>
      <w:bookmarkStart w:id="7" w:name="_Ref39427921"/>
      <w:bookmarkStart w:id="8" w:name="_Ref39427927"/>
      <w:bookmarkStart w:id="9" w:name="_Ref39740354"/>
      <w:r w:rsidRPr="00A210E1">
        <w:rPr>
          <w:rFonts w:ascii="Arial" w:hAnsi="Arial" w:cs="Arial"/>
          <w:color w:val="00435B"/>
        </w:rPr>
        <w:t xml:space="preserve">Meetings with Suppliers </w:t>
      </w:r>
      <w:bookmarkEnd w:id="7"/>
      <w:bookmarkEnd w:id="8"/>
      <w:r w:rsidRPr="00A210E1">
        <w:rPr>
          <w:rFonts w:ascii="Arial" w:hAnsi="Arial" w:cs="Arial"/>
          <w:color w:val="00435B"/>
        </w:rPr>
        <w:t>and Site Visits</w:t>
      </w:r>
      <w:bookmarkEnd w:id="6"/>
      <w:bookmarkEnd w:id="9"/>
    </w:p>
    <w:p w14:paraId="3A422005" w14:textId="2B420C81" w:rsidR="00B176FD" w:rsidRPr="00A210E1" w:rsidRDefault="00862DB8" w:rsidP="00AD640D">
      <w:pPr>
        <w:pStyle w:val="Sraopastraipa"/>
        <w:spacing w:after="0"/>
        <w:ind w:left="0" w:firstLine="567"/>
        <w:jc w:val="both"/>
        <w:rPr>
          <w:rFonts w:ascii="Arial" w:hAnsi="Arial" w:cs="Arial"/>
          <w:i/>
          <w:color w:val="00435B"/>
          <w:sz w:val="20"/>
          <w:szCs w:val="20"/>
        </w:rPr>
      </w:pPr>
      <w:r w:rsidRPr="00A210E1">
        <w:rPr>
          <w:rFonts w:ascii="Arial" w:hAnsi="Arial" w:cs="Arial"/>
          <w:color w:val="00435B"/>
          <w:sz w:val="20"/>
          <w:szCs w:val="20"/>
        </w:rPr>
        <w:t>3.1.</w:t>
      </w:r>
      <w:r w:rsidRPr="00A210E1">
        <w:rPr>
          <w:rFonts w:ascii="Arial" w:hAnsi="Arial" w:cs="Arial"/>
          <w:i/>
          <w:color w:val="00435B"/>
          <w:sz w:val="20"/>
          <w:szCs w:val="20"/>
        </w:rPr>
        <w:t xml:space="preserve"> </w:t>
      </w:r>
      <w:r w:rsidR="00B176FD" w:rsidRPr="00A210E1">
        <w:rPr>
          <w:rFonts w:ascii="Arial" w:hAnsi="Arial" w:cs="Arial"/>
          <w:color w:val="00435B"/>
          <w:sz w:val="20"/>
          <w:szCs w:val="20"/>
        </w:rPr>
        <w:t>The contracting authority shall not hold meetings with suppliers to clarify the terms of procurement.</w:t>
      </w:r>
    </w:p>
    <w:p w14:paraId="6443D2FF" w14:textId="040A41C9" w:rsidR="00C94B9F" w:rsidRPr="00A210E1" w:rsidRDefault="00AD57B1" w:rsidP="00AD57B1">
      <w:pPr>
        <w:pStyle w:val="Antrat1"/>
        <w:spacing w:line="20" w:lineRule="atLeast"/>
        <w:contextualSpacing/>
        <w:rPr>
          <w:rFonts w:ascii="Arial" w:hAnsi="Arial" w:cs="Arial"/>
          <w:color w:val="00435B"/>
        </w:rPr>
      </w:pPr>
      <w:bookmarkStart w:id="10" w:name="_Ref39473754"/>
      <w:bookmarkStart w:id="11" w:name="_Ref39473761"/>
      <w:bookmarkStart w:id="12" w:name="_Ref39474188"/>
      <w:bookmarkStart w:id="13" w:name="_Toc203389843"/>
      <w:r w:rsidRPr="00A210E1">
        <w:rPr>
          <w:rFonts w:ascii="Arial" w:hAnsi="Arial" w:cs="Arial"/>
          <w:color w:val="00435B"/>
        </w:rPr>
        <w:lastRenderedPageBreak/>
        <w:t xml:space="preserve">4. Grounds for Exclusion of Candidates and </w:t>
      </w:r>
      <w:bookmarkEnd w:id="10"/>
      <w:bookmarkEnd w:id="11"/>
      <w:bookmarkEnd w:id="12"/>
      <w:r w:rsidRPr="00A210E1">
        <w:rPr>
          <w:rFonts w:ascii="Arial" w:hAnsi="Arial" w:cs="Arial"/>
          <w:color w:val="00435B"/>
        </w:rPr>
        <w:t>Qualification Requirements</w:t>
      </w:r>
      <w:bookmarkEnd w:id="13"/>
    </w:p>
    <w:p w14:paraId="23B058CE" w14:textId="34897C5D" w:rsidR="002C5249" w:rsidRPr="00A210E1" w:rsidRDefault="009D2F13" w:rsidP="127DD6E8">
      <w:pPr>
        <w:pStyle w:val="Sraopastraipa"/>
        <w:spacing w:after="120" w:line="20" w:lineRule="atLeast"/>
        <w:ind w:left="0" w:firstLine="567"/>
        <w:jc w:val="both"/>
        <w:rPr>
          <w:rFonts w:ascii="Arial" w:hAnsi="Arial" w:cs="Arial"/>
          <w:color w:val="00435B"/>
          <w:sz w:val="20"/>
          <w:szCs w:val="20"/>
        </w:rPr>
      </w:pPr>
      <w:r w:rsidRPr="00A210E1">
        <w:rPr>
          <w:rFonts w:ascii="Arial" w:hAnsi="Arial" w:cs="Arial"/>
          <w:color w:val="00435B"/>
          <w:sz w:val="20"/>
          <w:szCs w:val="20"/>
        </w:rPr>
        <w:t xml:space="preserve">4.1. The requirements for the absence of grounds for exclusion of a supplier and, where applicable, of sub-suppliers whose capacities the supplier relies on, and the documentation to support the absence of exclusion grounds, are specified in Annex </w:t>
      </w:r>
      <w:r w:rsidR="00540B4D" w:rsidRPr="00A210E1">
        <w:rPr>
          <w:rFonts w:ascii="Arial" w:hAnsi="Arial" w:cs="Arial"/>
          <w:color w:val="00435B"/>
          <w:sz w:val="20"/>
          <w:szCs w:val="20"/>
        </w:rPr>
        <w:t>3</w:t>
      </w:r>
      <w:r w:rsidRPr="00A210E1">
        <w:rPr>
          <w:rFonts w:ascii="Arial" w:hAnsi="Arial" w:cs="Arial"/>
          <w:color w:val="00435B"/>
          <w:sz w:val="20"/>
          <w:szCs w:val="20"/>
        </w:rPr>
        <w:t xml:space="preserve"> to the special terms of procurement. </w:t>
      </w:r>
    </w:p>
    <w:p w14:paraId="34E32D48" w14:textId="7F8496D1" w:rsidR="007B6F6D" w:rsidRPr="00A210E1" w:rsidRDefault="00970624" w:rsidP="00D54CBB">
      <w:pPr>
        <w:pStyle w:val="Sraopastraipa"/>
        <w:tabs>
          <w:tab w:val="left" w:pos="851"/>
        </w:tabs>
        <w:spacing w:line="20" w:lineRule="atLeast"/>
        <w:ind w:left="0" w:firstLine="567"/>
        <w:jc w:val="both"/>
        <w:rPr>
          <w:rFonts w:ascii="Arial" w:hAnsi="Arial" w:cs="Arial"/>
          <w:color w:val="00435B"/>
          <w:sz w:val="20"/>
          <w:szCs w:val="20"/>
          <w:highlight w:val="yellow"/>
        </w:rPr>
      </w:pPr>
      <w:r w:rsidRPr="00A210E1">
        <w:rPr>
          <w:rFonts w:ascii="Arial" w:hAnsi="Arial" w:cs="Arial"/>
          <w:color w:val="00435B"/>
          <w:sz w:val="20"/>
          <w:szCs w:val="20"/>
        </w:rPr>
        <w:t xml:space="preserve">4.2. No qualification requirements </w:t>
      </w:r>
      <w:r w:rsidR="00D54CBB" w:rsidRPr="00A210E1">
        <w:rPr>
          <w:rFonts w:ascii="Arial" w:hAnsi="Arial" w:cs="Arial"/>
          <w:color w:val="00435B"/>
          <w:sz w:val="20"/>
          <w:szCs w:val="20"/>
        </w:rPr>
        <w:t xml:space="preserve">or requirements for compliance with quality management system and/or environmental management system standards </w:t>
      </w:r>
      <w:r w:rsidRPr="00A210E1">
        <w:rPr>
          <w:rFonts w:ascii="Arial" w:hAnsi="Arial" w:cs="Arial"/>
          <w:color w:val="00435B"/>
          <w:sz w:val="20"/>
          <w:szCs w:val="20"/>
        </w:rPr>
        <w:t>shall be set for suppliers</w:t>
      </w:r>
      <w:r w:rsidR="00D54CBB" w:rsidRPr="00A210E1">
        <w:rPr>
          <w:rFonts w:ascii="Arial" w:hAnsi="Arial" w:cs="Arial"/>
          <w:color w:val="00435B"/>
          <w:sz w:val="20"/>
          <w:szCs w:val="20"/>
        </w:rPr>
        <w:t xml:space="preserve">. </w:t>
      </w:r>
    </w:p>
    <w:p w14:paraId="69D62E2B" w14:textId="7F94BB77" w:rsidR="00A000BE" w:rsidRPr="00A210E1" w:rsidRDefault="00D24970" w:rsidP="0037632B">
      <w:pPr>
        <w:pStyle w:val="Antrat1"/>
        <w:tabs>
          <w:tab w:val="left" w:pos="567"/>
        </w:tabs>
        <w:spacing w:after="0"/>
        <w:contextualSpacing/>
        <w:jc w:val="both"/>
        <w:rPr>
          <w:rFonts w:ascii="Arial" w:hAnsi="Arial" w:cs="Arial"/>
          <w:color w:val="00435B"/>
        </w:rPr>
      </w:pPr>
      <w:bookmarkStart w:id="14" w:name="_Toc203389844"/>
      <w:r w:rsidRPr="00A210E1">
        <w:rPr>
          <w:rFonts w:ascii="Arial" w:hAnsi="Arial" w:cs="Arial"/>
          <w:color w:val="00435B"/>
        </w:rPr>
        <w:t>5. Requirements Related to National Security</w:t>
      </w:r>
      <w:bookmarkEnd w:id="14"/>
      <w:r w:rsidRPr="00A210E1">
        <w:rPr>
          <w:rFonts w:ascii="Arial" w:hAnsi="Arial" w:cs="Arial"/>
          <w:color w:val="00435B"/>
        </w:rPr>
        <w:t xml:space="preserve"> </w:t>
      </w:r>
    </w:p>
    <w:p w14:paraId="2FC7443C" w14:textId="69224476" w:rsidR="00DF3DDF" w:rsidRPr="00A210E1" w:rsidRDefault="00D24970" w:rsidP="007872CB">
      <w:pPr>
        <w:spacing w:after="0" w:line="240" w:lineRule="auto"/>
        <w:ind w:firstLine="567"/>
        <w:jc w:val="both"/>
        <w:rPr>
          <w:rFonts w:ascii="Arial" w:hAnsi="Arial" w:cs="Arial"/>
          <w:color w:val="00435B"/>
          <w:sz w:val="20"/>
          <w:szCs w:val="20"/>
        </w:rPr>
      </w:pPr>
      <w:r w:rsidRPr="00A210E1">
        <w:rPr>
          <w:rFonts w:ascii="Arial" w:hAnsi="Arial" w:cs="Arial"/>
          <w:color w:val="00435B"/>
          <w:sz w:val="20"/>
          <w:szCs w:val="20"/>
        </w:rPr>
        <w:t xml:space="preserve">5.1. The procurement is subject to the provisions of the Regulation. Together with the tender, a supplier must submit a completed declaration of (non-)compliance with the provisions of the Regulation, as set out in Annex </w:t>
      </w:r>
      <w:r w:rsidR="00ED1111" w:rsidRPr="00A210E1">
        <w:rPr>
          <w:rFonts w:ascii="Arial" w:hAnsi="Arial" w:cs="Arial"/>
          <w:color w:val="00435B"/>
          <w:sz w:val="20"/>
          <w:szCs w:val="20"/>
        </w:rPr>
        <w:t>7</w:t>
      </w:r>
      <w:r w:rsidRPr="00A210E1">
        <w:rPr>
          <w:rFonts w:ascii="Arial" w:hAnsi="Arial" w:cs="Arial"/>
          <w:color w:val="00435B"/>
          <w:sz w:val="20"/>
          <w:szCs w:val="20"/>
        </w:rPr>
        <w:t xml:space="preserve"> to the special terms of procurement. In case of doubt as to the supplier’s (non-)compliance with the provisions of the Regulation, the contracting authority shall request the potential successful tenderer to provide documents proving the correctness of the information given in the declaration</w:t>
      </w:r>
      <w:r w:rsidR="00ED1111" w:rsidRPr="00A210E1">
        <w:rPr>
          <w:rFonts w:ascii="Arial" w:hAnsi="Arial" w:cs="Arial"/>
          <w:color w:val="00435B"/>
          <w:sz w:val="20"/>
          <w:szCs w:val="20"/>
        </w:rPr>
        <w:t>:</w:t>
      </w:r>
    </w:p>
    <w:tbl>
      <w:tblPr>
        <w:tblStyle w:val="Lentelstinklelis"/>
        <w:tblW w:w="0" w:type="auto"/>
        <w:tblInd w:w="0" w:type="dxa"/>
        <w:tblLook w:val="04A0" w:firstRow="1" w:lastRow="0" w:firstColumn="1" w:lastColumn="0" w:noHBand="0" w:noVBand="1"/>
      </w:tblPr>
      <w:tblGrid>
        <w:gridCol w:w="742"/>
        <w:gridCol w:w="4640"/>
        <w:gridCol w:w="4580"/>
      </w:tblGrid>
      <w:tr w:rsidR="00242AA0" w:rsidRPr="00A210E1" w14:paraId="13B24B34" w14:textId="77777777" w:rsidTr="00886CC9">
        <w:tc>
          <w:tcPr>
            <w:tcW w:w="742" w:type="dxa"/>
          </w:tcPr>
          <w:p w14:paraId="6D61E004" w14:textId="68573592" w:rsidR="00242AA0" w:rsidRPr="00A210E1" w:rsidRDefault="00781245" w:rsidP="00886CC9">
            <w:pPr>
              <w:jc w:val="center"/>
              <w:rPr>
                <w:rFonts w:ascii="Arial" w:eastAsia="Calibri" w:hAnsi="Arial" w:cs="Arial"/>
                <w:b/>
                <w:bCs/>
                <w:color w:val="00435B"/>
                <w:highlight w:val="yellow"/>
                <w:lang w:eastAsia="lt-LT"/>
              </w:rPr>
            </w:pPr>
            <w:r w:rsidRPr="00A210E1">
              <w:rPr>
                <w:rFonts w:ascii="Arial" w:eastAsia="Calibri" w:hAnsi="Arial" w:cs="Arial"/>
                <w:b/>
                <w:bCs/>
                <w:color w:val="00435B"/>
                <w:lang w:eastAsia="lt-LT"/>
              </w:rPr>
              <w:t>Seq</w:t>
            </w:r>
            <w:r w:rsidR="00242AA0" w:rsidRPr="00A210E1">
              <w:rPr>
                <w:rFonts w:ascii="Arial" w:eastAsia="Calibri" w:hAnsi="Arial" w:cs="Arial"/>
                <w:b/>
                <w:bCs/>
                <w:color w:val="00435B"/>
                <w:lang w:eastAsia="lt-LT"/>
              </w:rPr>
              <w:t>. N</w:t>
            </w:r>
            <w:r w:rsidR="00473F34" w:rsidRPr="00A210E1">
              <w:rPr>
                <w:rFonts w:ascii="Arial" w:eastAsia="Calibri" w:hAnsi="Arial" w:cs="Arial"/>
                <w:b/>
                <w:bCs/>
                <w:color w:val="00435B"/>
                <w:lang w:eastAsia="lt-LT"/>
              </w:rPr>
              <w:t>o</w:t>
            </w:r>
            <w:r w:rsidR="00242AA0" w:rsidRPr="00A210E1">
              <w:rPr>
                <w:rFonts w:ascii="Arial" w:eastAsia="Calibri" w:hAnsi="Arial" w:cs="Arial"/>
                <w:b/>
                <w:bCs/>
                <w:color w:val="00435B"/>
                <w:lang w:eastAsia="lt-LT"/>
              </w:rPr>
              <w:t>.</w:t>
            </w:r>
          </w:p>
        </w:tc>
        <w:tc>
          <w:tcPr>
            <w:tcW w:w="4640" w:type="dxa"/>
          </w:tcPr>
          <w:p w14:paraId="5EDBDD2E" w14:textId="7CD12CDA" w:rsidR="00242AA0" w:rsidRPr="00A210E1" w:rsidRDefault="008B3178" w:rsidP="00886CC9">
            <w:pPr>
              <w:jc w:val="center"/>
              <w:rPr>
                <w:rFonts w:ascii="Arial" w:eastAsia="Calibri" w:hAnsi="Arial" w:cs="Arial"/>
                <w:b/>
                <w:bCs/>
                <w:color w:val="00435B"/>
                <w:highlight w:val="yellow"/>
                <w:lang w:eastAsia="lt-LT"/>
              </w:rPr>
            </w:pPr>
            <w:r w:rsidRPr="00A210E1">
              <w:rPr>
                <w:rFonts w:ascii="Arial" w:eastAsia="Calibri" w:hAnsi="Arial" w:cs="Arial"/>
                <w:b/>
                <w:bCs/>
                <w:color w:val="00435B"/>
                <w:lang w:eastAsia="lt-LT"/>
              </w:rPr>
              <w:t>Requirement for compliance with Regulation 2022/576</w:t>
            </w:r>
          </w:p>
        </w:tc>
        <w:tc>
          <w:tcPr>
            <w:tcW w:w="4580" w:type="dxa"/>
          </w:tcPr>
          <w:p w14:paraId="33C124EC" w14:textId="5DE29D04" w:rsidR="00242AA0" w:rsidRPr="00A210E1" w:rsidRDefault="004C37FD" w:rsidP="00886CC9">
            <w:pPr>
              <w:jc w:val="center"/>
              <w:rPr>
                <w:rFonts w:ascii="Arial" w:eastAsia="Calibri" w:hAnsi="Arial" w:cs="Arial"/>
                <w:b/>
                <w:bCs/>
                <w:color w:val="00435B"/>
                <w:highlight w:val="yellow"/>
                <w:lang w:eastAsia="lt-LT"/>
              </w:rPr>
            </w:pPr>
            <w:r w:rsidRPr="00A210E1">
              <w:rPr>
                <w:rFonts w:ascii="Arial" w:eastAsia="Calibri" w:hAnsi="Arial" w:cs="Arial"/>
                <w:b/>
                <w:bCs/>
                <w:color w:val="00435B"/>
                <w:lang w:eastAsia="lt-LT"/>
              </w:rPr>
              <w:t>Documents proving compliance with the requirement</w:t>
            </w:r>
          </w:p>
        </w:tc>
      </w:tr>
      <w:tr w:rsidR="00242AA0" w:rsidRPr="00A210E1" w14:paraId="08EA58D8" w14:textId="77777777" w:rsidTr="00886CC9">
        <w:tc>
          <w:tcPr>
            <w:tcW w:w="9962" w:type="dxa"/>
            <w:gridSpan w:val="3"/>
          </w:tcPr>
          <w:p w14:paraId="39FBB8B9" w14:textId="33893FB5" w:rsidR="00242AA0" w:rsidRPr="00A210E1" w:rsidRDefault="00D3441E" w:rsidP="00886CC9">
            <w:pPr>
              <w:jc w:val="both"/>
              <w:rPr>
                <w:rFonts w:ascii="Arial" w:eastAsia="Calibri" w:hAnsi="Arial" w:cs="Arial"/>
                <w:color w:val="00435B"/>
                <w:highlight w:val="yellow"/>
                <w:lang w:eastAsia="lt-LT"/>
              </w:rPr>
            </w:pPr>
            <w:r w:rsidRPr="00A210E1">
              <w:rPr>
                <w:rFonts w:ascii="Arial" w:hAnsi="Arial" w:cs="Arial"/>
                <w:color w:val="00435B"/>
              </w:rPr>
              <w:t>Article 5k(1) of Regulation 2022/576 of the Council of the European Union of 8 April 2022</w:t>
            </w:r>
            <w:r w:rsidR="00242AA0" w:rsidRPr="00A210E1">
              <w:rPr>
                <w:rFonts w:ascii="Arial" w:hAnsi="Arial" w:cs="Arial"/>
                <w:color w:val="00435B"/>
              </w:rPr>
              <w:t>:</w:t>
            </w:r>
          </w:p>
        </w:tc>
      </w:tr>
      <w:tr w:rsidR="00242AA0" w:rsidRPr="00A210E1" w14:paraId="5D5E68A5" w14:textId="77777777" w:rsidTr="00886CC9">
        <w:tc>
          <w:tcPr>
            <w:tcW w:w="742" w:type="dxa"/>
          </w:tcPr>
          <w:p w14:paraId="215EFC76" w14:textId="77777777" w:rsidR="00242AA0" w:rsidRPr="00A210E1" w:rsidRDefault="00242AA0" w:rsidP="00886CC9">
            <w:pPr>
              <w:jc w:val="both"/>
              <w:rPr>
                <w:rFonts w:ascii="Arial" w:eastAsia="Calibri" w:hAnsi="Arial" w:cs="Arial"/>
                <w:color w:val="00435B"/>
                <w:highlight w:val="yellow"/>
                <w:lang w:eastAsia="lt-LT"/>
              </w:rPr>
            </w:pPr>
            <w:r w:rsidRPr="00A210E1">
              <w:rPr>
                <w:rFonts w:ascii="Arial" w:eastAsia="Calibri" w:hAnsi="Arial" w:cs="Arial"/>
                <w:color w:val="00435B"/>
                <w:lang w:eastAsia="lt-LT"/>
              </w:rPr>
              <w:t>5.1.1.</w:t>
            </w:r>
          </w:p>
        </w:tc>
        <w:tc>
          <w:tcPr>
            <w:tcW w:w="4640" w:type="dxa"/>
          </w:tcPr>
          <w:p w14:paraId="5298499A" w14:textId="77777777" w:rsidR="00AF5123" w:rsidRPr="00A210E1" w:rsidRDefault="00AF5123" w:rsidP="00AF5123">
            <w:pPr>
              <w:jc w:val="both"/>
              <w:rPr>
                <w:rFonts w:ascii="Arial" w:eastAsia="Calibri" w:hAnsi="Arial" w:cs="Arial"/>
                <w:color w:val="00435B"/>
              </w:rPr>
            </w:pPr>
            <w:r w:rsidRPr="00A210E1">
              <w:rPr>
                <w:rFonts w:ascii="Arial" w:eastAsia="Calibri" w:hAnsi="Arial" w:cs="Arial"/>
                <w:b/>
                <w:bCs/>
                <w:color w:val="00435B"/>
              </w:rPr>
              <w:t>The provisions of Regulation (EU) 2022/576 of the Council of the European Union, adopted on April 8, 2022 (hereinafter referred to as the Regulation), apply directly to this procurement, prohibiting the awarding or continuation of any public contracts and concession contracts covered by the public procurement directives, as well as Articles 10(1) and 10(3), 6(a–e), 8, 9, and 10, 11, 12, 13, and 14 of Directive 2014/23/EU, Articles 7 and 8, 10(b–f and h–j) of Directive 2014/24/EU, Article 18 of Directive 2014/25/EU, Articles 21(b–e and g–i), Articles 29 and 30 of Directive 2009/81/EC, in relation to:</w:t>
            </w:r>
          </w:p>
          <w:p w14:paraId="374C7209" w14:textId="77777777" w:rsidR="00AF5123" w:rsidRPr="00A210E1" w:rsidRDefault="00AF5123" w:rsidP="00AF5123">
            <w:pPr>
              <w:jc w:val="both"/>
              <w:rPr>
                <w:rFonts w:ascii="Arial" w:eastAsia="Calibri" w:hAnsi="Arial" w:cs="Arial"/>
                <w:color w:val="00435B"/>
              </w:rPr>
            </w:pPr>
            <w:r w:rsidRPr="00A210E1">
              <w:rPr>
                <w:rFonts w:ascii="Arial" w:eastAsia="Calibri" w:hAnsi="Arial" w:cs="Arial"/>
                <w:color w:val="00435B"/>
              </w:rPr>
              <w:t>a) A Russian citizen, natural or legal person, entity, or organization established in Russia;</w:t>
            </w:r>
          </w:p>
          <w:p w14:paraId="0ABF9BFD" w14:textId="77777777" w:rsidR="00AF5123" w:rsidRPr="00A210E1" w:rsidRDefault="00AF5123" w:rsidP="00AF5123">
            <w:pPr>
              <w:jc w:val="both"/>
              <w:rPr>
                <w:rFonts w:ascii="Arial" w:eastAsia="Calibri" w:hAnsi="Arial" w:cs="Arial"/>
                <w:color w:val="00435B"/>
              </w:rPr>
            </w:pPr>
            <w:r w:rsidRPr="00A210E1">
              <w:rPr>
                <w:rFonts w:ascii="Arial" w:eastAsia="Calibri" w:hAnsi="Arial" w:cs="Arial"/>
                <w:color w:val="00435B"/>
              </w:rPr>
              <w:t>b) A legal person, entity, or organization in which more than 50% of the ownership rights, directly or indirectly, belong to the entity referred to in point (a), or</w:t>
            </w:r>
          </w:p>
          <w:p w14:paraId="73CFEEC8" w14:textId="77777777" w:rsidR="00AF5123" w:rsidRPr="00A210E1" w:rsidRDefault="00AF5123" w:rsidP="00AF5123">
            <w:pPr>
              <w:jc w:val="both"/>
              <w:rPr>
                <w:rFonts w:ascii="Arial" w:eastAsia="Calibri" w:hAnsi="Arial" w:cs="Arial"/>
                <w:color w:val="00435B"/>
              </w:rPr>
            </w:pPr>
            <w:r w:rsidRPr="00A210E1">
              <w:rPr>
                <w:rFonts w:ascii="Arial" w:eastAsia="Calibri" w:hAnsi="Arial" w:cs="Arial"/>
                <w:color w:val="00435B"/>
              </w:rPr>
              <w:t>c) A natural or legal person, entity, or organization acting on behalf of or under the instruction of the entity referred to in point (a) or (b), including in cases where they are entitled to 10% of the contract value, with subcontractors, suppliers, or entities whose capabilities are relied upon, as specified in the public procurement directives.</w:t>
            </w:r>
          </w:p>
          <w:p w14:paraId="5A3AD6F5" w14:textId="199AFCEE" w:rsidR="00242AA0" w:rsidRPr="00A210E1" w:rsidRDefault="00242AA0" w:rsidP="00886CC9">
            <w:pPr>
              <w:jc w:val="both"/>
              <w:rPr>
                <w:rFonts w:ascii="Arial" w:eastAsia="Calibri" w:hAnsi="Arial" w:cs="Arial"/>
                <w:color w:val="00435B"/>
                <w:highlight w:val="yellow"/>
                <w:lang w:eastAsia="lt-LT"/>
              </w:rPr>
            </w:pPr>
          </w:p>
        </w:tc>
        <w:tc>
          <w:tcPr>
            <w:tcW w:w="4580" w:type="dxa"/>
          </w:tcPr>
          <w:p w14:paraId="0BF3D24B" w14:textId="13EF089C" w:rsidR="00D30734" w:rsidRPr="00A210E1" w:rsidRDefault="00D30734" w:rsidP="00D30734">
            <w:pPr>
              <w:jc w:val="both"/>
              <w:rPr>
                <w:rFonts w:ascii="Arial" w:eastAsia="Calibri" w:hAnsi="Arial" w:cs="Arial"/>
                <w:color w:val="00435B"/>
              </w:rPr>
            </w:pPr>
            <w:r w:rsidRPr="00A210E1">
              <w:rPr>
                <w:rFonts w:ascii="Arial" w:eastAsia="Calibri" w:hAnsi="Arial" w:cs="Arial"/>
                <w:b/>
                <w:bCs/>
                <w:color w:val="00435B"/>
              </w:rPr>
              <w:t xml:space="preserve">The Supplier’s </w:t>
            </w:r>
            <w:r w:rsidR="00AF5123" w:rsidRPr="00A210E1">
              <w:rPr>
                <w:rFonts w:ascii="Arial" w:eastAsia="Calibri" w:hAnsi="Arial" w:cs="Arial"/>
                <w:b/>
                <w:bCs/>
                <w:color w:val="00435B"/>
              </w:rPr>
              <w:t>Tender</w:t>
            </w:r>
            <w:r w:rsidRPr="00A210E1">
              <w:rPr>
                <w:rFonts w:ascii="Arial" w:eastAsia="Calibri" w:hAnsi="Arial" w:cs="Arial"/>
                <w:b/>
                <w:bCs/>
                <w:color w:val="00435B"/>
              </w:rPr>
              <w:t xml:space="preserve"> must be accompanied by a declaration regarding the provisions set out in Regulation (EU) 2022/576 of the Council of the European Union, adopted on April 8, 2022 (Annex 8 of the Special Procurement </w:t>
            </w:r>
            <w:r w:rsidR="00AF5123" w:rsidRPr="00A210E1">
              <w:rPr>
                <w:rFonts w:ascii="Arial" w:eastAsia="Calibri" w:hAnsi="Arial" w:cs="Arial"/>
                <w:b/>
                <w:bCs/>
                <w:color w:val="00435B"/>
              </w:rPr>
              <w:t>Terms</w:t>
            </w:r>
            <w:r w:rsidRPr="00A210E1">
              <w:rPr>
                <w:rFonts w:ascii="Arial" w:eastAsia="Calibri" w:hAnsi="Arial" w:cs="Arial"/>
                <w:b/>
                <w:bCs/>
                <w:color w:val="00435B"/>
              </w:rPr>
              <w:t>).</w:t>
            </w:r>
          </w:p>
          <w:p w14:paraId="23D742AB" w14:textId="77777777" w:rsidR="00D30734" w:rsidRPr="00A210E1" w:rsidRDefault="00D30734" w:rsidP="00D30734">
            <w:pPr>
              <w:jc w:val="both"/>
              <w:rPr>
                <w:rFonts w:ascii="Arial" w:eastAsia="Calibri" w:hAnsi="Arial" w:cs="Arial"/>
                <w:color w:val="00435B"/>
              </w:rPr>
            </w:pPr>
            <w:r w:rsidRPr="00A210E1">
              <w:rPr>
                <w:rFonts w:ascii="Arial" w:eastAsia="Calibri" w:hAnsi="Arial" w:cs="Arial"/>
                <w:color w:val="00435B"/>
              </w:rPr>
              <w:t>Documents verifying compliance with the requirements shall only be requested if there is a reasonable suspicion that the Supplier (potential awardee) does not meet the relevant requirement. In such cases, the required documents must have been issued no earlier than 3 months prior to the date on which the Supplier (potential awardee) is to submit the requested documentation. The following documents must be submitted: the founding documents of the Supplier, its subcontractor, any economic operator whose capacities are relied upon (if applicable), or the controlling legal person; an extended extract from the Register of Legal Entities, including historical data; an extract from the Legal Entities Participants Information System, or equivalent documents issued by the relevant Member State or third country.</w:t>
            </w:r>
          </w:p>
          <w:p w14:paraId="14254F2C" w14:textId="77777777" w:rsidR="00D30734" w:rsidRPr="00A210E1" w:rsidRDefault="00D30734" w:rsidP="00D30734">
            <w:pPr>
              <w:jc w:val="both"/>
              <w:rPr>
                <w:rFonts w:ascii="Arial" w:eastAsia="Calibri" w:hAnsi="Arial" w:cs="Arial"/>
                <w:color w:val="00435B"/>
              </w:rPr>
            </w:pPr>
            <w:r w:rsidRPr="00A210E1">
              <w:rPr>
                <w:rFonts w:ascii="Arial" w:eastAsia="Calibri" w:hAnsi="Arial" w:cs="Arial"/>
                <w:color w:val="00435B"/>
              </w:rPr>
              <w:t>The Contracting Authority may, during the course of the procurement process, request data as specified in Article 51(12) of the Public Procurement Law (VPĮ) from the potential awardee (and, if necessary, from other Suppliers), to the extent and at such time as required to ensure proper enforcement of the prohibitions established by the Regulation.</w:t>
            </w:r>
          </w:p>
          <w:p w14:paraId="765B1589" w14:textId="77777777" w:rsidR="00D30734" w:rsidRPr="00A210E1" w:rsidRDefault="00D30734" w:rsidP="00D30734">
            <w:pPr>
              <w:jc w:val="both"/>
              <w:rPr>
                <w:rFonts w:ascii="Arial" w:eastAsia="Calibri" w:hAnsi="Arial" w:cs="Arial"/>
                <w:color w:val="00435B"/>
              </w:rPr>
            </w:pPr>
            <w:r w:rsidRPr="00A210E1">
              <w:rPr>
                <w:rFonts w:ascii="Arial" w:eastAsia="Calibri" w:hAnsi="Arial" w:cs="Arial"/>
                <w:color w:val="00435B"/>
              </w:rPr>
              <w:lastRenderedPageBreak/>
              <w:t>In the event that the Contracting Authority identifies that the Supplier’s subcontractor or economic operator upon whose capacities the Supplier relies is subject to the restrictions outlined in Article 5(k) of the Regulation, the Supplier will be required to replace said subcontractor or economic operator with another that complies with the requirements of the Procurement Conditions.</w:t>
            </w:r>
          </w:p>
          <w:p w14:paraId="74E3AC85" w14:textId="7CA974D4" w:rsidR="00242AA0" w:rsidRPr="00A210E1" w:rsidRDefault="00242AA0" w:rsidP="00886CC9">
            <w:pPr>
              <w:jc w:val="both"/>
              <w:rPr>
                <w:rFonts w:ascii="Arial" w:eastAsia="Calibri" w:hAnsi="Arial" w:cs="Arial"/>
                <w:color w:val="00435B"/>
              </w:rPr>
            </w:pPr>
          </w:p>
        </w:tc>
      </w:tr>
    </w:tbl>
    <w:p w14:paraId="1689E3E1" w14:textId="77777777" w:rsidR="00ED1111" w:rsidRPr="00A210E1" w:rsidRDefault="00ED1111" w:rsidP="007872CB">
      <w:pPr>
        <w:spacing w:after="0" w:line="240" w:lineRule="auto"/>
        <w:ind w:firstLine="567"/>
        <w:jc w:val="both"/>
        <w:rPr>
          <w:rFonts w:ascii="Arial" w:hAnsi="Arial" w:cs="Arial"/>
          <w:color w:val="000000" w:themeColor="text1"/>
          <w:sz w:val="20"/>
          <w:szCs w:val="20"/>
        </w:rPr>
      </w:pPr>
    </w:p>
    <w:p w14:paraId="389B478F" w14:textId="25547CAC" w:rsidR="004716E0" w:rsidRPr="00A210E1" w:rsidRDefault="00D24970" w:rsidP="004716E0">
      <w:pPr>
        <w:spacing w:after="0" w:line="240" w:lineRule="auto"/>
        <w:ind w:firstLine="567"/>
        <w:jc w:val="both"/>
        <w:rPr>
          <w:rFonts w:ascii="Arial" w:hAnsi="Arial" w:cs="Arial"/>
          <w:color w:val="00435B"/>
          <w:sz w:val="20"/>
          <w:szCs w:val="20"/>
        </w:rPr>
      </w:pPr>
      <w:r w:rsidRPr="00A210E1">
        <w:rPr>
          <w:rFonts w:ascii="Arial" w:hAnsi="Arial" w:cs="Arial"/>
          <w:color w:val="00435B"/>
          <w:sz w:val="20"/>
          <w:szCs w:val="20"/>
        </w:rPr>
        <w:t xml:space="preserve">5.2. </w:t>
      </w:r>
      <w:r w:rsidR="004716E0" w:rsidRPr="00A210E1">
        <w:rPr>
          <w:rFonts w:ascii="Arial" w:hAnsi="Arial" w:cs="Arial"/>
          <w:color w:val="00435B"/>
          <w:sz w:val="20"/>
          <w:szCs w:val="20"/>
        </w:rPr>
        <w:t xml:space="preserve">The requirement set out in point 5.1.1 of the </w:t>
      </w:r>
      <w:r w:rsidR="00BE3A4E" w:rsidRPr="00A210E1">
        <w:rPr>
          <w:rFonts w:ascii="Arial" w:hAnsi="Arial" w:cs="Arial"/>
          <w:color w:val="00435B"/>
          <w:sz w:val="20"/>
          <w:szCs w:val="20"/>
        </w:rPr>
        <w:t>Terms</w:t>
      </w:r>
      <w:r w:rsidR="004716E0" w:rsidRPr="00A210E1">
        <w:rPr>
          <w:rFonts w:ascii="Arial" w:hAnsi="Arial" w:cs="Arial"/>
          <w:color w:val="00435B"/>
          <w:sz w:val="20"/>
          <w:szCs w:val="20"/>
        </w:rPr>
        <w:t xml:space="preserve"> of </w:t>
      </w:r>
      <w:r w:rsidR="00D11F6A" w:rsidRPr="00A210E1">
        <w:rPr>
          <w:rFonts w:ascii="Arial" w:hAnsi="Arial" w:cs="Arial"/>
          <w:color w:val="00435B"/>
          <w:sz w:val="20"/>
          <w:szCs w:val="20"/>
        </w:rPr>
        <w:t>Procurement</w:t>
      </w:r>
      <w:r w:rsidR="004716E0" w:rsidRPr="00A210E1">
        <w:rPr>
          <w:rFonts w:ascii="Arial" w:hAnsi="Arial" w:cs="Arial"/>
          <w:color w:val="00435B"/>
          <w:sz w:val="20"/>
          <w:szCs w:val="20"/>
        </w:rPr>
        <w:t xml:space="preserve"> concerning the provisions of the Regulation must be met by each member of the group of suppliers to be awarded the contract, by each of the sub-suppliers and by any other economic operator on whose behalf the supplier relies, and by the persons who control them. If the contracting authority finds that a subcontractor or an entity whose capacities are relied upon by the supplier does not comply with the requirements set out in point 5.1 (i.e. poses a threat to national security), it will require the supplier to replace them with other entities that comply with the requirements of the </w:t>
      </w:r>
      <w:r w:rsidR="007A4358" w:rsidRPr="00A210E1">
        <w:rPr>
          <w:rFonts w:ascii="Arial" w:hAnsi="Arial" w:cs="Arial"/>
          <w:color w:val="00435B"/>
          <w:sz w:val="20"/>
          <w:szCs w:val="20"/>
        </w:rPr>
        <w:t xml:space="preserve">Terms </w:t>
      </w:r>
      <w:r w:rsidR="00D11F6A" w:rsidRPr="00A210E1">
        <w:rPr>
          <w:rFonts w:ascii="Arial" w:hAnsi="Arial" w:cs="Arial"/>
          <w:color w:val="00435B"/>
          <w:sz w:val="20"/>
          <w:szCs w:val="20"/>
        </w:rPr>
        <w:t xml:space="preserve">of </w:t>
      </w:r>
      <w:r w:rsidR="004F5A61" w:rsidRPr="00A210E1">
        <w:rPr>
          <w:rFonts w:ascii="Arial" w:hAnsi="Arial" w:cs="Arial"/>
          <w:color w:val="00435B"/>
          <w:sz w:val="20"/>
          <w:szCs w:val="20"/>
        </w:rPr>
        <w:t>Procurement</w:t>
      </w:r>
      <w:r w:rsidR="004716E0" w:rsidRPr="00A210E1">
        <w:rPr>
          <w:rFonts w:ascii="Arial" w:hAnsi="Arial" w:cs="Arial"/>
          <w:color w:val="00435B"/>
          <w:sz w:val="20"/>
          <w:szCs w:val="20"/>
        </w:rPr>
        <w:t>.</w:t>
      </w:r>
    </w:p>
    <w:p w14:paraId="4BEDE7AF" w14:textId="457E0FAE" w:rsidR="00AF62E6" w:rsidRPr="00A210E1" w:rsidRDefault="00245E8F" w:rsidP="00142AB7">
      <w:pPr>
        <w:pStyle w:val="Antrat1"/>
        <w:spacing w:line="20" w:lineRule="atLeast"/>
        <w:contextualSpacing/>
        <w:rPr>
          <w:rFonts w:ascii="Arial" w:hAnsi="Arial" w:cs="Arial"/>
          <w:color w:val="00435B"/>
        </w:rPr>
      </w:pPr>
      <w:bookmarkStart w:id="15" w:name="_Ref39666794"/>
      <w:bookmarkStart w:id="16" w:name="_Ref39666796"/>
      <w:bookmarkStart w:id="17" w:name="_Toc203389845"/>
      <w:r w:rsidRPr="00A210E1">
        <w:rPr>
          <w:rFonts w:ascii="Arial" w:hAnsi="Arial" w:cs="Arial"/>
          <w:color w:val="00435B"/>
        </w:rPr>
        <w:t>6. Special Requirements for the Preparation and Submission of Tenders</w:t>
      </w:r>
      <w:bookmarkEnd w:id="15"/>
      <w:bookmarkEnd w:id="16"/>
      <w:bookmarkEnd w:id="17"/>
    </w:p>
    <w:p w14:paraId="3D47F821" w14:textId="0B81F35C" w:rsidR="00EF5623" w:rsidRPr="00A210E1" w:rsidRDefault="00192AF9" w:rsidP="00C0448D">
      <w:pPr>
        <w:tabs>
          <w:tab w:val="left" w:pos="993"/>
        </w:tabs>
        <w:spacing w:after="0" w:line="20" w:lineRule="atLeast"/>
        <w:ind w:firstLine="567"/>
        <w:jc w:val="both"/>
        <w:rPr>
          <w:rFonts w:ascii="Arial" w:hAnsi="Arial" w:cs="Arial"/>
          <w:i/>
          <w:iCs/>
          <w:color w:val="00435B"/>
          <w:sz w:val="20"/>
          <w:szCs w:val="20"/>
        </w:rPr>
      </w:pPr>
      <w:r w:rsidRPr="00A210E1">
        <w:rPr>
          <w:rFonts w:ascii="Arial" w:hAnsi="Arial" w:cs="Arial"/>
          <w:color w:val="00435B"/>
          <w:sz w:val="20"/>
          <w:szCs w:val="20"/>
        </w:rPr>
        <w:t>6.1. A supplier’s tender shall consist of a set of documents listed below to be submitted via the C</w:t>
      </w:r>
      <w:r w:rsidR="007304CD" w:rsidRPr="00A210E1">
        <w:rPr>
          <w:rFonts w:ascii="Arial" w:hAnsi="Arial" w:cs="Arial"/>
          <w:color w:val="00435B"/>
          <w:sz w:val="20"/>
          <w:szCs w:val="20"/>
        </w:rPr>
        <w:t>P</w:t>
      </w:r>
      <w:r w:rsidRPr="00A210E1">
        <w:rPr>
          <w:rFonts w:ascii="Arial" w:hAnsi="Arial" w:cs="Arial"/>
          <w:color w:val="00435B"/>
          <w:sz w:val="20"/>
          <w:szCs w:val="20"/>
        </w:rPr>
        <w:t>P IS:</w:t>
      </w:r>
    </w:p>
    <w:p w14:paraId="0B17BEF7" w14:textId="650CEF16" w:rsidR="00FF12F1" w:rsidRPr="00A210E1" w:rsidRDefault="003F0DA7"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u w:val="single"/>
        </w:rPr>
      </w:pPr>
      <w:r w:rsidRPr="00A210E1">
        <w:rPr>
          <w:rFonts w:ascii="Arial" w:hAnsi="Arial" w:cs="Arial"/>
          <w:color w:val="00435B"/>
          <w:sz w:val="20"/>
          <w:szCs w:val="20"/>
        </w:rPr>
        <w:t xml:space="preserve">a tender signed by the supplier in accordance with the form of the tender set out in Annex </w:t>
      </w:r>
      <w:r w:rsidR="00D005C1" w:rsidRPr="00A210E1">
        <w:rPr>
          <w:rFonts w:ascii="Arial" w:hAnsi="Arial" w:cs="Arial"/>
          <w:color w:val="00435B"/>
          <w:sz w:val="20"/>
          <w:szCs w:val="20"/>
        </w:rPr>
        <w:t>5</w:t>
      </w:r>
      <w:r w:rsidRPr="00A210E1">
        <w:rPr>
          <w:rFonts w:ascii="Arial" w:hAnsi="Arial" w:cs="Arial"/>
          <w:color w:val="00435B"/>
          <w:sz w:val="20"/>
          <w:szCs w:val="20"/>
        </w:rPr>
        <w:t xml:space="preserve"> to the special terms of procurement.</w:t>
      </w:r>
    </w:p>
    <w:p w14:paraId="3459FD0B" w14:textId="247EA58E" w:rsidR="009C1155" w:rsidRPr="00A210E1" w:rsidRDefault="009C1155"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u w:val="single"/>
        </w:rPr>
      </w:pPr>
      <w:r w:rsidRPr="00A210E1">
        <w:rPr>
          <w:rFonts w:ascii="Arial" w:hAnsi="Arial" w:cs="Arial"/>
          <w:color w:val="00435B"/>
          <w:sz w:val="20"/>
          <w:szCs w:val="20"/>
        </w:rPr>
        <w:t xml:space="preserve">a completed ESPD (Annex </w:t>
      </w:r>
      <w:r w:rsidR="00D005C1" w:rsidRPr="00A210E1">
        <w:rPr>
          <w:rFonts w:ascii="Arial" w:hAnsi="Arial" w:cs="Arial"/>
          <w:color w:val="00435B"/>
          <w:sz w:val="20"/>
          <w:szCs w:val="20"/>
        </w:rPr>
        <w:t>4</w:t>
      </w:r>
      <w:r w:rsidRPr="00A210E1">
        <w:rPr>
          <w:rFonts w:ascii="Arial" w:hAnsi="Arial" w:cs="Arial"/>
          <w:color w:val="00435B"/>
          <w:sz w:val="20"/>
          <w:szCs w:val="20"/>
        </w:rPr>
        <w:t xml:space="preserve"> to the </w:t>
      </w:r>
      <w:r w:rsidR="00EC024A" w:rsidRPr="00A210E1">
        <w:rPr>
          <w:rFonts w:ascii="Arial" w:hAnsi="Arial" w:cs="Arial"/>
          <w:color w:val="00435B"/>
          <w:sz w:val="20"/>
          <w:szCs w:val="20"/>
        </w:rPr>
        <w:t>S</w:t>
      </w:r>
      <w:r w:rsidRPr="00A210E1">
        <w:rPr>
          <w:rFonts w:ascii="Arial" w:hAnsi="Arial" w:cs="Arial"/>
          <w:color w:val="00435B"/>
          <w:sz w:val="20"/>
          <w:szCs w:val="20"/>
        </w:rPr>
        <w:t xml:space="preserve">pecial </w:t>
      </w:r>
      <w:r w:rsidR="00EC024A" w:rsidRPr="00A210E1">
        <w:rPr>
          <w:rFonts w:ascii="Arial" w:hAnsi="Arial" w:cs="Arial"/>
          <w:color w:val="00435B"/>
          <w:sz w:val="20"/>
          <w:szCs w:val="20"/>
        </w:rPr>
        <w:t>T</w:t>
      </w:r>
      <w:r w:rsidRPr="00A210E1">
        <w:rPr>
          <w:rFonts w:ascii="Arial" w:hAnsi="Arial" w:cs="Arial"/>
          <w:color w:val="00435B"/>
          <w:sz w:val="20"/>
          <w:szCs w:val="20"/>
        </w:rPr>
        <w:t xml:space="preserve">erms of </w:t>
      </w:r>
      <w:r w:rsidR="00EC024A" w:rsidRPr="00A210E1">
        <w:rPr>
          <w:rFonts w:ascii="Arial" w:hAnsi="Arial" w:cs="Arial"/>
          <w:color w:val="00435B"/>
          <w:sz w:val="20"/>
          <w:szCs w:val="20"/>
        </w:rPr>
        <w:t>P</w:t>
      </w:r>
      <w:r w:rsidRPr="00A210E1">
        <w:rPr>
          <w:rFonts w:ascii="Arial" w:hAnsi="Arial" w:cs="Arial"/>
          <w:color w:val="00435B"/>
          <w:sz w:val="20"/>
          <w:szCs w:val="20"/>
        </w:rPr>
        <w:t>rocurement). By signing the tender, the supplier also certifies the authenticity of the ESPD;</w:t>
      </w:r>
    </w:p>
    <w:p w14:paraId="021CA68F" w14:textId="346D8E49" w:rsidR="007C1C57" w:rsidRPr="00A210E1" w:rsidRDefault="000C55D6"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u w:val="single"/>
        </w:rPr>
      </w:pPr>
      <w:r w:rsidRPr="00A210E1">
        <w:rPr>
          <w:rFonts w:ascii="Arial" w:hAnsi="Arial" w:cs="Arial"/>
          <w:color w:val="00435B"/>
          <w:sz w:val="20"/>
          <w:szCs w:val="20"/>
        </w:rPr>
        <w:t>a copy of the joint venture agreement (where a group of economic entities operating on the basis of a joint venture agreement participated in the procurement);</w:t>
      </w:r>
    </w:p>
    <w:p w14:paraId="50A0B33A" w14:textId="0A1B61EF" w:rsidR="006D0EC0" w:rsidRPr="00A210E1" w:rsidRDefault="006D0EC0"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u w:val="single"/>
        </w:rPr>
      </w:pPr>
      <w:r w:rsidRPr="00A210E1">
        <w:rPr>
          <w:rFonts w:ascii="Arial" w:hAnsi="Arial" w:cs="Arial"/>
          <w:color w:val="00435B"/>
          <w:sz w:val="20"/>
          <w:szCs w:val="20"/>
        </w:rPr>
        <w:t>a document certifying that the person who signed the tender (if other than the supplier’s manager) was authorised to sign it;</w:t>
      </w:r>
    </w:p>
    <w:p w14:paraId="0A4D1BFD" w14:textId="49AC2395" w:rsidR="00450415" w:rsidRPr="00A210E1" w:rsidRDefault="00450415"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u w:val="single"/>
        </w:rPr>
      </w:pPr>
      <w:r w:rsidRPr="00A210E1">
        <w:rPr>
          <w:rFonts w:ascii="Arial" w:hAnsi="Arial" w:cs="Arial"/>
          <w:color w:val="00435B"/>
          <w:sz w:val="20"/>
          <w:szCs w:val="20"/>
        </w:rPr>
        <w:t>where a supplier uses sub-suppliers, a sub-supplier’s declaration or any other document confirming its agreement to be a sub-supplier in the procurement;</w:t>
      </w:r>
    </w:p>
    <w:p w14:paraId="41C775F1" w14:textId="6F15D27F" w:rsidR="008115DC" w:rsidRPr="00A210E1" w:rsidRDefault="008115DC"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 xml:space="preserve">signed </w:t>
      </w:r>
      <w:r w:rsidR="005C199C" w:rsidRPr="00A210E1">
        <w:rPr>
          <w:rFonts w:ascii="Arial" w:hAnsi="Arial" w:cs="Arial"/>
          <w:color w:val="00435B"/>
          <w:sz w:val="20"/>
          <w:szCs w:val="20"/>
        </w:rPr>
        <w:t xml:space="preserve">Supplier's declaration </w:t>
      </w:r>
      <w:r w:rsidR="004551F2" w:rsidRPr="00A210E1">
        <w:rPr>
          <w:rFonts w:ascii="Arial" w:hAnsi="Arial" w:cs="Arial"/>
          <w:color w:val="00435B"/>
          <w:sz w:val="20"/>
          <w:szCs w:val="20"/>
        </w:rPr>
        <w:t>(Annex 7</w:t>
      </w:r>
      <w:r w:rsidR="008C4D97" w:rsidRPr="00A210E1">
        <w:rPr>
          <w:rFonts w:ascii="Arial" w:hAnsi="Arial" w:cs="Arial"/>
          <w:color w:val="00435B"/>
          <w:sz w:val="20"/>
          <w:szCs w:val="20"/>
        </w:rPr>
        <w:t xml:space="preserve"> of the Special Terms of Procurement</w:t>
      </w:r>
      <w:r w:rsidR="004551F2" w:rsidRPr="00A210E1">
        <w:rPr>
          <w:rFonts w:ascii="Arial" w:hAnsi="Arial" w:cs="Arial"/>
          <w:color w:val="00435B"/>
          <w:sz w:val="20"/>
          <w:szCs w:val="20"/>
        </w:rPr>
        <w:t>)</w:t>
      </w:r>
      <w:r w:rsidR="008C4D97" w:rsidRPr="00A210E1">
        <w:rPr>
          <w:rFonts w:ascii="Arial" w:hAnsi="Arial" w:cs="Arial"/>
          <w:color w:val="00435B"/>
          <w:sz w:val="20"/>
          <w:szCs w:val="20"/>
        </w:rPr>
        <w:t>;</w:t>
      </w:r>
    </w:p>
    <w:p w14:paraId="55CB62E4" w14:textId="56217337" w:rsidR="00EB6532" w:rsidRPr="00A210E1" w:rsidRDefault="00EB6532" w:rsidP="00C0448D">
      <w:pPr>
        <w:pStyle w:val="Sraopastraipa"/>
        <w:numPr>
          <w:ilvl w:val="2"/>
          <w:numId w:val="8"/>
        </w:numPr>
        <w:tabs>
          <w:tab w:val="left" w:pos="993"/>
          <w:tab w:val="left" w:pos="1134"/>
        </w:tabs>
        <w:spacing w:after="0" w:line="240" w:lineRule="auto"/>
        <w:ind w:left="0" w:firstLine="567"/>
        <w:jc w:val="both"/>
        <w:rPr>
          <w:rFonts w:ascii="Arial" w:hAnsi="Arial" w:cs="Arial"/>
          <w:color w:val="00435B"/>
          <w:sz w:val="20"/>
          <w:szCs w:val="20"/>
          <w:u w:val="single"/>
        </w:rPr>
      </w:pPr>
      <w:r w:rsidRPr="00A210E1">
        <w:rPr>
          <w:rFonts w:ascii="Arial" w:hAnsi="Arial" w:cs="Arial"/>
          <w:color w:val="00435B"/>
          <w:sz w:val="20"/>
          <w:szCs w:val="20"/>
        </w:rPr>
        <w:t xml:space="preserve">completed and signed Declaration of Conformity </w:t>
      </w:r>
      <w:r w:rsidR="00EC024A" w:rsidRPr="00A210E1">
        <w:rPr>
          <w:rFonts w:ascii="Arial" w:hAnsi="Arial" w:cs="Arial"/>
          <w:color w:val="00435B"/>
          <w:sz w:val="20"/>
          <w:szCs w:val="20"/>
        </w:rPr>
        <w:t>to</w:t>
      </w:r>
      <w:r w:rsidRPr="00A210E1">
        <w:rPr>
          <w:rFonts w:ascii="Arial" w:hAnsi="Arial" w:cs="Arial"/>
          <w:color w:val="00435B"/>
          <w:sz w:val="20"/>
          <w:szCs w:val="20"/>
        </w:rPr>
        <w:t xml:space="preserve"> the Technical Specification (Annex 9 of the Special</w:t>
      </w:r>
      <w:r w:rsidR="00EC024A" w:rsidRPr="00A210E1">
        <w:rPr>
          <w:rFonts w:ascii="Arial" w:hAnsi="Arial" w:cs="Arial"/>
          <w:color w:val="00435B"/>
          <w:sz w:val="20"/>
          <w:szCs w:val="20"/>
        </w:rPr>
        <w:t xml:space="preserve"> Terms of</w:t>
      </w:r>
      <w:r w:rsidRPr="00A210E1">
        <w:rPr>
          <w:rFonts w:ascii="Arial" w:hAnsi="Arial" w:cs="Arial"/>
          <w:color w:val="00435B"/>
          <w:sz w:val="20"/>
          <w:szCs w:val="20"/>
        </w:rPr>
        <w:t xml:space="preserve"> Procurement)</w:t>
      </w:r>
      <w:r w:rsidR="00E903BF" w:rsidRPr="00A210E1">
        <w:rPr>
          <w:rFonts w:ascii="Arial" w:hAnsi="Arial" w:cs="Arial"/>
          <w:color w:val="00435B"/>
          <w:sz w:val="20"/>
          <w:szCs w:val="20"/>
        </w:rPr>
        <w:t>.</w:t>
      </w:r>
    </w:p>
    <w:p w14:paraId="479B3B42" w14:textId="7BB7B943" w:rsidR="00FD03FA" w:rsidRPr="00A210E1" w:rsidRDefault="00C7179F" w:rsidP="00C0448D">
      <w:pPr>
        <w:tabs>
          <w:tab w:val="left" w:pos="993"/>
        </w:tabs>
        <w:spacing w:after="0" w:line="240" w:lineRule="auto"/>
        <w:ind w:firstLine="567"/>
        <w:jc w:val="both"/>
        <w:rPr>
          <w:rFonts w:ascii="Arial" w:hAnsi="Arial" w:cs="Arial"/>
          <w:color w:val="00435B"/>
          <w:sz w:val="20"/>
          <w:szCs w:val="20"/>
        </w:rPr>
      </w:pPr>
      <w:r w:rsidRPr="00A210E1">
        <w:rPr>
          <w:rFonts w:ascii="Arial" w:hAnsi="Arial" w:cs="Arial"/>
          <w:color w:val="00435B"/>
          <w:sz w:val="20"/>
          <w:szCs w:val="20"/>
        </w:rPr>
        <w:t>6.2.</w:t>
      </w:r>
      <w:r w:rsidR="00D005C1" w:rsidRPr="00A210E1">
        <w:rPr>
          <w:rFonts w:ascii="Arial" w:hAnsi="Arial" w:cs="Arial"/>
          <w:color w:val="00435B"/>
          <w:sz w:val="20"/>
          <w:szCs w:val="20"/>
        </w:rPr>
        <w:t xml:space="preserve"> </w:t>
      </w:r>
      <w:r w:rsidR="00BD41D7" w:rsidRPr="00A210E1">
        <w:rPr>
          <w:rFonts w:ascii="Arial" w:hAnsi="Arial" w:cs="Arial"/>
          <w:color w:val="00435B"/>
          <w:sz w:val="20"/>
          <w:szCs w:val="20"/>
        </w:rPr>
        <w:t>A tender may be signed with a physical signature or with a qualified electronic signature. If a supplier approves documents by means of an electronic signature rather than a physical signature, the electronic signature must comply with the requirements set out in PPL Article 22(11) (2) and (3). Where the contracting authority has doubts as to the authenticity of documents, it shall be entitled to require the original documents. The following may be submitted:</w:t>
      </w:r>
    </w:p>
    <w:p w14:paraId="293D3908" w14:textId="209C8C23" w:rsidR="00FD03FA" w:rsidRPr="00A210E1" w:rsidRDefault="00C7179F" w:rsidP="00C0448D">
      <w:pPr>
        <w:pStyle w:val="Sraopastraipa"/>
        <w:numPr>
          <w:ilvl w:val="2"/>
          <w:numId w:val="19"/>
        </w:numPr>
        <w:tabs>
          <w:tab w:val="left" w:pos="993"/>
          <w:tab w:val="left" w:pos="1134"/>
        </w:tabs>
        <w:spacing w:after="0" w:line="240" w:lineRule="auto"/>
        <w:ind w:left="0" w:firstLine="567"/>
        <w:jc w:val="both"/>
        <w:rPr>
          <w:rFonts w:ascii="Arial" w:hAnsi="Arial" w:cs="Arial"/>
          <w:bCs/>
          <w:iCs/>
          <w:color w:val="00435B"/>
          <w:sz w:val="20"/>
          <w:szCs w:val="20"/>
          <w:u w:val="single"/>
        </w:rPr>
      </w:pPr>
      <w:r w:rsidRPr="00A210E1">
        <w:rPr>
          <w:rFonts w:ascii="Arial" w:hAnsi="Arial" w:cs="Arial"/>
          <w:color w:val="00435B"/>
          <w:sz w:val="20"/>
          <w:szCs w:val="20"/>
        </w:rPr>
        <w:t>documents created by electronic means and signed with a qualified electronic signature;</w:t>
      </w:r>
    </w:p>
    <w:p w14:paraId="2550ADBB" w14:textId="77777777" w:rsidR="00F8582E" w:rsidRPr="00A210E1" w:rsidRDefault="00FD03FA" w:rsidP="00C0448D">
      <w:pPr>
        <w:pStyle w:val="Sraopastraipa"/>
        <w:numPr>
          <w:ilvl w:val="2"/>
          <w:numId w:val="13"/>
        </w:numPr>
        <w:tabs>
          <w:tab w:val="left" w:pos="993"/>
          <w:tab w:val="left" w:pos="1134"/>
          <w:tab w:val="left" w:pos="1418"/>
        </w:tabs>
        <w:spacing w:after="0" w:line="240" w:lineRule="auto"/>
        <w:ind w:left="0" w:firstLine="567"/>
        <w:jc w:val="both"/>
        <w:rPr>
          <w:rFonts w:ascii="Arial" w:hAnsi="Arial" w:cs="Arial"/>
          <w:bCs/>
          <w:iCs/>
          <w:color w:val="00435B"/>
          <w:sz w:val="20"/>
          <w:szCs w:val="20"/>
        </w:rPr>
      </w:pPr>
      <w:r w:rsidRPr="00A210E1">
        <w:rPr>
          <w:rFonts w:ascii="Arial" w:hAnsi="Arial" w:cs="Arial"/>
          <w:color w:val="00435B"/>
          <w:sz w:val="20"/>
          <w:szCs w:val="20"/>
        </w:rPr>
        <w:t>digital copies of documents (documents certified by a physical signature must be signed and scanned).</w:t>
      </w:r>
    </w:p>
    <w:p w14:paraId="04A1DBAF" w14:textId="77777777" w:rsidR="00F8582E" w:rsidRPr="00A210E1" w:rsidRDefault="0099696F" w:rsidP="00C0448D">
      <w:pPr>
        <w:pStyle w:val="Sraopastraipa"/>
        <w:numPr>
          <w:ilvl w:val="1"/>
          <w:numId w:val="13"/>
        </w:numPr>
        <w:tabs>
          <w:tab w:val="left" w:pos="993"/>
          <w:tab w:val="left" w:pos="1418"/>
        </w:tabs>
        <w:spacing w:after="0" w:line="240" w:lineRule="auto"/>
        <w:ind w:left="0" w:firstLine="567"/>
        <w:jc w:val="both"/>
        <w:rPr>
          <w:rFonts w:ascii="Arial" w:hAnsi="Arial" w:cs="Arial"/>
          <w:bCs/>
          <w:iCs/>
          <w:color w:val="00435B"/>
          <w:sz w:val="20"/>
          <w:szCs w:val="20"/>
        </w:rPr>
      </w:pPr>
      <w:r w:rsidRPr="00A210E1">
        <w:rPr>
          <w:rFonts w:ascii="Arial" w:hAnsi="Arial" w:cs="Arial"/>
          <w:color w:val="00435B"/>
          <w:sz w:val="20"/>
          <w:szCs w:val="20"/>
        </w:rPr>
        <w:t xml:space="preserve">A tender must be in Lithuanian or English. If any of the documents submitted with the tender are not in the language requested, a precise translation into the language requested must be provided. If the contracting authority has doubts about the quality of the translation of a document submitted with the tender and/or its conformity with the content of the original document, the contracting authority shall require provision of a translation of the document certified by the signature of the translator and the stamp of the translation agency (if any). </w:t>
      </w:r>
    </w:p>
    <w:p w14:paraId="112E5948" w14:textId="77777777" w:rsidR="00C0448D" w:rsidRPr="00A210E1" w:rsidRDefault="008D03B2" w:rsidP="00C0448D">
      <w:pPr>
        <w:pStyle w:val="Sraopastraipa"/>
        <w:numPr>
          <w:ilvl w:val="1"/>
          <w:numId w:val="13"/>
        </w:numPr>
        <w:tabs>
          <w:tab w:val="left" w:pos="993"/>
          <w:tab w:val="left" w:pos="1418"/>
        </w:tabs>
        <w:spacing w:after="0" w:line="240" w:lineRule="auto"/>
        <w:ind w:left="0" w:firstLine="567"/>
        <w:jc w:val="both"/>
        <w:rPr>
          <w:rFonts w:ascii="Arial" w:hAnsi="Arial" w:cs="Arial"/>
          <w:bCs/>
          <w:iCs/>
          <w:color w:val="00435B"/>
          <w:sz w:val="20"/>
          <w:szCs w:val="20"/>
        </w:rPr>
      </w:pPr>
      <w:r w:rsidRPr="00A210E1">
        <w:rPr>
          <w:rFonts w:ascii="Arial" w:hAnsi="Arial" w:cs="Arial"/>
          <w:color w:val="00435B"/>
          <w:sz w:val="20"/>
          <w:szCs w:val="20"/>
        </w:rPr>
        <w:t xml:space="preserve">The total price (costs) of the tender, including VAT, must be expressed to two decimal places. The price components or rates that make up this price may be expressed without limitation as to the number of decimal places. </w:t>
      </w:r>
    </w:p>
    <w:p w14:paraId="22059CDA" w14:textId="4FBFEE86" w:rsidR="003A0EC0" w:rsidRPr="00A210E1" w:rsidRDefault="003A0EC0" w:rsidP="00C0448D">
      <w:pPr>
        <w:pStyle w:val="Sraopastraipa"/>
        <w:numPr>
          <w:ilvl w:val="1"/>
          <w:numId w:val="13"/>
        </w:numPr>
        <w:tabs>
          <w:tab w:val="left" w:pos="993"/>
          <w:tab w:val="left" w:pos="1418"/>
        </w:tabs>
        <w:spacing w:after="0" w:line="240" w:lineRule="auto"/>
        <w:ind w:left="0" w:firstLine="567"/>
        <w:jc w:val="both"/>
        <w:rPr>
          <w:rFonts w:ascii="Arial" w:hAnsi="Arial" w:cs="Arial"/>
          <w:bCs/>
          <w:iCs/>
          <w:color w:val="00435B"/>
          <w:sz w:val="20"/>
          <w:szCs w:val="20"/>
        </w:rPr>
      </w:pPr>
      <w:r w:rsidRPr="00A210E1">
        <w:rPr>
          <w:rFonts w:ascii="Arial" w:hAnsi="Arial" w:cs="Arial"/>
          <w:color w:val="00435B"/>
          <w:sz w:val="20"/>
          <w:szCs w:val="20"/>
        </w:rPr>
        <w:lastRenderedPageBreak/>
        <w:t xml:space="preserve">Prices quoted in the tenderers’ tenders will be evaluated and compared inclusive of all taxes, including VAT. </w:t>
      </w:r>
    </w:p>
    <w:p w14:paraId="7A15AE0A" w14:textId="035577D5" w:rsidR="00EE1C85" w:rsidRPr="00A210E1" w:rsidRDefault="00EE1C85" w:rsidP="007132AB">
      <w:pPr>
        <w:pStyle w:val="Antrat1"/>
        <w:numPr>
          <w:ilvl w:val="0"/>
          <w:numId w:val="13"/>
        </w:numPr>
        <w:tabs>
          <w:tab w:val="left" w:pos="709"/>
        </w:tabs>
        <w:rPr>
          <w:rFonts w:ascii="Arial" w:hAnsi="Arial" w:cs="Arial"/>
          <w:color w:val="00435B"/>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03389846"/>
      <w:bookmarkEnd w:id="18"/>
      <w:bookmarkEnd w:id="19"/>
      <w:bookmarkEnd w:id="20"/>
      <w:bookmarkEnd w:id="21"/>
      <w:bookmarkEnd w:id="22"/>
      <w:r w:rsidRPr="00A210E1">
        <w:rPr>
          <w:rFonts w:ascii="Arial" w:hAnsi="Arial" w:cs="Arial"/>
          <w:color w:val="00435B"/>
        </w:rPr>
        <w:t>Ensuring the Validity of the Tender</w:t>
      </w:r>
      <w:bookmarkEnd w:id="23"/>
      <w:bookmarkEnd w:id="24"/>
      <w:bookmarkEnd w:id="25"/>
    </w:p>
    <w:p w14:paraId="2B38CB47" w14:textId="59914C93" w:rsidR="00B3551C" w:rsidRPr="00A210E1" w:rsidRDefault="00655F17" w:rsidP="00E176C4">
      <w:pPr>
        <w:pStyle w:val="Sraopastraipa"/>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 xml:space="preserve">7.1.  </w:t>
      </w:r>
      <w:r w:rsidR="00B3551C" w:rsidRPr="00A210E1">
        <w:rPr>
          <w:rFonts w:ascii="Arial" w:hAnsi="Arial" w:cs="Arial"/>
          <w:color w:val="00435B"/>
          <w:sz w:val="20"/>
          <w:szCs w:val="20"/>
        </w:rPr>
        <w:t xml:space="preserve">The contracting authority shall not require </w:t>
      </w:r>
      <w:r w:rsidR="00204137" w:rsidRPr="00A210E1">
        <w:rPr>
          <w:rFonts w:ascii="Arial" w:hAnsi="Arial" w:cs="Arial"/>
          <w:color w:val="00435B"/>
          <w:sz w:val="20"/>
          <w:szCs w:val="20"/>
        </w:rPr>
        <w:t>ensuring</w:t>
      </w:r>
      <w:r w:rsidR="00B3551C" w:rsidRPr="00A210E1">
        <w:rPr>
          <w:rFonts w:ascii="Arial" w:hAnsi="Arial" w:cs="Arial"/>
          <w:color w:val="00435B"/>
          <w:sz w:val="20"/>
          <w:szCs w:val="20"/>
        </w:rPr>
        <w:t xml:space="preserve"> the validity of the tender</w:t>
      </w:r>
      <w:r w:rsidR="00204137" w:rsidRPr="00A210E1">
        <w:rPr>
          <w:rFonts w:ascii="Arial" w:hAnsi="Arial" w:cs="Arial"/>
          <w:color w:val="00435B"/>
          <w:sz w:val="20"/>
          <w:szCs w:val="20"/>
        </w:rPr>
        <w:t>;</w:t>
      </w:r>
      <w:r w:rsidR="00B3551C" w:rsidRPr="00A210E1">
        <w:rPr>
          <w:rFonts w:ascii="Arial" w:hAnsi="Arial" w:cs="Arial"/>
          <w:color w:val="00435B"/>
          <w:sz w:val="20"/>
          <w:szCs w:val="20"/>
        </w:rPr>
        <w:t xml:space="preserve"> however, </w:t>
      </w:r>
      <w:r w:rsidR="00204137" w:rsidRPr="00A210E1">
        <w:rPr>
          <w:rFonts w:ascii="Arial" w:hAnsi="Arial" w:cs="Arial"/>
          <w:color w:val="00435B"/>
          <w:sz w:val="20"/>
          <w:szCs w:val="20"/>
        </w:rPr>
        <w:t xml:space="preserve">it </w:t>
      </w:r>
      <w:r w:rsidR="00B3551C" w:rsidRPr="00A210E1">
        <w:rPr>
          <w:rFonts w:ascii="Arial" w:hAnsi="Arial" w:cs="Arial"/>
          <w:color w:val="00435B"/>
          <w:sz w:val="20"/>
          <w:szCs w:val="20"/>
        </w:rPr>
        <w:t>shall reserve the right to seek redress in court for damages resulting from the supplier’s modification or cancellation of its tender or the successful tenderer’s refusal to enter into the contract during the period of validity of the tender.</w:t>
      </w:r>
    </w:p>
    <w:p w14:paraId="7136C94B" w14:textId="6E03C3FE" w:rsidR="00040C0F" w:rsidRPr="00A210E1" w:rsidRDefault="00040C0F" w:rsidP="007132AB">
      <w:pPr>
        <w:pStyle w:val="Antrat1"/>
        <w:numPr>
          <w:ilvl w:val="0"/>
          <w:numId w:val="13"/>
        </w:numPr>
        <w:tabs>
          <w:tab w:val="left" w:pos="709"/>
        </w:tabs>
        <w:spacing w:line="20" w:lineRule="atLeast"/>
        <w:contextualSpacing/>
        <w:rPr>
          <w:rFonts w:ascii="Arial" w:hAnsi="Arial" w:cs="Arial"/>
          <w:color w:val="00435B"/>
        </w:rPr>
      </w:pPr>
      <w:bookmarkStart w:id="26" w:name="_Ref39658218"/>
      <w:bookmarkStart w:id="27" w:name="_Ref39658226"/>
      <w:bookmarkStart w:id="28" w:name="_Ref39658248"/>
      <w:bookmarkStart w:id="29" w:name="_Ref39658251"/>
      <w:bookmarkStart w:id="30" w:name="_Toc203389847"/>
      <w:bookmarkStart w:id="31" w:name="_Ref39485250"/>
      <w:bookmarkStart w:id="32" w:name="_Ref39485258"/>
      <w:r w:rsidRPr="00A210E1">
        <w:rPr>
          <w:rFonts w:ascii="Arial" w:hAnsi="Arial" w:cs="Arial"/>
          <w:color w:val="00435B"/>
        </w:rPr>
        <w:t>Electronic Auction</w:t>
      </w:r>
      <w:bookmarkEnd w:id="26"/>
      <w:bookmarkEnd w:id="27"/>
      <w:bookmarkEnd w:id="28"/>
      <w:bookmarkEnd w:id="29"/>
      <w:bookmarkEnd w:id="30"/>
    </w:p>
    <w:p w14:paraId="0BFDB7B0" w14:textId="47FEF006" w:rsidR="00040C0F" w:rsidRPr="00A210E1" w:rsidRDefault="002827E4" w:rsidP="00B52C56">
      <w:pPr>
        <w:spacing w:after="0" w:line="240" w:lineRule="auto"/>
        <w:ind w:left="710" w:hanging="143"/>
        <w:rPr>
          <w:rFonts w:ascii="Arial" w:hAnsi="Arial" w:cs="Arial"/>
          <w:color w:val="00435B"/>
          <w:sz w:val="20"/>
          <w:szCs w:val="20"/>
        </w:rPr>
      </w:pPr>
      <w:r w:rsidRPr="00A210E1">
        <w:rPr>
          <w:rFonts w:ascii="Arial" w:hAnsi="Arial" w:cs="Arial"/>
          <w:color w:val="00435B"/>
          <w:sz w:val="20"/>
          <w:szCs w:val="20"/>
        </w:rPr>
        <w:t xml:space="preserve">8.1. </w:t>
      </w:r>
      <w:r w:rsidR="00040C0F" w:rsidRPr="00A210E1">
        <w:rPr>
          <w:rFonts w:ascii="Arial" w:hAnsi="Arial" w:cs="Arial"/>
          <w:color w:val="00435B"/>
          <w:sz w:val="20"/>
          <w:szCs w:val="20"/>
        </w:rPr>
        <w:t>The contracting authority shall not use an electronic auction in the procurement.</w:t>
      </w:r>
    </w:p>
    <w:p w14:paraId="14CBD3AD" w14:textId="23B8A7AF" w:rsidR="009D0DC5" w:rsidRPr="00A210E1" w:rsidRDefault="00EA001C" w:rsidP="007132AB">
      <w:pPr>
        <w:pStyle w:val="Antrat1"/>
        <w:numPr>
          <w:ilvl w:val="0"/>
          <w:numId w:val="13"/>
        </w:numPr>
        <w:tabs>
          <w:tab w:val="left" w:pos="709"/>
        </w:tabs>
        <w:spacing w:line="20" w:lineRule="atLeast"/>
        <w:contextualSpacing/>
        <w:rPr>
          <w:rFonts w:ascii="Arial" w:hAnsi="Arial" w:cs="Arial"/>
          <w:color w:val="00435B"/>
        </w:rPr>
      </w:pPr>
      <w:bookmarkStart w:id="33" w:name="_Ref39667303"/>
      <w:bookmarkStart w:id="34" w:name="_Ref39667308"/>
      <w:bookmarkStart w:id="35" w:name="_Toc203389848"/>
      <w:r w:rsidRPr="00A210E1">
        <w:rPr>
          <w:rFonts w:ascii="Arial" w:hAnsi="Arial" w:cs="Arial"/>
          <w:color w:val="00435B"/>
        </w:rPr>
        <w:t>Evaluation of Tenders</w:t>
      </w:r>
      <w:bookmarkEnd w:id="31"/>
      <w:bookmarkEnd w:id="32"/>
      <w:bookmarkEnd w:id="33"/>
      <w:bookmarkEnd w:id="34"/>
      <w:bookmarkEnd w:id="35"/>
    </w:p>
    <w:p w14:paraId="46E1A60B" w14:textId="49F7C3F4" w:rsidR="004E71CB" w:rsidRPr="00A210E1" w:rsidRDefault="002D470F" w:rsidP="00840ADF">
      <w:pPr>
        <w:tabs>
          <w:tab w:val="left" w:pos="993"/>
        </w:tabs>
        <w:spacing w:after="0" w:line="240" w:lineRule="auto"/>
        <w:ind w:firstLine="567"/>
        <w:jc w:val="both"/>
        <w:rPr>
          <w:rFonts w:ascii="Arial" w:hAnsi="Arial" w:cs="Arial"/>
          <w:color w:val="00435B"/>
          <w:sz w:val="20"/>
          <w:szCs w:val="20"/>
        </w:rPr>
      </w:pPr>
      <w:r w:rsidRPr="00A210E1">
        <w:rPr>
          <w:rFonts w:ascii="Arial" w:hAnsi="Arial" w:cs="Arial"/>
          <w:color w:val="00435B"/>
          <w:sz w:val="20"/>
          <w:szCs w:val="20"/>
        </w:rPr>
        <w:t xml:space="preserve">9.1. </w:t>
      </w:r>
      <w:r w:rsidR="004E71CB" w:rsidRPr="00A210E1">
        <w:rPr>
          <w:rFonts w:ascii="Arial" w:hAnsi="Arial" w:cs="Arial"/>
          <w:color w:val="00435B"/>
          <w:sz w:val="20"/>
          <w:szCs w:val="20"/>
        </w:rPr>
        <w:t xml:space="preserve">The contracting authority shall select the most economically advantageous tender on the basis of the price indicated in the supplier’s tender, which shall be calculated and quoted as required in Annex </w:t>
      </w:r>
      <w:r w:rsidR="0022048F" w:rsidRPr="00A210E1">
        <w:rPr>
          <w:rFonts w:ascii="Arial" w:hAnsi="Arial" w:cs="Arial"/>
          <w:color w:val="00435B"/>
          <w:sz w:val="20"/>
          <w:szCs w:val="20"/>
          <w:shd w:val="clear" w:color="auto" w:fill="FFFFFF"/>
        </w:rPr>
        <w:t>5</w:t>
      </w:r>
      <w:r w:rsidR="004E71CB" w:rsidRPr="00A210E1">
        <w:rPr>
          <w:rFonts w:ascii="Arial" w:hAnsi="Arial" w:cs="Arial"/>
          <w:color w:val="00435B"/>
          <w:sz w:val="20"/>
          <w:szCs w:val="20"/>
        </w:rPr>
        <w:t xml:space="preserve"> to the special terms of procurement. </w:t>
      </w:r>
    </w:p>
    <w:p w14:paraId="10A0C6CC" w14:textId="77777777" w:rsidR="002D19DF" w:rsidRPr="00A210E1" w:rsidRDefault="00D734C6" w:rsidP="002D19DF">
      <w:pPr>
        <w:pStyle w:val="Sraopastraipa"/>
        <w:numPr>
          <w:ilvl w:val="1"/>
          <w:numId w:val="13"/>
        </w:numPr>
        <w:tabs>
          <w:tab w:val="left" w:pos="993"/>
        </w:tabs>
        <w:spacing w:after="0" w:line="20" w:lineRule="atLeast"/>
        <w:ind w:left="0" w:firstLine="567"/>
        <w:jc w:val="both"/>
        <w:rPr>
          <w:rFonts w:ascii="Arial" w:eastAsiaTheme="minorHAnsi" w:hAnsi="Arial" w:cs="Arial"/>
          <w:bCs/>
          <w:iCs/>
          <w:color w:val="00435B"/>
          <w:sz w:val="20"/>
          <w:szCs w:val="20"/>
        </w:rPr>
      </w:pPr>
      <w:r w:rsidRPr="00A210E1">
        <w:rPr>
          <w:rFonts w:ascii="Arial" w:hAnsi="Arial" w:cs="Arial"/>
          <w:color w:val="00435B"/>
          <w:sz w:val="20"/>
          <w:szCs w:val="20"/>
        </w:rPr>
        <w:t xml:space="preserve">Only 1 (one) most economically advantageous tender ranked first in the ranking of tenders will be eligible to be considered as the successful tender. </w:t>
      </w:r>
    </w:p>
    <w:p w14:paraId="60FEBC05" w14:textId="79359049" w:rsidR="001A25FD" w:rsidRPr="00A210E1" w:rsidRDefault="002D19DF" w:rsidP="002D19DF">
      <w:pPr>
        <w:pStyle w:val="Sraopastraipa"/>
        <w:numPr>
          <w:ilvl w:val="1"/>
          <w:numId w:val="13"/>
        </w:numPr>
        <w:tabs>
          <w:tab w:val="left" w:pos="993"/>
        </w:tabs>
        <w:spacing w:after="0" w:line="20" w:lineRule="atLeast"/>
        <w:ind w:left="0" w:firstLine="567"/>
        <w:jc w:val="both"/>
        <w:rPr>
          <w:rFonts w:ascii="Arial" w:eastAsiaTheme="minorHAnsi" w:hAnsi="Arial" w:cs="Arial"/>
          <w:bCs/>
          <w:iCs/>
          <w:color w:val="00435B"/>
          <w:sz w:val="20"/>
          <w:szCs w:val="20"/>
          <w:highlight w:val="yellow"/>
        </w:rPr>
      </w:pPr>
      <w:r w:rsidRPr="00A210E1">
        <w:rPr>
          <w:rStyle w:val="cf01"/>
          <w:rFonts w:ascii="Arial" w:hAnsi="Arial" w:cs="Arial"/>
          <w:color w:val="00435B"/>
          <w:sz w:val="20"/>
          <w:szCs w:val="20"/>
          <w:highlight w:val="yellow"/>
        </w:rPr>
        <w:t>Supplier’s Tender</w:t>
      </w:r>
      <w:r w:rsidR="00FC63D2" w:rsidRPr="00A210E1">
        <w:rPr>
          <w:rStyle w:val="cf01"/>
          <w:rFonts w:ascii="Arial" w:hAnsi="Arial" w:cs="Arial"/>
          <w:color w:val="00435B"/>
          <w:sz w:val="20"/>
          <w:szCs w:val="20"/>
          <w:highlight w:val="yellow"/>
        </w:rPr>
        <w:t xml:space="preserve"> will</w:t>
      </w:r>
      <w:r w:rsidRPr="00A210E1">
        <w:rPr>
          <w:rStyle w:val="cf01"/>
          <w:rFonts w:ascii="Arial" w:hAnsi="Arial" w:cs="Arial"/>
          <w:color w:val="00435B"/>
          <w:sz w:val="20"/>
          <w:szCs w:val="20"/>
          <w:highlight w:val="yellow"/>
        </w:rPr>
        <w:t xml:space="preserve"> be</w:t>
      </w:r>
      <w:r w:rsidR="00FC63D2" w:rsidRPr="00A210E1">
        <w:rPr>
          <w:rStyle w:val="cf01"/>
          <w:rFonts w:ascii="Arial" w:hAnsi="Arial" w:cs="Arial"/>
          <w:color w:val="00435B"/>
          <w:sz w:val="20"/>
          <w:szCs w:val="20"/>
          <w:highlight w:val="yellow"/>
        </w:rPr>
        <w:t xml:space="preserve"> reject</w:t>
      </w:r>
      <w:r w:rsidRPr="00A210E1">
        <w:rPr>
          <w:rStyle w:val="cf01"/>
          <w:rFonts w:ascii="Arial" w:hAnsi="Arial" w:cs="Arial"/>
          <w:color w:val="00435B"/>
          <w:sz w:val="20"/>
          <w:szCs w:val="20"/>
          <w:highlight w:val="yellow"/>
        </w:rPr>
        <w:t>ed</w:t>
      </w:r>
      <w:r w:rsidR="00FC63D2" w:rsidRPr="00A210E1">
        <w:rPr>
          <w:rStyle w:val="cf01"/>
          <w:rFonts w:ascii="Arial" w:hAnsi="Arial" w:cs="Arial"/>
          <w:color w:val="00435B"/>
          <w:sz w:val="20"/>
          <w:szCs w:val="20"/>
          <w:highlight w:val="yellow"/>
        </w:rPr>
        <w:t xml:space="preserve"> if the price of the supplier's </w:t>
      </w:r>
      <w:r w:rsidR="00913FB0" w:rsidRPr="00A210E1">
        <w:rPr>
          <w:rStyle w:val="cf01"/>
          <w:rFonts w:ascii="Arial" w:hAnsi="Arial" w:cs="Arial"/>
          <w:color w:val="00435B"/>
          <w:sz w:val="20"/>
          <w:szCs w:val="20"/>
          <w:highlight w:val="yellow"/>
        </w:rPr>
        <w:t>T</w:t>
      </w:r>
      <w:r w:rsidR="00FC63D2" w:rsidRPr="00A210E1">
        <w:rPr>
          <w:rStyle w:val="cf01"/>
          <w:rFonts w:ascii="Arial" w:hAnsi="Arial" w:cs="Arial"/>
          <w:color w:val="00435B"/>
          <w:sz w:val="20"/>
          <w:szCs w:val="20"/>
          <w:highlight w:val="yellow"/>
        </w:rPr>
        <w:t>ender exceeds</w:t>
      </w:r>
      <w:r w:rsidR="00FF1FCC" w:rsidRPr="00A210E1">
        <w:rPr>
          <w:rStyle w:val="cf01"/>
          <w:rFonts w:ascii="Arial" w:hAnsi="Arial" w:cs="Arial"/>
          <w:color w:val="00435B"/>
          <w:sz w:val="20"/>
          <w:szCs w:val="20"/>
          <w:highlight w:val="yellow"/>
        </w:rPr>
        <w:t xml:space="preserve"> allowed</w:t>
      </w:r>
      <w:r w:rsidR="00A96A2B" w:rsidRPr="00A210E1">
        <w:rPr>
          <w:rStyle w:val="cf01"/>
          <w:rFonts w:ascii="Arial" w:hAnsi="Arial" w:cs="Arial"/>
          <w:color w:val="00435B"/>
          <w:sz w:val="20"/>
          <w:szCs w:val="20"/>
          <w:highlight w:val="yellow"/>
        </w:rPr>
        <w:t xml:space="preserve"> price in EUR, excluding VAT</w:t>
      </w:r>
      <w:r w:rsidR="00FF2529" w:rsidRPr="00A210E1">
        <w:rPr>
          <w:rStyle w:val="cf01"/>
          <w:rFonts w:ascii="Arial" w:hAnsi="Arial" w:cs="Arial"/>
          <w:color w:val="00435B"/>
          <w:sz w:val="20"/>
          <w:szCs w:val="20"/>
          <w:highlight w:val="yellow"/>
        </w:rPr>
        <w:t>,</w:t>
      </w:r>
      <w:r w:rsidR="00A96A2B" w:rsidRPr="00A210E1">
        <w:rPr>
          <w:rStyle w:val="cf01"/>
          <w:rFonts w:ascii="Arial" w:hAnsi="Arial" w:cs="Arial"/>
          <w:color w:val="00435B"/>
          <w:sz w:val="20"/>
          <w:szCs w:val="20"/>
          <w:highlight w:val="yellow"/>
        </w:rPr>
        <w:t xml:space="preserve"> established</w:t>
      </w:r>
      <w:r w:rsidR="00FC63D2" w:rsidRPr="00A210E1">
        <w:rPr>
          <w:rStyle w:val="cf01"/>
          <w:rFonts w:ascii="Arial" w:hAnsi="Arial" w:cs="Arial"/>
          <w:color w:val="00435B"/>
          <w:sz w:val="20"/>
          <w:szCs w:val="20"/>
          <w:highlight w:val="yellow"/>
        </w:rPr>
        <w:t xml:space="preserve"> </w:t>
      </w:r>
      <w:r w:rsidR="00A870BD" w:rsidRPr="00A210E1">
        <w:rPr>
          <w:rStyle w:val="cf01"/>
          <w:rFonts w:ascii="Arial" w:hAnsi="Arial" w:cs="Arial"/>
          <w:color w:val="00435B"/>
          <w:sz w:val="20"/>
          <w:szCs w:val="20"/>
          <w:highlight w:val="yellow"/>
        </w:rPr>
        <w:t>prior to the procurement</w:t>
      </w:r>
      <w:r w:rsidR="00FF2529" w:rsidRPr="00A210E1">
        <w:rPr>
          <w:rStyle w:val="cf01"/>
          <w:rFonts w:ascii="Arial" w:hAnsi="Arial" w:cs="Arial"/>
          <w:color w:val="00435B"/>
          <w:sz w:val="20"/>
          <w:szCs w:val="20"/>
          <w:highlight w:val="yellow"/>
        </w:rPr>
        <w:t>.</w:t>
      </w:r>
    </w:p>
    <w:p w14:paraId="678C44CA" w14:textId="6EB53055" w:rsidR="00FE7908" w:rsidRPr="00A210E1" w:rsidRDefault="00FE7908" w:rsidP="007132AB">
      <w:pPr>
        <w:pStyle w:val="Antrat1"/>
        <w:numPr>
          <w:ilvl w:val="0"/>
          <w:numId w:val="13"/>
        </w:numPr>
        <w:tabs>
          <w:tab w:val="left" w:pos="567"/>
        </w:tabs>
        <w:spacing w:line="20" w:lineRule="atLeast"/>
        <w:contextualSpacing/>
        <w:rPr>
          <w:rFonts w:ascii="Arial" w:hAnsi="Arial" w:cs="Arial"/>
          <w:color w:val="00435B"/>
        </w:rPr>
      </w:pPr>
      <w:bookmarkStart w:id="36" w:name="_Ref39425999"/>
      <w:bookmarkStart w:id="37" w:name="_Ref39426005"/>
      <w:bookmarkStart w:id="38" w:name="_Toc203389849"/>
      <w:r w:rsidRPr="00A210E1">
        <w:rPr>
          <w:rFonts w:ascii="Arial" w:hAnsi="Arial" w:cs="Arial"/>
          <w:color w:val="00435B"/>
        </w:rPr>
        <w:t>Award of Contract</w:t>
      </w:r>
      <w:bookmarkEnd w:id="36"/>
      <w:bookmarkEnd w:id="37"/>
      <w:bookmarkEnd w:id="38"/>
    </w:p>
    <w:p w14:paraId="27CAEFF7" w14:textId="4827AE4F" w:rsidR="00F57665" w:rsidRPr="00A210E1" w:rsidRDefault="00F57665" w:rsidP="00082498">
      <w:pPr>
        <w:pStyle w:val="Sraopastraipa"/>
        <w:numPr>
          <w:ilvl w:val="1"/>
          <w:numId w:val="14"/>
        </w:numPr>
        <w:tabs>
          <w:tab w:val="left" w:pos="1134"/>
        </w:tabs>
        <w:spacing w:after="0" w:line="240" w:lineRule="auto"/>
        <w:ind w:left="0" w:firstLine="567"/>
        <w:jc w:val="both"/>
        <w:rPr>
          <w:rFonts w:ascii="Arial" w:hAnsi="Arial" w:cs="Arial"/>
          <w:color w:val="00435B"/>
          <w:sz w:val="20"/>
          <w:szCs w:val="20"/>
        </w:rPr>
      </w:pPr>
      <w:r w:rsidRPr="00A210E1">
        <w:rPr>
          <w:rFonts w:ascii="Arial" w:hAnsi="Arial" w:cs="Arial"/>
          <w:color w:val="00435B"/>
          <w:sz w:val="20"/>
          <w:szCs w:val="20"/>
        </w:rPr>
        <w:t>This procurement procedure shall be carried out with a view to awarding the contract to the supplier whose tender is declared successful in accordance with the procedure laid down in the terms of procurement, or, if the procurement is divided into lots, to the suppliers whose tenders are declared successful. The terms and conditions of the contract are set out in the Annex</w:t>
      </w:r>
      <w:r w:rsidR="00B056D3" w:rsidRPr="00A210E1">
        <w:rPr>
          <w:rFonts w:ascii="Arial" w:hAnsi="Arial" w:cs="Arial"/>
          <w:color w:val="00435B"/>
          <w:sz w:val="20"/>
          <w:szCs w:val="20"/>
        </w:rPr>
        <w:t xml:space="preserve"> 8</w:t>
      </w:r>
      <w:r w:rsidRPr="00A210E1">
        <w:rPr>
          <w:rFonts w:ascii="Arial" w:hAnsi="Arial" w:cs="Arial"/>
          <w:color w:val="00435B"/>
          <w:sz w:val="20"/>
          <w:szCs w:val="20"/>
        </w:rPr>
        <w:t xml:space="preserve"> “Draft Contract” to the Terms of Procurement.</w:t>
      </w:r>
    </w:p>
    <w:p w14:paraId="1640F94B" w14:textId="1B994232" w:rsidR="00640DBD" w:rsidRPr="00A210E1" w:rsidRDefault="00640DBD" w:rsidP="0097765E">
      <w:pPr>
        <w:pStyle w:val="Antrat1"/>
        <w:numPr>
          <w:ilvl w:val="0"/>
          <w:numId w:val="14"/>
        </w:numPr>
        <w:tabs>
          <w:tab w:val="left" w:pos="567"/>
        </w:tabs>
        <w:spacing w:line="20" w:lineRule="atLeast"/>
        <w:contextualSpacing/>
        <w:jc w:val="both"/>
        <w:rPr>
          <w:rFonts w:ascii="Arial" w:hAnsi="Arial" w:cs="Arial"/>
          <w:b/>
          <w:bCs/>
          <w:color w:val="00435B"/>
        </w:rPr>
      </w:pPr>
      <w:bookmarkStart w:id="39" w:name="_Toc203389850"/>
      <w:bookmarkEnd w:id="2"/>
      <w:r w:rsidRPr="00A210E1">
        <w:rPr>
          <w:rFonts w:ascii="Arial" w:hAnsi="Arial" w:cs="Arial"/>
          <w:color w:val="00435B"/>
        </w:rPr>
        <w:t>Other Terms and Conditions</w:t>
      </w:r>
      <w:bookmarkEnd w:id="39"/>
    </w:p>
    <w:p w14:paraId="5715CDA8" w14:textId="6053D2FB" w:rsidR="0008270A" w:rsidRPr="00167309" w:rsidRDefault="00F56004" w:rsidP="00167309">
      <w:pPr>
        <w:spacing w:after="0" w:line="60" w:lineRule="atLeast"/>
        <w:ind w:firstLine="567"/>
        <w:jc w:val="both"/>
        <w:rPr>
          <w:rFonts w:ascii="Arial" w:hAnsi="Arial" w:cs="Arial"/>
          <w:iCs/>
          <w:color w:val="00435B"/>
          <w:sz w:val="20"/>
          <w:szCs w:val="20"/>
        </w:rPr>
      </w:pPr>
      <w:r w:rsidRPr="00167309">
        <w:rPr>
          <w:rFonts w:ascii="Arial" w:hAnsi="Arial" w:cs="Arial"/>
          <w:iCs/>
          <w:color w:val="00435B"/>
          <w:sz w:val="20"/>
          <w:szCs w:val="20"/>
        </w:rPr>
        <w:t xml:space="preserve">11.1. </w:t>
      </w:r>
      <w:r w:rsidR="00B0000B" w:rsidRPr="00167309">
        <w:rPr>
          <w:rFonts w:ascii="Arial" w:hAnsi="Arial" w:cs="Arial"/>
          <w:iCs/>
          <w:color w:val="00435B"/>
          <w:sz w:val="20"/>
          <w:szCs w:val="20"/>
        </w:rPr>
        <w:t>T</w:t>
      </w:r>
      <w:r w:rsidR="00B0000B" w:rsidRPr="00167309">
        <w:rPr>
          <w:rFonts w:ascii="Arial" w:hAnsi="Arial" w:cs="Arial"/>
          <w:iCs/>
          <w:color w:val="00435B"/>
          <w:sz w:val="20"/>
          <w:szCs w:val="20"/>
        </w:rPr>
        <w:t>he provisions on the implementation of international sanctions apply to the public procurement.</w:t>
      </w:r>
      <w:r w:rsidR="00A210E1" w:rsidRPr="00167309">
        <w:rPr>
          <w:rFonts w:ascii="Arial" w:hAnsi="Arial" w:cs="Arial"/>
          <w:iCs/>
          <w:color w:val="00435B"/>
          <w:sz w:val="20"/>
          <w:szCs w:val="20"/>
        </w:rPr>
        <w:t xml:space="preserve"> </w:t>
      </w:r>
      <w:r w:rsidRPr="00167309">
        <w:rPr>
          <w:rFonts w:ascii="Arial" w:hAnsi="Arial" w:cs="Arial"/>
          <w:iCs/>
          <w:color w:val="00435B"/>
          <w:sz w:val="20"/>
          <w:szCs w:val="20"/>
        </w:rPr>
        <w:t xml:space="preserve">Together with its proposal, the Supplier shall submit a duly completed Supplier’s Declaration, as set out in Annex 7 to the Special Conditions of Procurement. </w:t>
      </w:r>
      <w:r w:rsidR="00E640F9" w:rsidRPr="00167309">
        <w:rPr>
          <w:rFonts w:ascii="Arial" w:hAnsi="Arial" w:cs="Arial"/>
          <w:iCs/>
          <w:color w:val="00435B"/>
          <w:sz w:val="20"/>
          <w:szCs w:val="20"/>
        </w:rPr>
        <w:t>The contracting authority shall verify whether the potential procurement winner, subcontractor, or the persons who own or control them are not subject to international sanctions imposed by the United Nations Security Council, the European Union, other international organisations of which the Republic of Lithuania is a member or in which it participates, or the United States (by the U.S. Department of the Treasury’s Office of Foreign Assets Control (OFAC)).</w:t>
      </w:r>
      <w:r w:rsidR="00167309" w:rsidRPr="00167309">
        <w:t xml:space="preserve"> </w:t>
      </w:r>
      <w:r w:rsidR="00167309" w:rsidRPr="00167309">
        <w:rPr>
          <w:rFonts w:ascii="Arial" w:hAnsi="Arial" w:cs="Arial"/>
          <w:iCs/>
          <w:color w:val="00435B"/>
          <w:sz w:val="20"/>
          <w:szCs w:val="20"/>
        </w:rPr>
        <w:t>The procurement contract shall not be concluded with such a prospective winner.</w:t>
      </w:r>
    </w:p>
    <w:p w14:paraId="493ABC50" w14:textId="4209BE99" w:rsidR="00FB3A5F" w:rsidRPr="00A210E1" w:rsidRDefault="00FB3A5F" w:rsidP="001B69BE">
      <w:pPr>
        <w:spacing w:after="0" w:line="60" w:lineRule="atLeast"/>
        <w:ind w:firstLine="567"/>
        <w:jc w:val="both"/>
        <w:rPr>
          <w:rFonts w:ascii="Arial" w:hAnsi="Arial" w:cs="Arial"/>
          <w:iCs/>
          <w:color w:val="00435B"/>
          <w:sz w:val="20"/>
          <w:szCs w:val="20"/>
        </w:rPr>
      </w:pPr>
      <w:r w:rsidRPr="00A210E1">
        <w:rPr>
          <w:rFonts w:ascii="Arial" w:hAnsi="Arial" w:cs="Arial"/>
          <w:iCs/>
          <w:color w:val="00435B"/>
          <w:sz w:val="20"/>
          <w:szCs w:val="20"/>
        </w:rPr>
        <w:t>11.</w:t>
      </w:r>
      <w:r w:rsidR="00167309">
        <w:rPr>
          <w:rFonts w:ascii="Arial" w:hAnsi="Arial" w:cs="Arial"/>
          <w:iCs/>
          <w:color w:val="00435B"/>
          <w:sz w:val="20"/>
          <w:szCs w:val="20"/>
          <w:lang w:val="en-US"/>
        </w:rPr>
        <w:t>2</w:t>
      </w:r>
      <w:r w:rsidRPr="00A210E1">
        <w:rPr>
          <w:rFonts w:ascii="Arial" w:hAnsi="Arial" w:cs="Arial"/>
          <w:iCs/>
          <w:color w:val="00435B"/>
          <w:sz w:val="20"/>
          <w:szCs w:val="20"/>
        </w:rPr>
        <w:t xml:space="preserve">. </w:t>
      </w:r>
      <w:r w:rsidR="0087000A" w:rsidRPr="00A210E1">
        <w:rPr>
          <w:rFonts w:ascii="Arial" w:hAnsi="Arial" w:cs="Arial"/>
          <w:iCs/>
          <w:color w:val="00435B"/>
          <w:sz w:val="20"/>
          <w:szCs w:val="20"/>
        </w:rPr>
        <w:t>Only the Terms of Procurement in the Lithuanian language shall be considered authentic (in case of inconsistencies, the text in the Lithuanian language shall prevail).</w:t>
      </w:r>
    </w:p>
    <w:p w14:paraId="13933883" w14:textId="77777777" w:rsidR="00FB3A5F" w:rsidRPr="00A210E1" w:rsidRDefault="00FB3A5F" w:rsidP="009D1FB3">
      <w:pPr>
        <w:spacing w:after="0" w:line="60" w:lineRule="atLeast"/>
        <w:jc w:val="both"/>
        <w:rPr>
          <w:rFonts w:ascii="Arial" w:hAnsi="Arial" w:cs="Arial"/>
          <w:i/>
          <w:color w:val="00435B"/>
        </w:rPr>
      </w:pPr>
    </w:p>
    <w:p w14:paraId="0EC1E892" w14:textId="5573DC70" w:rsidR="00FB0BA8" w:rsidRPr="00A210E1" w:rsidRDefault="00FB0BA8" w:rsidP="009D1FB3">
      <w:pPr>
        <w:spacing w:after="0" w:line="60" w:lineRule="atLeast"/>
        <w:jc w:val="both"/>
        <w:rPr>
          <w:rFonts w:ascii="Arial" w:hAnsi="Arial" w:cs="Arial"/>
          <w:color w:val="00435B"/>
        </w:rPr>
      </w:pPr>
      <w:r w:rsidRPr="00A210E1">
        <w:rPr>
          <w:rFonts w:ascii="Arial" w:hAnsi="Arial" w:cs="Arial"/>
          <w:color w:val="00435B"/>
        </w:rPr>
        <w:t>ANNEXES:</w:t>
      </w:r>
    </w:p>
    <w:p w14:paraId="4003DD90" w14:textId="32AA68D8" w:rsidR="00FB0BA8" w:rsidRPr="00A210E1" w:rsidRDefault="00FB0BA8" w:rsidP="00FB0BA8">
      <w:pPr>
        <w:spacing w:after="0" w:line="60" w:lineRule="atLeast"/>
        <w:rPr>
          <w:rFonts w:ascii="Arial" w:hAnsi="Arial" w:cs="Arial"/>
          <w:color w:val="00435B"/>
        </w:rPr>
      </w:pPr>
      <w:bookmarkStart w:id="40" w:name="_Hlk204875394"/>
      <w:r w:rsidRPr="00A210E1">
        <w:rPr>
          <w:rFonts w:ascii="Arial" w:hAnsi="Arial" w:cs="Arial"/>
          <w:color w:val="00435B"/>
        </w:rPr>
        <w:t>Annex</w:t>
      </w:r>
      <w:bookmarkEnd w:id="40"/>
      <w:r w:rsidRPr="00A210E1">
        <w:rPr>
          <w:rFonts w:ascii="Arial" w:hAnsi="Arial" w:cs="Arial"/>
          <w:color w:val="00435B"/>
        </w:rPr>
        <w:t xml:space="preserve"> 1. </w:t>
      </w:r>
      <w:r w:rsidR="00236546" w:rsidRPr="00A210E1">
        <w:rPr>
          <w:rFonts w:ascii="Arial" w:hAnsi="Arial" w:cs="Arial"/>
          <w:color w:val="00435B"/>
        </w:rPr>
        <w:t>Deadlines</w:t>
      </w:r>
    </w:p>
    <w:p w14:paraId="6F57C3D0" w14:textId="5DB81B46" w:rsidR="00FB0BA8" w:rsidRPr="00A210E1" w:rsidRDefault="00FB0BA8" w:rsidP="00FB0BA8">
      <w:pPr>
        <w:spacing w:after="0" w:line="60" w:lineRule="atLeast"/>
        <w:rPr>
          <w:rFonts w:ascii="Arial" w:hAnsi="Arial" w:cs="Arial"/>
          <w:color w:val="00435B"/>
        </w:rPr>
      </w:pPr>
      <w:r w:rsidRPr="00A210E1">
        <w:rPr>
          <w:rFonts w:ascii="Arial" w:hAnsi="Arial" w:cs="Arial"/>
          <w:color w:val="00435B"/>
        </w:rPr>
        <w:t>Annex 2. Techni</w:t>
      </w:r>
      <w:r w:rsidR="00880014" w:rsidRPr="00A210E1">
        <w:rPr>
          <w:rFonts w:ascii="Arial" w:hAnsi="Arial" w:cs="Arial"/>
          <w:color w:val="00435B"/>
        </w:rPr>
        <w:t>cal specification</w:t>
      </w:r>
    </w:p>
    <w:p w14:paraId="14FFEEFD" w14:textId="72299EEA" w:rsidR="00FB0BA8" w:rsidRPr="00A210E1" w:rsidRDefault="00FB0BA8" w:rsidP="00FB0BA8">
      <w:pPr>
        <w:spacing w:after="0" w:line="60" w:lineRule="atLeast"/>
        <w:rPr>
          <w:rFonts w:ascii="Arial" w:hAnsi="Arial" w:cs="Arial"/>
          <w:color w:val="00435B"/>
        </w:rPr>
      </w:pPr>
      <w:r w:rsidRPr="00A210E1">
        <w:rPr>
          <w:rFonts w:ascii="Arial" w:hAnsi="Arial" w:cs="Arial"/>
          <w:color w:val="00435B"/>
        </w:rPr>
        <w:t xml:space="preserve">Annex 3. </w:t>
      </w:r>
      <w:r w:rsidR="00236546" w:rsidRPr="00A210E1">
        <w:rPr>
          <w:rFonts w:ascii="Arial" w:hAnsi="Arial" w:cs="Arial"/>
          <w:color w:val="00435B"/>
        </w:rPr>
        <w:t>Grounds of exclusion</w:t>
      </w:r>
    </w:p>
    <w:p w14:paraId="39800D18" w14:textId="62D7B931" w:rsidR="00FB0BA8" w:rsidRPr="00A210E1" w:rsidRDefault="00FB0BA8" w:rsidP="00FB0BA8">
      <w:pPr>
        <w:spacing w:after="0" w:line="60" w:lineRule="atLeast"/>
        <w:rPr>
          <w:rFonts w:ascii="Arial" w:hAnsi="Arial" w:cs="Arial"/>
          <w:color w:val="00435B"/>
        </w:rPr>
      </w:pPr>
      <w:r w:rsidRPr="00A210E1">
        <w:rPr>
          <w:rFonts w:ascii="Arial" w:hAnsi="Arial" w:cs="Arial"/>
          <w:color w:val="00435B"/>
        </w:rPr>
        <w:lastRenderedPageBreak/>
        <w:t xml:space="preserve">Annex 4. </w:t>
      </w:r>
      <w:r w:rsidR="00880014" w:rsidRPr="00A210E1">
        <w:rPr>
          <w:rFonts w:ascii="Arial" w:hAnsi="Arial" w:cs="Arial"/>
          <w:color w:val="00435B"/>
        </w:rPr>
        <w:t>ESPD</w:t>
      </w:r>
    </w:p>
    <w:p w14:paraId="00831981" w14:textId="1AD55340" w:rsidR="00FB0BA8" w:rsidRPr="00A210E1" w:rsidRDefault="00FB0BA8" w:rsidP="00FB0BA8">
      <w:pPr>
        <w:spacing w:after="0" w:line="60" w:lineRule="atLeast"/>
        <w:rPr>
          <w:rFonts w:ascii="Arial" w:hAnsi="Arial" w:cs="Arial"/>
          <w:color w:val="00435B"/>
        </w:rPr>
      </w:pPr>
      <w:r w:rsidRPr="00A210E1">
        <w:rPr>
          <w:rFonts w:ascii="Arial" w:hAnsi="Arial" w:cs="Arial"/>
          <w:color w:val="00435B"/>
        </w:rPr>
        <w:t>Annex 5. Tender form</w:t>
      </w:r>
    </w:p>
    <w:p w14:paraId="40761DCA" w14:textId="1884195A" w:rsidR="00FB0BA8" w:rsidRPr="00A210E1" w:rsidRDefault="00FB0BA8" w:rsidP="00FB0BA8">
      <w:pPr>
        <w:spacing w:after="0" w:line="60" w:lineRule="atLeast"/>
        <w:rPr>
          <w:rFonts w:ascii="Arial" w:hAnsi="Arial" w:cs="Arial"/>
          <w:color w:val="00435B"/>
        </w:rPr>
      </w:pPr>
      <w:r w:rsidRPr="00A210E1">
        <w:rPr>
          <w:rFonts w:ascii="Arial" w:hAnsi="Arial" w:cs="Arial"/>
          <w:color w:val="00435B"/>
        </w:rPr>
        <w:t xml:space="preserve">Annex 6. </w:t>
      </w:r>
      <w:r w:rsidR="00947196" w:rsidRPr="00A210E1">
        <w:rPr>
          <w:rFonts w:ascii="Arial" w:hAnsi="Arial" w:cs="Arial"/>
          <w:color w:val="00435B"/>
        </w:rPr>
        <w:t>Consent to be</w:t>
      </w:r>
      <w:r w:rsidR="00A93C35" w:rsidRPr="00A210E1">
        <w:rPr>
          <w:rFonts w:ascii="Arial" w:hAnsi="Arial" w:cs="Arial"/>
          <w:color w:val="00435B"/>
        </w:rPr>
        <w:t xml:space="preserve"> Sub</w:t>
      </w:r>
      <w:r w:rsidR="00DF2ED3" w:rsidRPr="00A210E1">
        <w:rPr>
          <w:rFonts w:ascii="Arial" w:hAnsi="Arial" w:cs="Arial"/>
          <w:color w:val="00435B"/>
        </w:rPr>
        <w:t>-</w:t>
      </w:r>
      <w:r w:rsidR="00A93C35" w:rsidRPr="00A210E1">
        <w:rPr>
          <w:rFonts w:ascii="Arial" w:hAnsi="Arial" w:cs="Arial"/>
          <w:color w:val="00435B"/>
        </w:rPr>
        <w:t>supplier</w:t>
      </w:r>
    </w:p>
    <w:p w14:paraId="0E61A382" w14:textId="7F6F3583" w:rsidR="00FB0BA8" w:rsidRPr="00A210E1" w:rsidRDefault="00FB0BA8" w:rsidP="00FB0BA8">
      <w:pPr>
        <w:spacing w:after="0" w:line="60" w:lineRule="atLeast"/>
        <w:rPr>
          <w:rFonts w:ascii="Arial" w:hAnsi="Arial" w:cs="Arial"/>
          <w:color w:val="00435B"/>
        </w:rPr>
      </w:pPr>
      <w:r w:rsidRPr="00A210E1">
        <w:rPr>
          <w:rFonts w:ascii="Arial" w:hAnsi="Arial" w:cs="Arial"/>
          <w:color w:val="00435B"/>
        </w:rPr>
        <w:t xml:space="preserve">Annex 7. </w:t>
      </w:r>
      <w:r w:rsidR="00880014" w:rsidRPr="00A210E1">
        <w:rPr>
          <w:rFonts w:ascii="Arial" w:hAnsi="Arial" w:cs="Arial"/>
          <w:color w:val="00435B"/>
        </w:rPr>
        <w:t>Supplier’s declaration</w:t>
      </w:r>
    </w:p>
    <w:p w14:paraId="52CA57FD" w14:textId="194568C3" w:rsidR="00FB0BA8" w:rsidRPr="00A210E1" w:rsidRDefault="00880014" w:rsidP="00FB0BA8">
      <w:pPr>
        <w:spacing w:after="0" w:line="60" w:lineRule="atLeast"/>
        <w:rPr>
          <w:rFonts w:ascii="Arial" w:hAnsi="Arial" w:cs="Arial"/>
          <w:color w:val="00435B"/>
        </w:rPr>
      </w:pPr>
      <w:r w:rsidRPr="00A210E1">
        <w:rPr>
          <w:rFonts w:ascii="Arial" w:hAnsi="Arial" w:cs="Arial"/>
          <w:color w:val="00435B"/>
        </w:rPr>
        <w:t xml:space="preserve">Annex </w:t>
      </w:r>
      <w:r w:rsidR="00FB0BA8" w:rsidRPr="00A210E1">
        <w:rPr>
          <w:rFonts w:ascii="Arial" w:hAnsi="Arial" w:cs="Arial"/>
          <w:color w:val="00435B"/>
        </w:rPr>
        <w:t xml:space="preserve">8. </w:t>
      </w:r>
      <w:r w:rsidRPr="00A210E1">
        <w:rPr>
          <w:rFonts w:ascii="Arial" w:hAnsi="Arial" w:cs="Arial"/>
          <w:color w:val="00435B"/>
        </w:rPr>
        <w:t>Draft Contract</w:t>
      </w:r>
    </w:p>
    <w:p w14:paraId="5BB00DFD" w14:textId="475F5B14" w:rsidR="00B659BC" w:rsidRPr="00A210E1" w:rsidRDefault="006318B1" w:rsidP="006318B1">
      <w:pPr>
        <w:spacing w:after="0" w:line="60" w:lineRule="atLeast"/>
        <w:rPr>
          <w:rFonts w:ascii="Arial" w:hAnsi="Arial" w:cs="Arial"/>
        </w:rPr>
      </w:pPr>
      <w:r w:rsidRPr="00A210E1">
        <w:rPr>
          <w:rFonts w:ascii="Arial" w:hAnsi="Arial" w:cs="Arial"/>
          <w:color w:val="00435B"/>
        </w:rPr>
        <w:t>Annex 9. Declaration of Conformity to the Technical Specification</w:t>
      </w:r>
    </w:p>
    <w:p w14:paraId="33FD0E45" w14:textId="77777777" w:rsidR="00B659BC" w:rsidRPr="00A210E1" w:rsidRDefault="00B659BC" w:rsidP="00C87AB8">
      <w:pPr>
        <w:shd w:val="clear" w:color="auto" w:fill="FFFFFF"/>
        <w:spacing w:after="0" w:line="240" w:lineRule="auto"/>
        <w:jc w:val="center"/>
        <w:rPr>
          <w:rFonts w:ascii="Arial" w:hAnsi="Arial" w:cs="Arial"/>
        </w:rPr>
      </w:pPr>
    </w:p>
    <w:p w14:paraId="79D36EAF" w14:textId="77777777" w:rsidR="00B659BC" w:rsidRPr="00A210E1" w:rsidRDefault="00B659BC" w:rsidP="00C87AB8">
      <w:pPr>
        <w:shd w:val="clear" w:color="auto" w:fill="FFFFFF"/>
        <w:spacing w:after="0" w:line="240" w:lineRule="auto"/>
        <w:jc w:val="center"/>
        <w:rPr>
          <w:rFonts w:ascii="Arial" w:hAnsi="Arial" w:cs="Arial"/>
        </w:rPr>
      </w:pPr>
    </w:p>
    <w:p w14:paraId="1B8ADD74" w14:textId="77777777" w:rsidR="00B659BC" w:rsidRPr="00A210E1" w:rsidRDefault="00B659BC" w:rsidP="00C87AB8">
      <w:pPr>
        <w:shd w:val="clear" w:color="auto" w:fill="FFFFFF"/>
        <w:spacing w:after="0" w:line="240" w:lineRule="auto"/>
        <w:jc w:val="center"/>
        <w:rPr>
          <w:rFonts w:ascii="Arial" w:hAnsi="Arial" w:cs="Arial"/>
        </w:rPr>
      </w:pPr>
    </w:p>
    <w:p w14:paraId="77EA1C54" w14:textId="77777777" w:rsidR="00B659BC" w:rsidRPr="00A210E1" w:rsidRDefault="00B659BC" w:rsidP="00C87AB8">
      <w:pPr>
        <w:shd w:val="clear" w:color="auto" w:fill="FFFFFF"/>
        <w:spacing w:after="0" w:line="240" w:lineRule="auto"/>
        <w:jc w:val="center"/>
        <w:rPr>
          <w:rFonts w:ascii="Arial" w:hAnsi="Arial" w:cs="Arial"/>
        </w:rPr>
      </w:pPr>
    </w:p>
    <w:p w14:paraId="7881FCAE" w14:textId="395E7638" w:rsidR="00C87AB8" w:rsidRPr="00A210E1" w:rsidRDefault="008D704D" w:rsidP="00C87AB8">
      <w:pPr>
        <w:shd w:val="clear" w:color="auto" w:fill="FFFFFF"/>
        <w:spacing w:after="0" w:line="240" w:lineRule="auto"/>
        <w:jc w:val="center"/>
        <w:rPr>
          <w:rFonts w:ascii="Arial" w:eastAsia="Calibri" w:hAnsi="Arial" w:cs="Arial"/>
        </w:rPr>
        <w:sectPr w:rsidR="00C87AB8" w:rsidRPr="00A210E1" w:rsidSect="00760537">
          <w:headerReference w:type="default" r:id="rId13"/>
          <w:footerReference w:type="default" r:id="rId14"/>
          <w:headerReference w:type="first" r:id="rId15"/>
          <w:footerReference w:type="first" r:id="rId16"/>
          <w:pgSz w:w="12240" w:h="15840"/>
          <w:pgMar w:top="1593" w:right="567" w:bottom="1134" w:left="1701" w:header="720" w:footer="720" w:gutter="0"/>
          <w:pgNumType w:start="0"/>
          <w:cols w:space="720"/>
          <w:titlePg/>
          <w:docGrid w:linePitch="360"/>
        </w:sectPr>
      </w:pPr>
      <w:r w:rsidRPr="00A210E1">
        <w:rPr>
          <w:rFonts w:ascii="Arial" w:hAnsi="Arial" w:cs="Arial"/>
        </w:rPr>
        <w:t>__________</w:t>
      </w:r>
    </w:p>
    <w:p w14:paraId="1DF37652" w14:textId="0A6B5A0A" w:rsidR="00774AA5" w:rsidRPr="00A210E1" w:rsidRDefault="000631F1" w:rsidP="005C1E12">
      <w:pPr>
        <w:pStyle w:val="Antrat1"/>
        <w:jc w:val="right"/>
        <w:rPr>
          <w:rFonts w:ascii="Arial" w:hAnsi="Arial" w:cs="Arial"/>
          <w:color w:val="00435B"/>
          <w:sz w:val="20"/>
          <w:szCs w:val="20"/>
        </w:rPr>
      </w:pPr>
      <w:bookmarkStart w:id="41" w:name="_Toc203389851"/>
      <w:r w:rsidRPr="00A210E1">
        <w:rPr>
          <w:rFonts w:ascii="Arial" w:hAnsi="Arial" w:cs="Arial"/>
          <w:color w:val="00435B"/>
          <w:sz w:val="20"/>
          <w:szCs w:val="20"/>
        </w:rPr>
        <w:lastRenderedPageBreak/>
        <w:t>Annex 1 “Deadlines” to the Terms of Procurement</w:t>
      </w:r>
      <w:bookmarkEnd w:id="41"/>
    </w:p>
    <w:p w14:paraId="5369DEF7" w14:textId="77777777" w:rsidR="00A53BAE" w:rsidRPr="00A210E1" w:rsidRDefault="00A53BAE"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31623" w:rsidRPr="00A210E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210E1" w:rsidRDefault="009F4FBE" w:rsidP="004B3551">
            <w:pPr>
              <w:jc w:val="center"/>
              <w:rPr>
                <w:rFonts w:ascii="Arial" w:hAnsi="Arial" w:cs="Arial"/>
                <w:b/>
                <w:bCs/>
                <w:color w:val="00435B"/>
                <w:sz w:val="20"/>
                <w:szCs w:val="20"/>
              </w:rPr>
            </w:pPr>
            <w:r w:rsidRPr="00A210E1">
              <w:rPr>
                <w:rFonts w:ascii="Arial" w:hAnsi="Arial" w:cs="Arial"/>
                <w:b/>
                <w:color w:val="00435B"/>
                <w:sz w:val="20"/>
                <w:szCs w:val="20"/>
              </w:rPr>
              <w:t>Seq. No.</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210E1" w:rsidRDefault="004B3551" w:rsidP="004B3551">
            <w:pPr>
              <w:jc w:val="center"/>
              <w:rPr>
                <w:rFonts w:ascii="Arial" w:hAnsi="Arial" w:cs="Arial"/>
                <w:b/>
                <w:bCs/>
                <w:color w:val="00435B"/>
                <w:sz w:val="20"/>
                <w:szCs w:val="20"/>
              </w:rPr>
            </w:pPr>
            <w:r w:rsidRPr="00A210E1">
              <w:rPr>
                <w:rFonts w:ascii="Arial" w:hAnsi="Arial" w:cs="Arial"/>
                <w:b/>
                <w:color w:val="00435B"/>
                <w:sz w:val="20"/>
                <w:szCs w:val="20"/>
              </w:rPr>
              <w:t>ACTION</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210E1" w:rsidRDefault="00774AA5" w:rsidP="004B3551">
            <w:pPr>
              <w:spacing w:after="0"/>
              <w:jc w:val="center"/>
              <w:rPr>
                <w:rFonts w:ascii="Arial" w:hAnsi="Arial" w:cs="Arial"/>
                <w:b/>
                <w:color w:val="00435B"/>
                <w:sz w:val="20"/>
                <w:szCs w:val="20"/>
              </w:rPr>
            </w:pPr>
            <w:r w:rsidRPr="00A210E1">
              <w:rPr>
                <w:rFonts w:ascii="Arial" w:hAnsi="Arial" w:cs="Arial"/>
                <w:b/>
                <w:color w:val="00435B"/>
                <w:sz w:val="20"/>
                <w:szCs w:val="20"/>
              </w:rPr>
              <w:t>DATE/NUMBER OF DAYS/TIME</w:t>
            </w:r>
          </w:p>
          <w:p w14:paraId="677BC1F4" w14:textId="77777777" w:rsidR="00774AA5" w:rsidRPr="00A210E1" w:rsidRDefault="00774AA5" w:rsidP="004B3551">
            <w:pPr>
              <w:spacing w:after="0"/>
              <w:jc w:val="center"/>
              <w:rPr>
                <w:rFonts w:ascii="Arial" w:hAnsi="Arial" w:cs="Arial"/>
                <w:color w:val="00435B"/>
                <w:sz w:val="20"/>
                <w:szCs w:val="20"/>
              </w:rPr>
            </w:pPr>
            <w:r w:rsidRPr="00A210E1">
              <w:rPr>
                <w:rFonts w:ascii="Arial" w:hAnsi="Arial" w:cs="Arial"/>
                <w:color w:val="00435B"/>
                <w:sz w:val="20"/>
                <w:szCs w:val="20"/>
              </w:rPr>
              <w:t>(Lithuanian time)</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210E1" w:rsidRDefault="00774AA5" w:rsidP="004B3551">
            <w:pPr>
              <w:jc w:val="center"/>
              <w:rPr>
                <w:rFonts w:ascii="Arial" w:hAnsi="Arial" w:cs="Arial"/>
                <w:b/>
                <w:color w:val="00435B"/>
                <w:sz w:val="20"/>
                <w:szCs w:val="20"/>
              </w:rPr>
            </w:pPr>
            <w:r w:rsidRPr="00A210E1">
              <w:rPr>
                <w:rFonts w:ascii="Arial" w:hAnsi="Arial" w:cs="Arial"/>
                <w:b/>
                <w:color w:val="00435B"/>
                <w:sz w:val="20"/>
                <w:szCs w:val="20"/>
              </w:rPr>
              <w:t>NOTES</w:t>
            </w:r>
          </w:p>
        </w:tc>
      </w:tr>
      <w:tr w:rsidR="00531623" w:rsidRPr="00A210E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210E1" w:rsidRDefault="006932C2" w:rsidP="006932C2">
            <w:pPr>
              <w:keepNext/>
              <w:spacing w:after="0" w:line="240" w:lineRule="auto"/>
              <w:rPr>
                <w:rFonts w:ascii="Arial" w:hAnsi="Arial" w:cs="Arial"/>
                <w:bCs/>
                <w:color w:val="00435B"/>
                <w:sz w:val="20"/>
                <w:szCs w:val="20"/>
              </w:rPr>
            </w:pPr>
            <w:r w:rsidRPr="00A210E1">
              <w:rPr>
                <w:rFonts w:ascii="Arial" w:hAnsi="Arial" w:cs="Arial"/>
                <w:color w:val="00435B"/>
                <w:sz w:val="20"/>
                <w:szCs w:val="20"/>
              </w:rPr>
              <w:t>1.</w:t>
            </w:r>
          </w:p>
        </w:tc>
        <w:tc>
          <w:tcPr>
            <w:tcW w:w="2531" w:type="dxa"/>
            <w:tcMar>
              <w:top w:w="0" w:type="dxa"/>
              <w:left w:w="108" w:type="dxa"/>
              <w:bottom w:w="0" w:type="dxa"/>
              <w:right w:w="108" w:type="dxa"/>
            </w:tcMar>
          </w:tcPr>
          <w:p w14:paraId="25B87B88" w14:textId="77777777" w:rsidR="00774AA5" w:rsidRPr="00A210E1" w:rsidRDefault="00774AA5" w:rsidP="0003169B">
            <w:pPr>
              <w:keepNext/>
              <w:spacing w:after="0" w:line="240" w:lineRule="auto"/>
              <w:rPr>
                <w:rFonts w:ascii="Arial" w:hAnsi="Arial" w:cs="Arial"/>
                <w:color w:val="00435B"/>
                <w:sz w:val="20"/>
                <w:szCs w:val="20"/>
              </w:rPr>
            </w:pPr>
            <w:r w:rsidRPr="00A210E1">
              <w:rPr>
                <w:rFonts w:ascii="Arial" w:hAnsi="Arial" w:cs="Arial"/>
                <w:color w:val="00435B"/>
                <w:sz w:val="20"/>
                <w:szCs w:val="20"/>
              </w:rPr>
              <w:t>Deadline for submitting tenders</w:t>
            </w:r>
          </w:p>
        </w:tc>
        <w:tc>
          <w:tcPr>
            <w:tcW w:w="3643" w:type="dxa"/>
            <w:tcMar>
              <w:top w:w="0" w:type="dxa"/>
              <w:left w:w="108" w:type="dxa"/>
              <w:bottom w:w="0" w:type="dxa"/>
              <w:right w:w="108" w:type="dxa"/>
            </w:tcMar>
          </w:tcPr>
          <w:p w14:paraId="3167CE4C" w14:textId="719F5068"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 xml:space="preserve">is specified in the contract notice. </w:t>
            </w:r>
          </w:p>
        </w:tc>
        <w:tc>
          <w:tcPr>
            <w:tcW w:w="2954" w:type="dxa"/>
            <w:tcMar>
              <w:top w:w="0" w:type="dxa"/>
              <w:left w:w="108" w:type="dxa"/>
              <w:bottom w:w="0" w:type="dxa"/>
              <w:right w:w="108" w:type="dxa"/>
            </w:tcMar>
          </w:tcPr>
          <w:p w14:paraId="2BC4B21F" w14:textId="0CE68D8A" w:rsidR="00774AA5" w:rsidRPr="00A210E1" w:rsidRDefault="00774AA5" w:rsidP="00593F3E">
            <w:pPr>
              <w:spacing w:after="0" w:line="240" w:lineRule="auto"/>
              <w:rPr>
                <w:rFonts w:ascii="Arial" w:hAnsi="Arial" w:cs="Arial"/>
                <w:iCs/>
                <w:color w:val="00435B"/>
                <w:sz w:val="20"/>
                <w:szCs w:val="20"/>
              </w:rPr>
            </w:pPr>
            <w:r w:rsidRPr="00A210E1">
              <w:rPr>
                <w:rFonts w:ascii="Arial" w:hAnsi="Arial" w:cs="Arial"/>
                <w:color w:val="00435B"/>
                <w:sz w:val="20"/>
                <w:szCs w:val="20"/>
              </w:rPr>
              <w:t>The contracting authority shall have the right to extend the deadline for submitting tenders.</w:t>
            </w:r>
          </w:p>
        </w:tc>
      </w:tr>
      <w:tr w:rsidR="00531623" w:rsidRPr="00A210E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210E1" w:rsidRDefault="006932C2" w:rsidP="006932C2">
            <w:pPr>
              <w:keepNext/>
              <w:spacing w:after="0" w:line="240" w:lineRule="auto"/>
              <w:rPr>
                <w:rFonts w:ascii="Arial" w:hAnsi="Arial" w:cs="Arial"/>
                <w:bCs/>
                <w:color w:val="00435B"/>
                <w:sz w:val="20"/>
                <w:szCs w:val="20"/>
              </w:rPr>
            </w:pPr>
            <w:r w:rsidRPr="00A210E1">
              <w:rPr>
                <w:rFonts w:ascii="Arial" w:hAnsi="Arial" w:cs="Arial"/>
                <w:color w:val="00435B"/>
                <w:sz w:val="20"/>
                <w:szCs w:val="20"/>
              </w:rPr>
              <w:t>2.</w:t>
            </w:r>
          </w:p>
        </w:tc>
        <w:tc>
          <w:tcPr>
            <w:tcW w:w="2531" w:type="dxa"/>
            <w:tcMar>
              <w:top w:w="0" w:type="dxa"/>
              <w:left w:w="108" w:type="dxa"/>
              <w:bottom w:w="0" w:type="dxa"/>
              <w:right w:w="108" w:type="dxa"/>
            </w:tcMar>
          </w:tcPr>
          <w:p w14:paraId="2368993B" w14:textId="77777777" w:rsidR="00774AA5" w:rsidRPr="00A210E1" w:rsidRDefault="00774AA5" w:rsidP="0003169B">
            <w:pPr>
              <w:keepNext/>
              <w:spacing w:after="0" w:line="240" w:lineRule="auto"/>
              <w:rPr>
                <w:rFonts w:ascii="Arial" w:hAnsi="Arial" w:cs="Arial"/>
                <w:color w:val="00435B"/>
                <w:sz w:val="20"/>
                <w:szCs w:val="20"/>
              </w:rPr>
            </w:pPr>
            <w:r w:rsidRPr="00A210E1">
              <w:rPr>
                <w:rFonts w:ascii="Arial" w:hAnsi="Arial" w:cs="Arial"/>
                <w:color w:val="00435B"/>
                <w:sz w:val="20"/>
                <w:szCs w:val="20"/>
              </w:rPr>
              <w:t>Initial access to the tenders received by means of the CPP shall commence</w:t>
            </w:r>
          </w:p>
        </w:tc>
        <w:tc>
          <w:tcPr>
            <w:tcW w:w="3643" w:type="dxa"/>
            <w:tcMar>
              <w:top w:w="0" w:type="dxa"/>
              <w:left w:w="108" w:type="dxa"/>
              <w:bottom w:w="0" w:type="dxa"/>
              <w:right w:w="108" w:type="dxa"/>
            </w:tcMar>
          </w:tcPr>
          <w:p w14:paraId="7ECB1EDB" w14:textId="19A68D8C"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no earlier than 30 minutes after the expiry of the deadline for submitting tenders</w:t>
            </w:r>
          </w:p>
        </w:tc>
        <w:tc>
          <w:tcPr>
            <w:tcW w:w="2954" w:type="dxa"/>
            <w:tcMar>
              <w:top w:w="0" w:type="dxa"/>
              <w:left w:w="108" w:type="dxa"/>
              <w:bottom w:w="0" w:type="dxa"/>
              <w:right w:w="108" w:type="dxa"/>
            </w:tcMar>
          </w:tcPr>
          <w:p w14:paraId="516BC120" w14:textId="3556D373" w:rsidR="00774AA5" w:rsidRPr="00A210E1" w:rsidRDefault="00774AA5" w:rsidP="0003169B">
            <w:pPr>
              <w:spacing w:after="0" w:line="240" w:lineRule="auto"/>
              <w:rPr>
                <w:rFonts w:ascii="Arial" w:hAnsi="Arial" w:cs="Arial"/>
                <w:iCs/>
                <w:color w:val="00435B"/>
                <w:sz w:val="20"/>
                <w:szCs w:val="20"/>
              </w:rPr>
            </w:pPr>
          </w:p>
        </w:tc>
      </w:tr>
      <w:tr w:rsidR="00531623" w:rsidRPr="00A210E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210E1" w:rsidRDefault="006932C2" w:rsidP="006932C2">
            <w:pPr>
              <w:keepNext/>
              <w:spacing w:after="0" w:line="240" w:lineRule="auto"/>
              <w:rPr>
                <w:rFonts w:ascii="Arial" w:hAnsi="Arial" w:cs="Arial"/>
                <w:bCs/>
                <w:color w:val="00435B"/>
                <w:sz w:val="20"/>
                <w:szCs w:val="20"/>
              </w:rPr>
            </w:pPr>
            <w:r w:rsidRPr="00A210E1">
              <w:rPr>
                <w:rFonts w:ascii="Arial" w:hAnsi="Arial" w:cs="Arial"/>
                <w:color w:val="00435B"/>
                <w:sz w:val="20"/>
                <w:szCs w:val="20"/>
              </w:rPr>
              <w:t>3.</w:t>
            </w:r>
          </w:p>
        </w:tc>
        <w:tc>
          <w:tcPr>
            <w:tcW w:w="2531" w:type="dxa"/>
            <w:tcMar>
              <w:top w:w="0" w:type="dxa"/>
              <w:left w:w="108" w:type="dxa"/>
              <w:bottom w:w="0" w:type="dxa"/>
              <w:right w:w="108" w:type="dxa"/>
            </w:tcMar>
          </w:tcPr>
          <w:p w14:paraId="4AD453C1" w14:textId="70320C71" w:rsidR="00774AA5" w:rsidRPr="00A210E1" w:rsidRDefault="00774AA5" w:rsidP="0003169B">
            <w:pPr>
              <w:keepNext/>
              <w:spacing w:after="0" w:line="240" w:lineRule="auto"/>
              <w:rPr>
                <w:rFonts w:ascii="Arial" w:hAnsi="Arial" w:cs="Arial"/>
                <w:bCs/>
                <w:color w:val="00435B"/>
                <w:sz w:val="20"/>
                <w:szCs w:val="20"/>
              </w:rPr>
            </w:pPr>
            <w:r w:rsidRPr="00A210E1">
              <w:rPr>
                <w:rFonts w:ascii="Arial" w:hAnsi="Arial" w:cs="Arial"/>
                <w:color w:val="00435B"/>
                <w:sz w:val="20"/>
                <w:szCs w:val="20"/>
              </w:rPr>
              <w:t>A supplier must submit a request for clarification or adjustment of the terms of procurement no later than:</w:t>
            </w:r>
          </w:p>
        </w:tc>
        <w:tc>
          <w:tcPr>
            <w:tcW w:w="3643" w:type="dxa"/>
            <w:tcMar>
              <w:top w:w="0" w:type="dxa"/>
              <w:left w:w="108" w:type="dxa"/>
              <w:bottom w:w="0" w:type="dxa"/>
              <w:right w:w="108" w:type="dxa"/>
            </w:tcMar>
          </w:tcPr>
          <w:p w14:paraId="56FC8010" w14:textId="2EA3C7CB" w:rsidR="00774AA5" w:rsidRPr="00A210E1" w:rsidRDefault="0026331A" w:rsidP="0003169B">
            <w:pPr>
              <w:spacing w:after="0" w:line="240" w:lineRule="auto"/>
              <w:rPr>
                <w:rFonts w:ascii="Arial" w:hAnsi="Arial" w:cs="Arial"/>
                <w:color w:val="00435B"/>
                <w:sz w:val="20"/>
                <w:szCs w:val="20"/>
              </w:rPr>
            </w:pPr>
            <w:r w:rsidRPr="00A210E1">
              <w:rPr>
                <w:rFonts w:ascii="Arial" w:hAnsi="Arial" w:cs="Arial"/>
                <w:color w:val="00435B"/>
                <w:sz w:val="20"/>
                <w:szCs w:val="20"/>
              </w:rPr>
              <w:t>10</w:t>
            </w:r>
            <w:r w:rsidR="005F17E7" w:rsidRPr="00A210E1">
              <w:rPr>
                <w:rFonts w:ascii="Arial" w:hAnsi="Arial" w:cs="Arial"/>
                <w:color w:val="00435B"/>
                <w:sz w:val="20"/>
                <w:szCs w:val="20"/>
              </w:rPr>
              <w:t xml:space="preserve"> days before the end of the deadline for submitting tenders.</w:t>
            </w:r>
          </w:p>
        </w:tc>
        <w:tc>
          <w:tcPr>
            <w:tcW w:w="2954" w:type="dxa"/>
            <w:tcMar>
              <w:top w:w="0" w:type="dxa"/>
              <w:left w:w="108" w:type="dxa"/>
              <w:bottom w:w="0" w:type="dxa"/>
              <w:right w:w="108" w:type="dxa"/>
            </w:tcMar>
          </w:tcPr>
          <w:p w14:paraId="6B3FEA86" w14:textId="7EDF13E6" w:rsidR="00774AA5" w:rsidRPr="00A210E1" w:rsidRDefault="00774AA5" w:rsidP="00424668">
            <w:pPr>
              <w:spacing w:after="0" w:line="240" w:lineRule="auto"/>
              <w:rPr>
                <w:rFonts w:ascii="Arial" w:hAnsi="Arial" w:cs="Arial"/>
                <w:iCs/>
                <w:color w:val="00435B"/>
                <w:sz w:val="20"/>
                <w:szCs w:val="20"/>
              </w:rPr>
            </w:pPr>
          </w:p>
        </w:tc>
      </w:tr>
      <w:tr w:rsidR="00531623" w:rsidRPr="00A210E1" w14:paraId="6E37868A" w14:textId="77777777" w:rsidTr="127DD6E8">
        <w:trPr>
          <w:trHeight w:val="20"/>
        </w:trPr>
        <w:tc>
          <w:tcPr>
            <w:tcW w:w="726" w:type="dxa"/>
            <w:tcMar>
              <w:top w:w="0" w:type="dxa"/>
              <w:left w:w="108" w:type="dxa"/>
              <w:bottom w:w="0" w:type="dxa"/>
              <w:right w:w="108" w:type="dxa"/>
            </w:tcMar>
          </w:tcPr>
          <w:p w14:paraId="5A3E2C4C" w14:textId="033C7E4A"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1E3634E1" w14:textId="6A145837"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The contracting authority shall provide a clarification or adjustment of the terms of procurement to all suppliers no later than:</w:t>
            </w:r>
          </w:p>
        </w:tc>
        <w:tc>
          <w:tcPr>
            <w:tcW w:w="3643" w:type="dxa"/>
            <w:tcMar>
              <w:top w:w="0" w:type="dxa"/>
              <w:left w:w="108" w:type="dxa"/>
              <w:bottom w:w="0" w:type="dxa"/>
              <w:right w:w="108" w:type="dxa"/>
            </w:tcMar>
          </w:tcPr>
          <w:p w14:paraId="4D170373" w14:textId="00DA9A44" w:rsidR="00774AA5" w:rsidRPr="00A210E1" w:rsidRDefault="0026331A" w:rsidP="0003169B">
            <w:pPr>
              <w:spacing w:after="0" w:line="240" w:lineRule="auto"/>
              <w:rPr>
                <w:rFonts w:ascii="Arial" w:hAnsi="Arial" w:cs="Arial"/>
                <w:color w:val="00435B"/>
                <w:sz w:val="20"/>
                <w:szCs w:val="20"/>
              </w:rPr>
            </w:pPr>
            <w:r w:rsidRPr="00A210E1">
              <w:rPr>
                <w:rFonts w:ascii="Arial" w:hAnsi="Arial" w:cs="Arial"/>
                <w:color w:val="00435B"/>
                <w:sz w:val="20"/>
                <w:szCs w:val="20"/>
              </w:rPr>
              <w:t>6</w:t>
            </w:r>
            <w:r w:rsidR="00CE1F13" w:rsidRPr="00A210E1">
              <w:rPr>
                <w:rFonts w:ascii="Arial" w:hAnsi="Arial" w:cs="Arial"/>
                <w:color w:val="00435B"/>
                <w:sz w:val="20"/>
                <w:szCs w:val="20"/>
              </w:rPr>
              <w:t xml:space="preserve"> days before the end of the deadline for submitting tenders.</w:t>
            </w:r>
          </w:p>
        </w:tc>
        <w:tc>
          <w:tcPr>
            <w:tcW w:w="2954" w:type="dxa"/>
            <w:tcMar>
              <w:top w:w="0" w:type="dxa"/>
              <w:left w:w="108" w:type="dxa"/>
              <w:bottom w:w="0" w:type="dxa"/>
              <w:right w:w="108" w:type="dxa"/>
            </w:tcMar>
          </w:tcPr>
          <w:p w14:paraId="2E898EC9" w14:textId="4CBDEFD3" w:rsidR="00774AA5" w:rsidRPr="00A210E1" w:rsidRDefault="00774AA5" w:rsidP="00CE1F13">
            <w:pPr>
              <w:spacing w:after="0" w:line="240" w:lineRule="auto"/>
              <w:rPr>
                <w:rFonts w:ascii="Arial" w:hAnsi="Arial" w:cs="Arial"/>
                <w:color w:val="00435B"/>
                <w:sz w:val="20"/>
                <w:szCs w:val="20"/>
              </w:rPr>
            </w:pPr>
          </w:p>
        </w:tc>
      </w:tr>
      <w:tr w:rsidR="00531623" w:rsidRPr="00A210E1" w14:paraId="7621DE63" w14:textId="77777777" w:rsidTr="127DD6E8">
        <w:trPr>
          <w:trHeight w:val="20"/>
        </w:trPr>
        <w:tc>
          <w:tcPr>
            <w:tcW w:w="726" w:type="dxa"/>
            <w:tcMar>
              <w:top w:w="0" w:type="dxa"/>
              <w:left w:w="108" w:type="dxa"/>
              <w:bottom w:w="0" w:type="dxa"/>
              <w:right w:w="108" w:type="dxa"/>
            </w:tcMar>
          </w:tcPr>
          <w:p w14:paraId="63314DF2" w14:textId="5548A91C"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758839D1" w14:textId="4F4D0EEB" w:rsidR="00774AA5" w:rsidRPr="00A210E1" w:rsidRDefault="00455131" w:rsidP="0003169B">
            <w:pPr>
              <w:spacing w:after="0" w:line="240" w:lineRule="auto"/>
              <w:rPr>
                <w:rFonts w:ascii="Arial" w:hAnsi="Arial" w:cs="Arial"/>
                <w:color w:val="00435B"/>
                <w:sz w:val="20"/>
                <w:szCs w:val="20"/>
              </w:rPr>
            </w:pPr>
            <w:r w:rsidRPr="00A210E1">
              <w:rPr>
                <w:rFonts w:ascii="Arial" w:hAnsi="Arial" w:cs="Arial"/>
                <w:color w:val="00435B"/>
                <w:sz w:val="20"/>
                <w:szCs w:val="20"/>
              </w:rPr>
              <w:t>Site visits will be carried out:</w:t>
            </w:r>
          </w:p>
        </w:tc>
        <w:tc>
          <w:tcPr>
            <w:tcW w:w="3643" w:type="dxa"/>
            <w:tcMar>
              <w:top w:w="0" w:type="dxa"/>
              <w:left w:w="108" w:type="dxa"/>
              <w:bottom w:w="0" w:type="dxa"/>
              <w:right w:w="108" w:type="dxa"/>
            </w:tcMar>
          </w:tcPr>
          <w:p w14:paraId="16ACE08C" w14:textId="77777777" w:rsidR="00774AA5" w:rsidRPr="00A210E1" w:rsidRDefault="00774AA5" w:rsidP="0003169B">
            <w:pPr>
              <w:spacing w:after="0" w:line="240" w:lineRule="auto"/>
              <w:rPr>
                <w:rFonts w:ascii="Arial" w:hAnsi="Arial" w:cs="Arial"/>
                <w:iCs/>
                <w:color w:val="00435B"/>
                <w:sz w:val="20"/>
                <w:szCs w:val="20"/>
              </w:rPr>
            </w:pPr>
            <w:r w:rsidRPr="00A210E1">
              <w:rPr>
                <w:rFonts w:ascii="Arial" w:hAnsi="Arial" w:cs="Arial"/>
                <w:color w:val="00435B"/>
                <w:sz w:val="20"/>
                <w:szCs w:val="20"/>
              </w:rPr>
              <w:t>NOT APPLICABLE</w:t>
            </w:r>
          </w:p>
        </w:tc>
        <w:tc>
          <w:tcPr>
            <w:tcW w:w="2954" w:type="dxa"/>
            <w:tcMar>
              <w:top w:w="0" w:type="dxa"/>
              <w:left w:w="108" w:type="dxa"/>
              <w:bottom w:w="0" w:type="dxa"/>
              <w:right w:w="108" w:type="dxa"/>
            </w:tcMar>
          </w:tcPr>
          <w:p w14:paraId="0CB425FC" w14:textId="5030F566" w:rsidR="00774AA5" w:rsidRPr="00A210E1" w:rsidRDefault="00774AA5" w:rsidP="0003169B">
            <w:pPr>
              <w:spacing w:after="0" w:line="240" w:lineRule="auto"/>
              <w:rPr>
                <w:rFonts w:ascii="Arial" w:hAnsi="Arial" w:cs="Arial"/>
                <w:color w:val="00435B"/>
                <w:sz w:val="20"/>
                <w:szCs w:val="20"/>
              </w:rPr>
            </w:pPr>
          </w:p>
        </w:tc>
      </w:tr>
      <w:tr w:rsidR="00531623" w:rsidRPr="00A210E1" w14:paraId="3AA572DF" w14:textId="77777777" w:rsidTr="127DD6E8">
        <w:trPr>
          <w:trHeight w:val="20"/>
        </w:trPr>
        <w:tc>
          <w:tcPr>
            <w:tcW w:w="726" w:type="dxa"/>
            <w:tcMar>
              <w:top w:w="0" w:type="dxa"/>
              <w:left w:w="108" w:type="dxa"/>
              <w:bottom w:w="0" w:type="dxa"/>
              <w:right w:w="108" w:type="dxa"/>
            </w:tcMar>
          </w:tcPr>
          <w:p w14:paraId="0C5D727C" w14:textId="097AAFC5"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77FDC819" w14:textId="2D3D8B4C"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The contracting authority shall hold meetings with suppliers to clarify the terms of procurement</w:t>
            </w:r>
          </w:p>
        </w:tc>
        <w:tc>
          <w:tcPr>
            <w:tcW w:w="3643" w:type="dxa"/>
            <w:tcMar>
              <w:top w:w="0" w:type="dxa"/>
              <w:left w:w="108" w:type="dxa"/>
              <w:bottom w:w="0" w:type="dxa"/>
              <w:right w:w="108" w:type="dxa"/>
            </w:tcMar>
          </w:tcPr>
          <w:p w14:paraId="37463C11" w14:textId="77777777" w:rsidR="00774AA5" w:rsidRPr="00A210E1" w:rsidRDefault="00774AA5" w:rsidP="0003169B">
            <w:pPr>
              <w:spacing w:after="0" w:line="240" w:lineRule="auto"/>
              <w:rPr>
                <w:rFonts w:ascii="Arial" w:hAnsi="Arial" w:cs="Arial"/>
                <w:iCs/>
                <w:color w:val="00435B"/>
                <w:sz w:val="20"/>
                <w:szCs w:val="20"/>
              </w:rPr>
            </w:pPr>
            <w:r w:rsidRPr="00A210E1">
              <w:rPr>
                <w:rFonts w:ascii="Arial" w:hAnsi="Arial" w:cs="Arial"/>
                <w:color w:val="00435B"/>
                <w:sz w:val="20"/>
                <w:szCs w:val="20"/>
              </w:rPr>
              <w:t>NOT APPLICABLE</w:t>
            </w:r>
          </w:p>
        </w:tc>
        <w:tc>
          <w:tcPr>
            <w:tcW w:w="2954" w:type="dxa"/>
            <w:tcMar>
              <w:top w:w="0" w:type="dxa"/>
              <w:left w:w="108" w:type="dxa"/>
              <w:bottom w:w="0" w:type="dxa"/>
              <w:right w:w="108" w:type="dxa"/>
            </w:tcMar>
          </w:tcPr>
          <w:p w14:paraId="1C7B20C9" w14:textId="1FC852E9" w:rsidR="00774AA5" w:rsidRPr="00A210E1" w:rsidRDefault="00774AA5" w:rsidP="0003169B">
            <w:pPr>
              <w:spacing w:after="0" w:line="240" w:lineRule="auto"/>
              <w:rPr>
                <w:rFonts w:ascii="Arial" w:hAnsi="Arial" w:cs="Arial"/>
                <w:color w:val="00435B"/>
                <w:sz w:val="20"/>
                <w:szCs w:val="20"/>
              </w:rPr>
            </w:pPr>
          </w:p>
        </w:tc>
      </w:tr>
      <w:tr w:rsidR="00531623" w:rsidRPr="00A210E1" w14:paraId="595801DB" w14:textId="77777777" w:rsidTr="127DD6E8">
        <w:trPr>
          <w:trHeight w:val="20"/>
        </w:trPr>
        <w:tc>
          <w:tcPr>
            <w:tcW w:w="726" w:type="dxa"/>
            <w:tcMar>
              <w:top w:w="0" w:type="dxa"/>
              <w:left w:w="108" w:type="dxa"/>
              <w:bottom w:w="0" w:type="dxa"/>
              <w:right w:w="108" w:type="dxa"/>
            </w:tcMar>
          </w:tcPr>
          <w:p w14:paraId="7834A329" w14:textId="7DD7B5EE"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1664470B" w14:textId="04429B88"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Suppliers must provide samples of goods</w:t>
            </w:r>
          </w:p>
        </w:tc>
        <w:tc>
          <w:tcPr>
            <w:tcW w:w="3643" w:type="dxa"/>
            <w:tcMar>
              <w:top w:w="0" w:type="dxa"/>
              <w:left w:w="108" w:type="dxa"/>
              <w:bottom w:w="0" w:type="dxa"/>
              <w:right w:w="108" w:type="dxa"/>
            </w:tcMar>
          </w:tcPr>
          <w:p w14:paraId="2276FCB7" w14:textId="66BB2A8D" w:rsidR="00774AA5" w:rsidRPr="00A210E1" w:rsidRDefault="00774AA5" w:rsidP="00FA7A3A">
            <w:pPr>
              <w:pStyle w:val="Body2"/>
              <w:spacing w:after="0"/>
              <w:rPr>
                <w:rFonts w:ascii="Arial" w:hAnsi="Arial" w:cs="Arial"/>
                <w:color w:val="00435B"/>
                <w:sz w:val="20"/>
                <w:szCs w:val="20"/>
              </w:rPr>
            </w:pPr>
            <w:r w:rsidRPr="00A210E1">
              <w:rPr>
                <w:rFonts w:ascii="Arial" w:hAnsi="Arial" w:cs="Arial"/>
                <w:color w:val="00435B"/>
                <w:sz w:val="20"/>
                <w:szCs w:val="20"/>
              </w:rPr>
              <w:t>NOT APPLICABLE</w:t>
            </w:r>
            <w:r w:rsidRPr="00A210E1">
              <w:rPr>
                <w:rFonts w:ascii="Arial" w:hAnsi="Arial" w:cs="Arial"/>
                <w:i/>
                <w:color w:val="00435B"/>
                <w:sz w:val="20"/>
                <w:szCs w:val="20"/>
              </w:rPr>
              <w:t xml:space="preserve"> </w:t>
            </w:r>
          </w:p>
        </w:tc>
        <w:tc>
          <w:tcPr>
            <w:tcW w:w="2954" w:type="dxa"/>
            <w:tcMar>
              <w:top w:w="0" w:type="dxa"/>
              <w:left w:w="108" w:type="dxa"/>
              <w:bottom w:w="0" w:type="dxa"/>
              <w:right w:w="108" w:type="dxa"/>
            </w:tcMar>
          </w:tcPr>
          <w:p w14:paraId="49C9AF54" w14:textId="060712A8" w:rsidR="00774AA5" w:rsidRPr="00A210E1" w:rsidRDefault="00774AA5" w:rsidP="0003169B">
            <w:pPr>
              <w:spacing w:after="0" w:line="240" w:lineRule="auto"/>
              <w:rPr>
                <w:rFonts w:ascii="Arial" w:hAnsi="Arial" w:cs="Arial"/>
                <w:color w:val="00435B"/>
                <w:sz w:val="20"/>
                <w:szCs w:val="20"/>
              </w:rPr>
            </w:pPr>
          </w:p>
        </w:tc>
      </w:tr>
      <w:tr w:rsidR="00531623" w:rsidRPr="00A210E1" w14:paraId="712AAA1F" w14:textId="77777777" w:rsidTr="127DD6E8">
        <w:trPr>
          <w:trHeight w:val="20"/>
        </w:trPr>
        <w:tc>
          <w:tcPr>
            <w:tcW w:w="726" w:type="dxa"/>
            <w:tcMar>
              <w:top w:w="0" w:type="dxa"/>
              <w:left w:w="108" w:type="dxa"/>
              <w:bottom w:w="0" w:type="dxa"/>
              <w:right w:w="108" w:type="dxa"/>
            </w:tcMar>
          </w:tcPr>
          <w:p w14:paraId="204C0E52" w14:textId="1B708D3D"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20CE1883"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The tender validity period and the tender security (if applicable) validity period shall be at least</w:t>
            </w:r>
          </w:p>
        </w:tc>
        <w:tc>
          <w:tcPr>
            <w:tcW w:w="3643" w:type="dxa"/>
            <w:tcMar>
              <w:top w:w="0" w:type="dxa"/>
              <w:left w:w="108" w:type="dxa"/>
              <w:bottom w:w="0" w:type="dxa"/>
              <w:right w:w="108" w:type="dxa"/>
            </w:tcMar>
          </w:tcPr>
          <w:p w14:paraId="1D8F2053" w14:textId="77777777" w:rsidR="00774AA5" w:rsidRPr="00A210E1" w:rsidRDefault="00774AA5" w:rsidP="0003169B">
            <w:pPr>
              <w:spacing w:after="0" w:line="240" w:lineRule="auto"/>
              <w:rPr>
                <w:rFonts w:ascii="Arial" w:hAnsi="Arial" w:cs="Arial"/>
                <w:iCs/>
                <w:color w:val="00435B"/>
                <w:sz w:val="20"/>
                <w:szCs w:val="20"/>
              </w:rPr>
            </w:pPr>
            <w:r w:rsidRPr="00A210E1">
              <w:rPr>
                <w:rFonts w:ascii="Arial" w:hAnsi="Arial" w:cs="Arial"/>
                <w:color w:val="00435B"/>
                <w:sz w:val="20"/>
                <w:szCs w:val="20"/>
              </w:rPr>
              <w:t>90 (ninety) days from the end of the deadline for submitting tenders</w:t>
            </w:r>
          </w:p>
        </w:tc>
        <w:tc>
          <w:tcPr>
            <w:tcW w:w="2954" w:type="dxa"/>
            <w:tcMar>
              <w:top w:w="0" w:type="dxa"/>
              <w:left w:w="108" w:type="dxa"/>
              <w:bottom w:w="0" w:type="dxa"/>
              <w:right w:w="108" w:type="dxa"/>
            </w:tcMar>
          </w:tcPr>
          <w:p w14:paraId="16D7D59D" w14:textId="7639E1B8" w:rsidR="00774AA5" w:rsidRPr="00A210E1" w:rsidRDefault="00774AA5" w:rsidP="0003169B">
            <w:pPr>
              <w:spacing w:after="0" w:line="240" w:lineRule="auto"/>
              <w:rPr>
                <w:rFonts w:ascii="Arial" w:hAnsi="Arial" w:cs="Arial"/>
                <w:color w:val="00435B"/>
                <w:sz w:val="20"/>
                <w:szCs w:val="20"/>
              </w:rPr>
            </w:pPr>
          </w:p>
        </w:tc>
      </w:tr>
      <w:tr w:rsidR="00531623" w:rsidRPr="00A210E1" w14:paraId="046FE48C" w14:textId="77777777" w:rsidTr="127DD6E8">
        <w:trPr>
          <w:trHeight w:val="20"/>
        </w:trPr>
        <w:tc>
          <w:tcPr>
            <w:tcW w:w="726" w:type="dxa"/>
            <w:tcMar>
              <w:top w:w="0" w:type="dxa"/>
              <w:left w:w="108" w:type="dxa"/>
              <w:bottom w:w="0" w:type="dxa"/>
              <w:right w:w="108" w:type="dxa"/>
            </w:tcMar>
          </w:tcPr>
          <w:p w14:paraId="0CCD490C" w14:textId="1C5F8541" w:rsidR="00774AA5" w:rsidRPr="00A210E1" w:rsidRDefault="00774AA5" w:rsidP="0097765E">
            <w:pPr>
              <w:pStyle w:val="Sraopastraipa"/>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3A78067C"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 xml:space="preserve">The contracting authority shall reply to the supplier whether it agrees to accept the supplier’s proposed document certifying the validity of the tender security no later than </w:t>
            </w:r>
          </w:p>
        </w:tc>
        <w:tc>
          <w:tcPr>
            <w:tcW w:w="3643" w:type="dxa"/>
            <w:tcMar>
              <w:top w:w="0" w:type="dxa"/>
              <w:left w:w="108" w:type="dxa"/>
              <w:bottom w:w="0" w:type="dxa"/>
              <w:right w:w="108" w:type="dxa"/>
            </w:tcMar>
          </w:tcPr>
          <w:p w14:paraId="4DD4DD87" w14:textId="6A36E546" w:rsidR="00774AA5" w:rsidRPr="00A210E1" w:rsidRDefault="00FA7A3A" w:rsidP="00FA7A3A">
            <w:pPr>
              <w:spacing w:after="0" w:line="240" w:lineRule="auto"/>
              <w:rPr>
                <w:rFonts w:ascii="Arial" w:hAnsi="Arial" w:cs="Arial"/>
                <w:iCs/>
                <w:color w:val="00435B"/>
                <w:sz w:val="20"/>
                <w:szCs w:val="20"/>
              </w:rPr>
            </w:pPr>
            <w:r w:rsidRPr="00A210E1">
              <w:rPr>
                <w:rFonts w:ascii="Arial" w:hAnsi="Arial" w:cs="Arial"/>
                <w:color w:val="00435B"/>
                <w:sz w:val="20"/>
                <w:szCs w:val="20"/>
              </w:rPr>
              <w:t>NOT APPLICABLE</w:t>
            </w:r>
          </w:p>
        </w:tc>
        <w:tc>
          <w:tcPr>
            <w:tcW w:w="2954" w:type="dxa"/>
            <w:tcMar>
              <w:top w:w="0" w:type="dxa"/>
              <w:left w:w="108" w:type="dxa"/>
              <w:bottom w:w="0" w:type="dxa"/>
              <w:right w:w="108" w:type="dxa"/>
            </w:tcMar>
          </w:tcPr>
          <w:p w14:paraId="7A43570F" w14:textId="23537F49" w:rsidR="00774AA5" w:rsidRPr="00A210E1" w:rsidRDefault="00774AA5" w:rsidP="127DD6E8">
            <w:pPr>
              <w:spacing w:after="0" w:line="240" w:lineRule="auto"/>
              <w:rPr>
                <w:rFonts w:ascii="Arial" w:hAnsi="Arial" w:cs="Arial"/>
                <w:color w:val="00435B"/>
                <w:sz w:val="20"/>
                <w:szCs w:val="20"/>
              </w:rPr>
            </w:pPr>
          </w:p>
        </w:tc>
      </w:tr>
      <w:tr w:rsidR="00531623" w:rsidRPr="00A210E1" w14:paraId="1F2EA374" w14:textId="77777777" w:rsidTr="127DD6E8">
        <w:trPr>
          <w:trHeight w:val="20"/>
        </w:trPr>
        <w:tc>
          <w:tcPr>
            <w:tcW w:w="726" w:type="dxa"/>
            <w:tcMar>
              <w:top w:w="0" w:type="dxa"/>
              <w:left w:w="108" w:type="dxa"/>
              <w:bottom w:w="0" w:type="dxa"/>
              <w:right w:w="108" w:type="dxa"/>
            </w:tcMar>
          </w:tcPr>
          <w:p w14:paraId="539F7958" w14:textId="226D3FF6"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27FEFE6F"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The tender security shall be returned to the tenderer (or waived) within</w:t>
            </w:r>
          </w:p>
        </w:tc>
        <w:tc>
          <w:tcPr>
            <w:tcW w:w="3643" w:type="dxa"/>
            <w:tcMar>
              <w:top w:w="0" w:type="dxa"/>
              <w:left w:w="108" w:type="dxa"/>
              <w:bottom w:w="0" w:type="dxa"/>
              <w:right w:w="108" w:type="dxa"/>
            </w:tcMar>
          </w:tcPr>
          <w:p w14:paraId="684369EC" w14:textId="30263ADE" w:rsidR="00774AA5" w:rsidRPr="00A210E1" w:rsidRDefault="00FA7A3A" w:rsidP="00FA7A3A">
            <w:pPr>
              <w:spacing w:after="0" w:line="240" w:lineRule="auto"/>
              <w:jc w:val="both"/>
              <w:rPr>
                <w:rFonts w:ascii="Arial" w:hAnsi="Arial" w:cs="Arial"/>
                <w:color w:val="00435B"/>
                <w:sz w:val="20"/>
                <w:szCs w:val="20"/>
              </w:rPr>
            </w:pPr>
            <w:r w:rsidRPr="00A210E1">
              <w:rPr>
                <w:rFonts w:ascii="Arial" w:hAnsi="Arial" w:cs="Arial"/>
                <w:color w:val="00435B"/>
                <w:sz w:val="20"/>
                <w:szCs w:val="20"/>
              </w:rPr>
              <w:t>NOT APPLICABLE</w:t>
            </w:r>
          </w:p>
        </w:tc>
        <w:tc>
          <w:tcPr>
            <w:tcW w:w="2954" w:type="dxa"/>
            <w:tcMar>
              <w:top w:w="0" w:type="dxa"/>
              <w:left w:w="108" w:type="dxa"/>
              <w:bottom w:w="0" w:type="dxa"/>
              <w:right w:w="108" w:type="dxa"/>
            </w:tcMar>
          </w:tcPr>
          <w:p w14:paraId="7D43700D" w14:textId="45AD1DFB" w:rsidR="00774AA5" w:rsidRPr="00A210E1" w:rsidRDefault="00774AA5" w:rsidP="0003169B">
            <w:pPr>
              <w:spacing w:after="0" w:line="240" w:lineRule="auto"/>
              <w:rPr>
                <w:rFonts w:ascii="Arial" w:hAnsi="Arial" w:cs="Arial"/>
                <w:color w:val="00435B"/>
                <w:sz w:val="20"/>
                <w:szCs w:val="20"/>
              </w:rPr>
            </w:pPr>
          </w:p>
        </w:tc>
      </w:tr>
      <w:tr w:rsidR="00531623" w:rsidRPr="00A210E1" w14:paraId="6D55395E" w14:textId="77777777" w:rsidTr="127DD6E8">
        <w:trPr>
          <w:trHeight w:val="20"/>
        </w:trPr>
        <w:tc>
          <w:tcPr>
            <w:tcW w:w="726" w:type="dxa"/>
            <w:tcMar>
              <w:top w:w="0" w:type="dxa"/>
              <w:left w:w="108" w:type="dxa"/>
              <w:bottom w:w="0" w:type="dxa"/>
              <w:right w:w="108" w:type="dxa"/>
            </w:tcMar>
          </w:tcPr>
          <w:p w14:paraId="5B414F03" w14:textId="2549B1DC"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738116EE"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 xml:space="preserve">The contracting authority shall inform tenderers of the results of the </w:t>
            </w:r>
            <w:r w:rsidRPr="00A210E1">
              <w:rPr>
                <w:rFonts w:ascii="Arial" w:hAnsi="Arial" w:cs="Arial"/>
                <w:color w:val="00435B"/>
                <w:sz w:val="20"/>
                <w:szCs w:val="20"/>
              </w:rPr>
              <w:lastRenderedPageBreak/>
              <w:t>evaluation of the ESPD no later than</w:t>
            </w:r>
          </w:p>
        </w:tc>
        <w:tc>
          <w:tcPr>
            <w:tcW w:w="3643" w:type="dxa"/>
            <w:tcMar>
              <w:top w:w="0" w:type="dxa"/>
              <w:left w:w="108" w:type="dxa"/>
              <w:bottom w:w="0" w:type="dxa"/>
              <w:right w:w="108" w:type="dxa"/>
            </w:tcMar>
          </w:tcPr>
          <w:p w14:paraId="3A59976E"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lastRenderedPageBreak/>
              <w:t>3 (three) business days after the date of the decision.</w:t>
            </w:r>
          </w:p>
        </w:tc>
        <w:tc>
          <w:tcPr>
            <w:tcW w:w="2954" w:type="dxa"/>
            <w:tcMar>
              <w:top w:w="0" w:type="dxa"/>
              <w:left w:w="108" w:type="dxa"/>
              <w:bottom w:w="0" w:type="dxa"/>
              <w:right w:w="108" w:type="dxa"/>
            </w:tcMar>
          </w:tcPr>
          <w:p w14:paraId="1A133141" w14:textId="16262ED2" w:rsidR="00774AA5" w:rsidRPr="00A210E1" w:rsidRDefault="00774AA5" w:rsidP="0003169B">
            <w:pPr>
              <w:spacing w:after="0" w:line="240" w:lineRule="auto"/>
              <w:rPr>
                <w:rFonts w:ascii="Arial" w:hAnsi="Arial" w:cs="Arial"/>
                <w:bCs/>
                <w:color w:val="00435B"/>
                <w:sz w:val="20"/>
                <w:szCs w:val="20"/>
              </w:rPr>
            </w:pPr>
          </w:p>
        </w:tc>
      </w:tr>
      <w:tr w:rsidR="00531623" w:rsidRPr="00A210E1" w14:paraId="59E99749" w14:textId="77777777" w:rsidTr="127DD6E8">
        <w:trPr>
          <w:trHeight w:val="20"/>
        </w:trPr>
        <w:tc>
          <w:tcPr>
            <w:tcW w:w="726" w:type="dxa"/>
            <w:tcMar>
              <w:top w:w="0" w:type="dxa"/>
              <w:left w:w="108" w:type="dxa"/>
              <w:bottom w:w="0" w:type="dxa"/>
              <w:right w:w="108" w:type="dxa"/>
            </w:tcMar>
          </w:tcPr>
          <w:p w14:paraId="7986B22C" w14:textId="28A1D23B"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3F6E38E5"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The contracting authority shall notify tenderers of its decision to determine the successful tender and award the contract to the successful tenderer no later than</w:t>
            </w:r>
          </w:p>
        </w:tc>
        <w:tc>
          <w:tcPr>
            <w:tcW w:w="3643" w:type="dxa"/>
            <w:tcMar>
              <w:top w:w="0" w:type="dxa"/>
              <w:left w:w="108" w:type="dxa"/>
              <w:bottom w:w="0" w:type="dxa"/>
              <w:right w:w="108" w:type="dxa"/>
            </w:tcMar>
          </w:tcPr>
          <w:p w14:paraId="02898D3A" w14:textId="1A56EDAC" w:rsidR="00774AA5" w:rsidRPr="00A210E1" w:rsidRDefault="00CC70B1" w:rsidP="0003169B">
            <w:pPr>
              <w:spacing w:after="0" w:line="240" w:lineRule="auto"/>
              <w:rPr>
                <w:rFonts w:ascii="Arial" w:hAnsi="Arial" w:cs="Arial"/>
                <w:bCs/>
                <w:color w:val="00435B"/>
                <w:sz w:val="20"/>
                <w:szCs w:val="20"/>
              </w:rPr>
            </w:pPr>
            <w:r w:rsidRPr="00A210E1">
              <w:rPr>
                <w:rFonts w:ascii="Arial" w:hAnsi="Arial" w:cs="Arial"/>
                <w:color w:val="00435B"/>
                <w:sz w:val="20"/>
                <w:szCs w:val="20"/>
              </w:rPr>
              <w:t>3 (three) business days after the date of the decision.</w:t>
            </w:r>
          </w:p>
        </w:tc>
        <w:tc>
          <w:tcPr>
            <w:tcW w:w="2954" w:type="dxa"/>
            <w:tcMar>
              <w:top w:w="0" w:type="dxa"/>
              <w:left w:w="108" w:type="dxa"/>
              <w:bottom w:w="0" w:type="dxa"/>
              <w:right w:w="108" w:type="dxa"/>
            </w:tcMar>
          </w:tcPr>
          <w:p w14:paraId="71FB89FD" w14:textId="2A118ABE" w:rsidR="00774AA5" w:rsidRPr="00A210E1" w:rsidRDefault="00774AA5" w:rsidP="0003169B">
            <w:pPr>
              <w:spacing w:after="0" w:line="240" w:lineRule="auto"/>
              <w:rPr>
                <w:rFonts w:ascii="Arial" w:hAnsi="Arial" w:cs="Arial"/>
                <w:color w:val="00435B"/>
                <w:sz w:val="20"/>
                <w:szCs w:val="20"/>
              </w:rPr>
            </w:pPr>
          </w:p>
        </w:tc>
      </w:tr>
      <w:tr w:rsidR="00531623" w:rsidRPr="00A210E1" w14:paraId="5D779D75" w14:textId="77777777" w:rsidTr="127DD6E8">
        <w:trPr>
          <w:trHeight w:val="20"/>
        </w:trPr>
        <w:tc>
          <w:tcPr>
            <w:tcW w:w="726" w:type="dxa"/>
            <w:tcMar>
              <w:top w:w="0" w:type="dxa"/>
              <w:left w:w="108" w:type="dxa"/>
              <w:bottom w:w="0" w:type="dxa"/>
              <w:right w:w="108" w:type="dxa"/>
            </w:tcMar>
          </w:tcPr>
          <w:p w14:paraId="715DBD55" w14:textId="53D9A072"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343562B6"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The contracting authority shall, at the written request of the tenderer, provide the tenderer with the information set out in PPL Article 58(2) no later than</w:t>
            </w:r>
          </w:p>
        </w:tc>
        <w:tc>
          <w:tcPr>
            <w:tcW w:w="3643" w:type="dxa"/>
            <w:tcMar>
              <w:top w:w="0" w:type="dxa"/>
              <w:left w:w="108" w:type="dxa"/>
              <w:bottom w:w="0" w:type="dxa"/>
              <w:right w:w="108" w:type="dxa"/>
            </w:tcMar>
          </w:tcPr>
          <w:p w14:paraId="7F18AB44"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15 (fifteen) days after the date of receipt of a written request from the tenderer.</w:t>
            </w:r>
          </w:p>
        </w:tc>
        <w:tc>
          <w:tcPr>
            <w:tcW w:w="2954" w:type="dxa"/>
            <w:tcMar>
              <w:top w:w="0" w:type="dxa"/>
              <w:left w:w="108" w:type="dxa"/>
              <w:bottom w:w="0" w:type="dxa"/>
              <w:right w:w="108" w:type="dxa"/>
            </w:tcMar>
          </w:tcPr>
          <w:p w14:paraId="7A6A5CD0" w14:textId="36C4D3EC" w:rsidR="00774AA5" w:rsidRPr="00A210E1" w:rsidRDefault="00774AA5" w:rsidP="0003169B">
            <w:pPr>
              <w:pStyle w:val="tajtip"/>
              <w:shd w:val="clear" w:color="auto" w:fill="FFFFFF"/>
              <w:spacing w:before="0" w:beforeAutospacing="0" w:after="0" w:afterAutospacing="0"/>
              <w:ind w:firstLine="313"/>
              <w:rPr>
                <w:rFonts w:ascii="Arial" w:hAnsi="Arial" w:cs="Arial"/>
                <w:color w:val="00435B"/>
                <w:sz w:val="20"/>
                <w:szCs w:val="20"/>
              </w:rPr>
            </w:pPr>
          </w:p>
        </w:tc>
      </w:tr>
      <w:tr w:rsidR="00531623" w:rsidRPr="00A210E1" w14:paraId="3739CF2C" w14:textId="77777777" w:rsidTr="127DD6E8">
        <w:trPr>
          <w:trHeight w:val="20"/>
        </w:trPr>
        <w:tc>
          <w:tcPr>
            <w:tcW w:w="726" w:type="dxa"/>
            <w:tcMar>
              <w:top w:w="0" w:type="dxa"/>
              <w:left w:w="108" w:type="dxa"/>
              <w:bottom w:w="0" w:type="dxa"/>
              <w:right w:w="108" w:type="dxa"/>
            </w:tcMar>
          </w:tcPr>
          <w:p w14:paraId="50E0821F" w14:textId="51531F71"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4FECB953"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shd w:val="clear" w:color="auto" w:fill="FFFFFF"/>
              </w:rPr>
              <w:t>A supplier shall have the right to lodge a complaint with the contracting authority, to submit a request to or to bring an action before a court no later than</w:t>
            </w:r>
          </w:p>
        </w:tc>
        <w:tc>
          <w:tcPr>
            <w:tcW w:w="3643" w:type="dxa"/>
            <w:tcMar>
              <w:top w:w="0" w:type="dxa"/>
              <w:left w:w="108" w:type="dxa"/>
              <w:bottom w:w="0" w:type="dxa"/>
              <w:right w:w="108" w:type="dxa"/>
            </w:tcMar>
          </w:tcPr>
          <w:p w14:paraId="38F150E0" w14:textId="4784DFC9" w:rsidR="006C7941" w:rsidRPr="00A210E1" w:rsidRDefault="00774AA5" w:rsidP="00FA7A3A">
            <w:pPr>
              <w:spacing w:after="0" w:line="240" w:lineRule="auto"/>
              <w:rPr>
                <w:rFonts w:ascii="Arial" w:hAnsi="Arial" w:cs="Arial"/>
                <w:color w:val="00435B"/>
                <w:sz w:val="20"/>
                <w:szCs w:val="20"/>
              </w:rPr>
            </w:pPr>
            <w:r w:rsidRPr="00A210E1">
              <w:rPr>
                <w:rFonts w:ascii="Arial" w:hAnsi="Arial" w:cs="Arial"/>
                <w:color w:val="00435B"/>
                <w:sz w:val="20"/>
                <w:szCs w:val="20"/>
              </w:rPr>
              <w:t>10 (ten) days</w:t>
            </w:r>
            <w:r w:rsidR="00FA7A3A" w:rsidRPr="00A210E1">
              <w:rPr>
                <w:rFonts w:ascii="Arial" w:hAnsi="Arial" w:cs="Arial"/>
                <w:color w:val="00435B"/>
                <w:sz w:val="20"/>
                <w:szCs w:val="20"/>
              </w:rPr>
              <w:t xml:space="preserve"> </w:t>
            </w:r>
            <w:r w:rsidR="00D65C16" w:rsidRPr="00A210E1">
              <w:rPr>
                <w:rFonts w:ascii="Arial" w:hAnsi="Arial" w:cs="Arial"/>
                <w:color w:val="00435B"/>
                <w:sz w:val="20"/>
                <w:szCs w:val="20"/>
              </w:rPr>
              <w:t>from the date of dispatch of the contracting authority’s written notification of its decision to the suppliers, or from the date of publication of the contracting authority’s decisions, unless the PPL provides for a requirement to inform the suppliers in writing of the contracting authority’s decisions;</w:t>
            </w:r>
          </w:p>
          <w:p w14:paraId="24167C40" w14:textId="4434CEE0" w:rsidR="00774AA5" w:rsidRPr="00A210E1" w:rsidRDefault="00D65C16" w:rsidP="006C7941">
            <w:pPr>
              <w:spacing w:after="0" w:line="240" w:lineRule="auto"/>
              <w:jc w:val="both"/>
              <w:rPr>
                <w:rFonts w:ascii="Arial" w:hAnsi="Arial" w:cs="Arial"/>
                <w:color w:val="00435B"/>
                <w:sz w:val="20"/>
                <w:szCs w:val="20"/>
              </w:rPr>
            </w:pPr>
            <w:r w:rsidRPr="00A210E1">
              <w:rPr>
                <w:rFonts w:ascii="Arial" w:hAnsi="Arial" w:cs="Arial"/>
                <w:color w:val="00435B"/>
                <w:sz w:val="20"/>
                <w:szCs w:val="20"/>
              </w:rPr>
              <w:t>15 (fifteen) days from the date of dispatch of the notice to the suppliers, unless the notice was sent by electronic means.</w:t>
            </w:r>
          </w:p>
        </w:tc>
        <w:tc>
          <w:tcPr>
            <w:tcW w:w="2954" w:type="dxa"/>
            <w:tcMar>
              <w:top w:w="0" w:type="dxa"/>
              <w:left w:w="108" w:type="dxa"/>
              <w:bottom w:w="0" w:type="dxa"/>
              <w:right w:w="108" w:type="dxa"/>
            </w:tcMar>
          </w:tcPr>
          <w:p w14:paraId="0DA96950" w14:textId="70776E48" w:rsidR="00774AA5" w:rsidRPr="00A210E1" w:rsidRDefault="00774AA5" w:rsidP="0003169B">
            <w:pPr>
              <w:spacing w:after="0" w:line="240" w:lineRule="auto"/>
              <w:rPr>
                <w:rFonts w:ascii="Arial" w:hAnsi="Arial" w:cs="Arial"/>
                <w:bCs/>
                <w:color w:val="00435B"/>
                <w:sz w:val="20"/>
                <w:szCs w:val="20"/>
              </w:rPr>
            </w:pPr>
          </w:p>
        </w:tc>
      </w:tr>
      <w:tr w:rsidR="00531623" w:rsidRPr="00A210E1" w14:paraId="1A8FC6DE" w14:textId="77777777" w:rsidTr="127DD6E8">
        <w:trPr>
          <w:trHeight w:val="20"/>
        </w:trPr>
        <w:tc>
          <w:tcPr>
            <w:tcW w:w="726" w:type="dxa"/>
            <w:tcMar>
              <w:top w:w="0" w:type="dxa"/>
              <w:left w:w="108" w:type="dxa"/>
              <w:bottom w:w="0" w:type="dxa"/>
              <w:right w:w="108" w:type="dxa"/>
            </w:tcMar>
          </w:tcPr>
          <w:p w14:paraId="3FCD8BCC" w14:textId="19D85D51" w:rsidR="00774AA5" w:rsidRPr="00A210E1" w:rsidRDefault="00774AA5" w:rsidP="0097765E">
            <w:pPr>
              <w:pStyle w:val="Sraopastraipa"/>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4B78EF85" w14:textId="77777777"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The contracting authority must examine the supplier’s complaint, take a reasoned decision and notify the complaining supplier and the tenderers concerned in writing of the decision, as well as of any change in the earlier-notified time limits of the procurement procedure, no later than</w:t>
            </w:r>
          </w:p>
        </w:tc>
        <w:tc>
          <w:tcPr>
            <w:tcW w:w="3643" w:type="dxa"/>
            <w:tcMar>
              <w:top w:w="0" w:type="dxa"/>
              <w:left w:w="108" w:type="dxa"/>
              <w:bottom w:w="0" w:type="dxa"/>
              <w:right w:w="108" w:type="dxa"/>
            </w:tcMar>
          </w:tcPr>
          <w:p w14:paraId="7989960F" w14:textId="77777777"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6 (six) business days after the date of receipt of the complaint.</w:t>
            </w:r>
          </w:p>
        </w:tc>
        <w:tc>
          <w:tcPr>
            <w:tcW w:w="2954" w:type="dxa"/>
            <w:tcMar>
              <w:top w:w="0" w:type="dxa"/>
              <w:left w:w="108" w:type="dxa"/>
              <w:bottom w:w="0" w:type="dxa"/>
              <w:right w:w="108" w:type="dxa"/>
            </w:tcMar>
          </w:tcPr>
          <w:p w14:paraId="2E4EA800" w14:textId="424A9933" w:rsidR="00774AA5" w:rsidRPr="00A210E1" w:rsidRDefault="00774AA5" w:rsidP="0003169B">
            <w:pPr>
              <w:spacing w:after="0" w:line="240" w:lineRule="auto"/>
              <w:rPr>
                <w:rFonts w:ascii="Arial" w:hAnsi="Arial" w:cs="Arial"/>
                <w:color w:val="00435B"/>
                <w:sz w:val="20"/>
                <w:szCs w:val="20"/>
              </w:rPr>
            </w:pPr>
          </w:p>
        </w:tc>
      </w:tr>
      <w:tr w:rsidR="00531623" w:rsidRPr="00A210E1" w14:paraId="65BDD6BA" w14:textId="77777777" w:rsidTr="127DD6E8">
        <w:trPr>
          <w:trHeight w:val="20"/>
        </w:trPr>
        <w:tc>
          <w:tcPr>
            <w:tcW w:w="726" w:type="dxa"/>
            <w:tcMar>
              <w:top w:w="0" w:type="dxa"/>
              <w:left w:w="108" w:type="dxa"/>
              <w:bottom w:w="0" w:type="dxa"/>
              <w:right w:w="108" w:type="dxa"/>
            </w:tcMar>
          </w:tcPr>
          <w:p w14:paraId="18CCF556" w14:textId="1FABF3A4" w:rsidR="00774AA5" w:rsidRPr="00A210E1" w:rsidRDefault="00774AA5" w:rsidP="0097765E">
            <w:pPr>
              <w:pStyle w:val="Sraopastraipa"/>
              <w:numPr>
                <w:ilvl w:val="0"/>
                <w:numId w:val="6"/>
              </w:numPr>
              <w:spacing w:after="0" w:line="240" w:lineRule="auto"/>
              <w:rPr>
                <w:rFonts w:ascii="Arial" w:hAnsi="Arial" w:cs="Arial"/>
                <w:bCs/>
                <w:color w:val="00435B"/>
                <w:sz w:val="20"/>
                <w:szCs w:val="20"/>
              </w:rPr>
            </w:pPr>
          </w:p>
        </w:tc>
        <w:tc>
          <w:tcPr>
            <w:tcW w:w="2531" w:type="dxa"/>
            <w:tcMar>
              <w:top w:w="0" w:type="dxa"/>
              <w:left w:w="108" w:type="dxa"/>
              <w:bottom w:w="0" w:type="dxa"/>
              <w:right w:w="108" w:type="dxa"/>
            </w:tcMar>
          </w:tcPr>
          <w:p w14:paraId="09ECB10C" w14:textId="77777777" w:rsidR="00774AA5" w:rsidRPr="00A210E1" w:rsidRDefault="00774AA5" w:rsidP="0003169B">
            <w:pPr>
              <w:spacing w:after="0" w:line="240" w:lineRule="auto"/>
              <w:rPr>
                <w:rFonts w:ascii="Arial" w:hAnsi="Arial" w:cs="Arial"/>
                <w:bCs/>
                <w:color w:val="00435B"/>
                <w:sz w:val="20"/>
                <w:szCs w:val="20"/>
              </w:rPr>
            </w:pPr>
            <w:r w:rsidRPr="00A210E1">
              <w:rPr>
                <w:rFonts w:ascii="Arial" w:hAnsi="Arial" w:cs="Arial"/>
                <w:color w:val="00435B"/>
                <w:sz w:val="20"/>
                <w:szCs w:val="20"/>
              </w:rPr>
              <w:t xml:space="preserve">If the contracting authority does not deal with the complaint submitted to it within the time limit set, the supplier shall have the right to submit a request to or bring an action before a court (except in the case of an action for invalidation of the contract) </w:t>
            </w:r>
          </w:p>
        </w:tc>
        <w:tc>
          <w:tcPr>
            <w:tcW w:w="3643" w:type="dxa"/>
            <w:tcMar>
              <w:top w:w="0" w:type="dxa"/>
              <w:left w:w="108" w:type="dxa"/>
              <w:bottom w:w="0" w:type="dxa"/>
              <w:right w:w="108" w:type="dxa"/>
            </w:tcMar>
          </w:tcPr>
          <w:p w14:paraId="5850D3CD" w14:textId="77777777"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within 15 (fifteen) days of the date on which the contracting authority should have notified the complaining supplier and the tenderers concerned of the decision in writing.</w:t>
            </w:r>
          </w:p>
        </w:tc>
        <w:tc>
          <w:tcPr>
            <w:tcW w:w="2954" w:type="dxa"/>
            <w:tcMar>
              <w:top w:w="0" w:type="dxa"/>
              <w:left w:w="108" w:type="dxa"/>
              <w:bottom w:w="0" w:type="dxa"/>
              <w:right w:w="108" w:type="dxa"/>
            </w:tcMar>
          </w:tcPr>
          <w:p w14:paraId="2FDA5363" w14:textId="6C91B860" w:rsidR="00774AA5" w:rsidRPr="00A210E1" w:rsidRDefault="00774AA5" w:rsidP="0003169B">
            <w:pPr>
              <w:spacing w:after="0" w:line="240" w:lineRule="auto"/>
              <w:rPr>
                <w:rFonts w:ascii="Arial" w:hAnsi="Arial" w:cs="Arial"/>
                <w:color w:val="00435B"/>
                <w:sz w:val="20"/>
                <w:szCs w:val="20"/>
              </w:rPr>
            </w:pPr>
          </w:p>
        </w:tc>
      </w:tr>
      <w:tr w:rsidR="00531623" w:rsidRPr="00A210E1" w14:paraId="1EEDC62F" w14:textId="77777777" w:rsidTr="127DD6E8">
        <w:trPr>
          <w:trHeight w:val="20"/>
        </w:trPr>
        <w:tc>
          <w:tcPr>
            <w:tcW w:w="726" w:type="dxa"/>
            <w:tcMar>
              <w:top w:w="0" w:type="dxa"/>
              <w:left w:w="108" w:type="dxa"/>
              <w:bottom w:w="0" w:type="dxa"/>
              <w:right w:w="108" w:type="dxa"/>
            </w:tcMar>
          </w:tcPr>
          <w:p w14:paraId="3EE38EA3" w14:textId="7B1FEB4A" w:rsidR="00774AA5" w:rsidRPr="00A210E1" w:rsidRDefault="00774AA5" w:rsidP="0097765E">
            <w:pPr>
              <w:pStyle w:val="Sraopastraipa"/>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3AE3E0BA" w14:textId="77777777" w:rsidR="00774AA5" w:rsidRPr="00A210E1" w:rsidRDefault="00774AA5" w:rsidP="0003169B">
            <w:pPr>
              <w:spacing w:after="0" w:line="240" w:lineRule="auto"/>
              <w:rPr>
                <w:rFonts w:ascii="Arial" w:hAnsi="Arial" w:cs="Arial"/>
                <w:color w:val="00435B"/>
                <w:sz w:val="20"/>
                <w:szCs w:val="20"/>
              </w:rPr>
            </w:pPr>
            <w:r w:rsidRPr="00A210E1">
              <w:rPr>
                <w:rFonts w:ascii="Arial" w:hAnsi="Arial" w:cs="Arial"/>
                <w:color w:val="00435B"/>
                <w:sz w:val="20"/>
                <w:szCs w:val="20"/>
              </w:rPr>
              <w:t>The contracting authority may not award the contract earlier than</w:t>
            </w:r>
          </w:p>
        </w:tc>
        <w:tc>
          <w:tcPr>
            <w:tcW w:w="3643" w:type="dxa"/>
            <w:tcMar>
              <w:top w:w="0" w:type="dxa"/>
              <w:left w:w="108" w:type="dxa"/>
              <w:bottom w:w="0" w:type="dxa"/>
              <w:right w:w="108" w:type="dxa"/>
            </w:tcMar>
          </w:tcPr>
          <w:p w14:paraId="1FD5A236" w14:textId="38B33636" w:rsidR="00774AA5" w:rsidRPr="00A210E1" w:rsidRDefault="00774AA5" w:rsidP="00531623">
            <w:pPr>
              <w:spacing w:after="0" w:line="240" w:lineRule="auto"/>
              <w:rPr>
                <w:rFonts w:ascii="Arial" w:hAnsi="Arial" w:cs="Arial"/>
                <w:color w:val="00435B"/>
                <w:sz w:val="20"/>
                <w:szCs w:val="20"/>
              </w:rPr>
            </w:pPr>
            <w:r w:rsidRPr="00A210E1">
              <w:rPr>
                <w:rFonts w:ascii="Arial" w:hAnsi="Arial" w:cs="Arial"/>
                <w:color w:val="00435B"/>
                <w:sz w:val="20"/>
                <w:szCs w:val="20"/>
              </w:rPr>
              <w:t>10 (ten) days after the date of dispatch of the contracting authority’s notification of its decision to award the contract (or, in the event of a complaint, of the written notification of its decision on the complaint) to the tenderers, and, if this notification was not sent by electronic means, earlier than 15 (fifteen) days.</w:t>
            </w:r>
          </w:p>
        </w:tc>
        <w:tc>
          <w:tcPr>
            <w:tcW w:w="2954" w:type="dxa"/>
            <w:tcMar>
              <w:top w:w="0" w:type="dxa"/>
              <w:left w:w="108" w:type="dxa"/>
              <w:bottom w:w="0" w:type="dxa"/>
              <w:right w:w="108" w:type="dxa"/>
            </w:tcMar>
          </w:tcPr>
          <w:p w14:paraId="61BCB161" w14:textId="39873F9D" w:rsidR="00774AA5" w:rsidRPr="00A210E1" w:rsidRDefault="00774AA5" w:rsidP="0003169B">
            <w:pPr>
              <w:spacing w:after="0" w:line="240" w:lineRule="auto"/>
              <w:rPr>
                <w:rFonts w:ascii="Arial" w:hAnsi="Arial" w:cs="Arial"/>
                <w:color w:val="00435B"/>
                <w:sz w:val="20"/>
                <w:szCs w:val="20"/>
              </w:rPr>
            </w:pPr>
          </w:p>
        </w:tc>
      </w:tr>
      <w:tr w:rsidR="00531623" w:rsidRPr="00A210E1" w14:paraId="74B4ACF3" w14:textId="77777777" w:rsidTr="54A44937">
        <w:trPr>
          <w:trHeight w:val="20"/>
        </w:trPr>
        <w:tc>
          <w:tcPr>
            <w:tcW w:w="726" w:type="dxa"/>
            <w:tcMar>
              <w:top w:w="0" w:type="dxa"/>
              <w:left w:w="108" w:type="dxa"/>
              <w:bottom w:w="0" w:type="dxa"/>
              <w:right w:w="108" w:type="dxa"/>
            </w:tcMar>
          </w:tcPr>
          <w:p w14:paraId="5A1CA8A8" w14:textId="77777777" w:rsidR="00F50C57" w:rsidRPr="00A210E1" w:rsidRDefault="00F50C57" w:rsidP="0097765E">
            <w:pPr>
              <w:pStyle w:val="Sraopastraipa"/>
              <w:numPr>
                <w:ilvl w:val="0"/>
                <w:numId w:val="6"/>
              </w:numPr>
              <w:spacing w:after="0" w:line="240" w:lineRule="auto"/>
              <w:rPr>
                <w:rFonts w:ascii="Arial" w:hAnsi="Arial" w:cs="Arial"/>
                <w:color w:val="00435B"/>
                <w:sz w:val="20"/>
                <w:szCs w:val="20"/>
              </w:rPr>
            </w:pPr>
          </w:p>
        </w:tc>
        <w:tc>
          <w:tcPr>
            <w:tcW w:w="2531" w:type="dxa"/>
            <w:tcMar>
              <w:top w:w="0" w:type="dxa"/>
              <w:left w:w="108" w:type="dxa"/>
              <w:bottom w:w="0" w:type="dxa"/>
              <w:right w:w="108" w:type="dxa"/>
            </w:tcMar>
          </w:tcPr>
          <w:p w14:paraId="187F2A99" w14:textId="787AA8A5" w:rsidR="00F50C57" w:rsidRPr="00A210E1" w:rsidRDefault="00F50C57" w:rsidP="0003169B">
            <w:pPr>
              <w:spacing w:after="0" w:line="240" w:lineRule="auto"/>
              <w:rPr>
                <w:rFonts w:ascii="Arial" w:hAnsi="Arial" w:cs="Arial"/>
                <w:color w:val="00435B"/>
                <w:sz w:val="20"/>
                <w:szCs w:val="20"/>
              </w:rPr>
            </w:pPr>
            <w:r w:rsidRPr="00A210E1">
              <w:rPr>
                <w:rFonts w:ascii="Arial" w:hAnsi="Arial" w:cs="Arial"/>
                <w:color w:val="00435B"/>
                <w:sz w:val="20"/>
                <w:szCs w:val="20"/>
              </w:rPr>
              <w:t>If the tenderer concerned asks the contracting authority to submit the successful tender</w:t>
            </w:r>
          </w:p>
        </w:tc>
        <w:tc>
          <w:tcPr>
            <w:tcW w:w="3643" w:type="dxa"/>
            <w:tcMar>
              <w:top w:w="0" w:type="dxa"/>
              <w:left w:w="108" w:type="dxa"/>
              <w:bottom w:w="0" w:type="dxa"/>
              <w:right w:w="108" w:type="dxa"/>
            </w:tcMar>
          </w:tcPr>
          <w:p w14:paraId="6E2FD726" w14:textId="2CFED9C8" w:rsidR="001B1895" w:rsidRPr="00A210E1" w:rsidRDefault="000B4E01" w:rsidP="00451AF7">
            <w:pPr>
              <w:spacing w:after="0" w:line="240" w:lineRule="auto"/>
              <w:jc w:val="both"/>
              <w:rPr>
                <w:rFonts w:ascii="Arial" w:hAnsi="Arial" w:cs="Arial"/>
                <w:i/>
                <w:iCs/>
                <w:color w:val="00435B"/>
                <w:sz w:val="20"/>
                <w:szCs w:val="20"/>
              </w:rPr>
            </w:pPr>
            <w:r w:rsidRPr="00A210E1">
              <w:rPr>
                <w:rFonts w:ascii="Arial" w:hAnsi="Arial" w:cs="Arial"/>
                <w:i/>
                <w:color w:val="00435B"/>
                <w:sz w:val="20"/>
                <w:szCs w:val="20"/>
              </w:rPr>
              <w:t xml:space="preserve">the time limit referred to in PPL Article 102(1) and the deferment period shall be extended for an additional period from the date of submission of the request to submit the successful tender by the tenderer concerned to the contracting authority until the successful tender has been submitted to the tenderer concerned. If the successful tenderer’s tender is submitted on the same day on which it was requested, the time limit referred to in PPL Article 102(1) and the deferment period shall be extended for one business day. </w:t>
            </w:r>
          </w:p>
          <w:p w14:paraId="6191E2D5" w14:textId="6A75E553" w:rsidR="00ED5B78" w:rsidRPr="00A210E1" w:rsidRDefault="00ED5B78" w:rsidP="00451AF7">
            <w:pPr>
              <w:spacing w:after="0" w:line="240" w:lineRule="auto"/>
              <w:jc w:val="both"/>
              <w:rPr>
                <w:rFonts w:ascii="Arial" w:hAnsi="Arial" w:cs="Arial"/>
                <w:i/>
                <w:iCs/>
                <w:color w:val="00435B"/>
                <w:sz w:val="20"/>
                <w:szCs w:val="20"/>
              </w:rPr>
            </w:pPr>
          </w:p>
        </w:tc>
        <w:tc>
          <w:tcPr>
            <w:tcW w:w="2954" w:type="dxa"/>
            <w:tcMar>
              <w:top w:w="0" w:type="dxa"/>
              <w:left w:w="108" w:type="dxa"/>
              <w:bottom w:w="0" w:type="dxa"/>
              <w:right w:w="108" w:type="dxa"/>
            </w:tcMar>
          </w:tcPr>
          <w:p w14:paraId="34B7E883" w14:textId="77777777" w:rsidR="00F50C57" w:rsidRPr="00A210E1" w:rsidRDefault="00F50C57" w:rsidP="0003169B">
            <w:pPr>
              <w:spacing w:after="0" w:line="240" w:lineRule="auto"/>
              <w:rPr>
                <w:rFonts w:ascii="Arial" w:hAnsi="Arial" w:cs="Arial"/>
                <w:color w:val="00435B"/>
                <w:sz w:val="20"/>
                <w:szCs w:val="20"/>
              </w:rPr>
            </w:pPr>
          </w:p>
        </w:tc>
      </w:tr>
    </w:tbl>
    <w:p w14:paraId="7300D3EE" w14:textId="187855F2" w:rsidR="008F59C5" w:rsidRPr="00A210E1" w:rsidRDefault="008F59C5" w:rsidP="008D704D">
      <w:pPr>
        <w:tabs>
          <w:tab w:val="left" w:pos="2977"/>
        </w:tabs>
        <w:spacing w:after="120" w:line="20" w:lineRule="atLeast"/>
        <w:jc w:val="center"/>
        <w:rPr>
          <w:rFonts w:ascii="Arial" w:eastAsia="Calibri" w:hAnsi="Arial" w:cs="Arial"/>
        </w:rPr>
      </w:pPr>
    </w:p>
    <w:p w14:paraId="4D10CC3E" w14:textId="3B1179ED" w:rsidR="00A4599F" w:rsidRPr="0001246C" w:rsidRDefault="00A4599F" w:rsidP="009F0698">
      <w:pPr>
        <w:rPr>
          <w:rFonts w:ascii="Arial" w:eastAsia="Calibri" w:hAnsi="Arial" w:cs="Arial"/>
        </w:rPr>
      </w:pPr>
    </w:p>
    <w:sectPr w:rsidR="00A4599F" w:rsidRPr="0001246C" w:rsidSect="00987B5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8FEA" w14:textId="77777777" w:rsidR="00692CB6" w:rsidRPr="00A210E1" w:rsidRDefault="00692CB6" w:rsidP="00D05666">
      <w:r w:rsidRPr="00A210E1">
        <w:separator/>
      </w:r>
    </w:p>
  </w:endnote>
  <w:endnote w:type="continuationSeparator" w:id="0">
    <w:p w14:paraId="56A0F271" w14:textId="77777777" w:rsidR="00692CB6" w:rsidRPr="00A210E1" w:rsidRDefault="00692CB6" w:rsidP="00D05666">
      <w:r w:rsidRPr="00A210E1">
        <w:continuationSeparator/>
      </w:r>
    </w:p>
  </w:endnote>
  <w:endnote w:type="continuationNotice" w:id="1">
    <w:p w14:paraId="4684BD51" w14:textId="77777777" w:rsidR="00692CB6" w:rsidRPr="00A210E1" w:rsidRDefault="00692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0AF20A5C" w:rsidR="000B685D" w:rsidRPr="00A210E1" w:rsidRDefault="000B685D">
        <w:pPr>
          <w:pStyle w:val="Porat"/>
          <w:jc w:val="right"/>
        </w:pPr>
        <w:r w:rsidRPr="00A210E1">
          <w:fldChar w:fldCharType="begin"/>
        </w:r>
        <w:r w:rsidRPr="00A210E1">
          <w:instrText xml:space="preserve"> PAGE   \* MERGEFORMAT </w:instrText>
        </w:r>
        <w:r w:rsidRPr="00A210E1">
          <w:fldChar w:fldCharType="separate"/>
        </w:r>
        <w:r w:rsidRPr="00A210E1">
          <w:t>2</w:t>
        </w:r>
        <w:r w:rsidRPr="00A210E1">
          <w:fldChar w:fldCharType="end"/>
        </w:r>
      </w:p>
    </w:sdtContent>
  </w:sdt>
  <w:p w14:paraId="384D48BF" w14:textId="77777777" w:rsidR="000B685D" w:rsidRPr="00A210E1"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6C76008D" w:rsidR="0043483A" w:rsidRPr="00A210E1" w:rsidRDefault="0043483A">
    <w:pPr>
      <w:pStyle w:val="Porat"/>
      <w:jc w:val="right"/>
    </w:pPr>
  </w:p>
  <w:p w14:paraId="2575BBBA" w14:textId="77777777" w:rsidR="0043483A" w:rsidRPr="00A210E1"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1489" w14:textId="77777777" w:rsidR="00692CB6" w:rsidRPr="00A210E1" w:rsidRDefault="00692CB6" w:rsidP="00D05666">
      <w:r w:rsidRPr="00A210E1">
        <w:separator/>
      </w:r>
    </w:p>
  </w:footnote>
  <w:footnote w:type="continuationSeparator" w:id="0">
    <w:p w14:paraId="738ABCE0" w14:textId="77777777" w:rsidR="00692CB6" w:rsidRPr="00A210E1" w:rsidRDefault="00692CB6" w:rsidP="00D05666">
      <w:r w:rsidRPr="00A210E1">
        <w:continuationSeparator/>
      </w:r>
    </w:p>
  </w:footnote>
  <w:footnote w:type="continuationNotice" w:id="1">
    <w:p w14:paraId="4E361DF6" w14:textId="77777777" w:rsidR="00692CB6" w:rsidRPr="00A210E1" w:rsidRDefault="00692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2B893C73" w:rsidR="00215B09" w:rsidRPr="00A210E1" w:rsidRDefault="00215B09">
    <w:pPr>
      <w:pStyle w:val="Antrats"/>
      <w:jc w:val="right"/>
    </w:pPr>
  </w:p>
  <w:p w14:paraId="68E3FFE8" w14:textId="3805043F" w:rsidR="0079367F" w:rsidRPr="00A210E1"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C650" w14:textId="0B340A5E" w:rsidR="00760537" w:rsidRPr="00A210E1" w:rsidRDefault="00760537">
    <w:pPr>
      <w:pStyle w:val="Antrats"/>
    </w:pPr>
    <w:r w:rsidRPr="00A210E1">
      <w:drawing>
        <wp:inline distT="0" distB="0" distL="0" distR="0" wp14:anchorId="238E4C87" wp14:editId="3DA5582A">
          <wp:extent cx="939165" cy="494030"/>
          <wp:effectExtent l="0" t="0" r="0" b="1270"/>
          <wp:docPr id="1626163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A84"/>
    <w:multiLevelType w:val="multilevel"/>
    <w:tmpl w:val="8126360C"/>
    <w:lvl w:ilvl="0">
      <w:start w:val="6"/>
      <w:numFmt w:val="decimal"/>
      <w:lvlText w:val="%1"/>
      <w:lvlJc w:val="left"/>
      <w:pPr>
        <w:ind w:left="480" w:hanging="480"/>
      </w:pPr>
      <w:rPr>
        <w:rFonts w:hint="default"/>
        <w:u w:val="none"/>
      </w:rPr>
    </w:lvl>
    <w:lvl w:ilvl="1">
      <w:start w:val="2"/>
      <w:numFmt w:val="decimal"/>
      <w:lvlText w:val="%1.%2"/>
      <w:lvlJc w:val="left"/>
      <w:pPr>
        <w:ind w:left="905" w:hanging="480"/>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1" w15:restartNumberingAfterBreak="0">
    <w:nsid w:val="087B0D86"/>
    <w:multiLevelType w:val="multilevel"/>
    <w:tmpl w:val="CF7A019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365AF0"/>
    <w:multiLevelType w:val="multilevel"/>
    <w:tmpl w:val="F384D928"/>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3222A1E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435B"/>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B2F6168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435B"/>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1"/>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8"/>
  </w:num>
  <w:num w:numId="18" w16cid:durableId="833304868">
    <w:abstractNumId w:val="6"/>
  </w:num>
  <w:num w:numId="19" w16cid:durableId="189989760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46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36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498"/>
    <w:rsid w:val="0008270A"/>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BC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46"/>
    <w:rsid w:val="000C7160"/>
    <w:rsid w:val="000D0F58"/>
    <w:rsid w:val="000D13D6"/>
    <w:rsid w:val="000D18E9"/>
    <w:rsid w:val="000D246C"/>
    <w:rsid w:val="000D26D8"/>
    <w:rsid w:val="000D412D"/>
    <w:rsid w:val="000D4406"/>
    <w:rsid w:val="000D4B9C"/>
    <w:rsid w:val="000D4BA8"/>
    <w:rsid w:val="000D4E2B"/>
    <w:rsid w:val="000D5C58"/>
    <w:rsid w:val="000D638A"/>
    <w:rsid w:val="000D71C2"/>
    <w:rsid w:val="000D7494"/>
    <w:rsid w:val="000D7AD2"/>
    <w:rsid w:val="000E083B"/>
    <w:rsid w:val="000E0EAE"/>
    <w:rsid w:val="000E10BD"/>
    <w:rsid w:val="000E149B"/>
    <w:rsid w:val="000E1743"/>
    <w:rsid w:val="000E2119"/>
    <w:rsid w:val="000E266E"/>
    <w:rsid w:val="000E2CA6"/>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23D"/>
    <w:rsid w:val="000F5948"/>
    <w:rsid w:val="000F7102"/>
    <w:rsid w:val="00100B38"/>
    <w:rsid w:val="0010108A"/>
    <w:rsid w:val="001010F7"/>
    <w:rsid w:val="00101313"/>
    <w:rsid w:val="00101C48"/>
    <w:rsid w:val="00101DB0"/>
    <w:rsid w:val="0010270D"/>
    <w:rsid w:val="00102D1D"/>
    <w:rsid w:val="001032F8"/>
    <w:rsid w:val="00103779"/>
    <w:rsid w:val="001045A6"/>
    <w:rsid w:val="0010505E"/>
    <w:rsid w:val="001059F7"/>
    <w:rsid w:val="00105A0C"/>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44"/>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21"/>
    <w:rsid w:val="00135B56"/>
    <w:rsid w:val="00135EEE"/>
    <w:rsid w:val="0013610E"/>
    <w:rsid w:val="001365CA"/>
    <w:rsid w:val="00136624"/>
    <w:rsid w:val="00136B6A"/>
    <w:rsid w:val="00140D50"/>
    <w:rsid w:val="0014104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309"/>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9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24"/>
    <w:rsid w:val="00190BC7"/>
    <w:rsid w:val="0019130D"/>
    <w:rsid w:val="00191CEF"/>
    <w:rsid w:val="001926B1"/>
    <w:rsid w:val="00192AF9"/>
    <w:rsid w:val="00192B6B"/>
    <w:rsid w:val="00192ED3"/>
    <w:rsid w:val="0019324A"/>
    <w:rsid w:val="00193984"/>
    <w:rsid w:val="00193D61"/>
    <w:rsid w:val="00194439"/>
    <w:rsid w:val="00194544"/>
    <w:rsid w:val="00194723"/>
    <w:rsid w:val="00195282"/>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9BE"/>
    <w:rsid w:val="001B77FA"/>
    <w:rsid w:val="001C001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DBE"/>
    <w:rsid w:val="001D2623"/>
    <w:rsid w:val="001D2CB6"/>
    <w:rsid w:val="001D37D8"/>
    <w:rsid w:val="001D414C"/>
    <w:rsid w:val="001D41F4"/>
    <w:rsid w:val="001D5752"/>
    <w:rsid w:val="001D590A"/>
    <w:rsid w:val="001D5D62"/>
    <w:rsid w:val="001D6035"/>
    <w:rsid w:val="001D612E"/>
    <w:rsid w:val="001D65F8"/>
    <w:rsid w:val="001D7492"/>
    <w:rsid w:val="001D7890"/>
    <w:rsid w:val="001D7BA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37"/>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48F"/>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558"/>
    <w:rsid w:val="00234717"/>
    <w:rsid w:val="00234920"/>
    <w:rsid w:val="0023505D"/>
    <w:rsid w:val="002358F1"/>
    <w:rsid w:val="00236546"/>
    <w:rsid w:val="002369F8"/>
    <w:rsid w:val="00236FBF"/>
    <w:rsid w:val="002374F8"/>
    <w:rsid w:val="00237EA0"/>
    <w:rsid w:val="002411C2"/>
    <w:rsid w:val="00241200"/>
    <w:rsid w:val="002415C7"/>
    <w:rsid w:val="0024180E"/>
    <w:rsid w:val="00241D43"/>
    <w:rsid w:val="00242459"/>
    <w:rsid w:val="002425E8"/>
    <w:rsid w:val="00242AA0"/>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1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90"/>
    <w:rsid w:val="002847F1"/>
    <w:rsid w:val="00285B02"/>
    <w:rsid w:val="00285E5E"/>
    <w:rsid w:val="002907D9"/>
    <w:rsid w:val="00290850"/>
    <w:rsid w:val="00290E7C"/>
    <w:rsid w:val="00290F12"/>
    <w:rsid w:val="00291DCB"/>
    <w:rsid w:val="0029216D"/>
    <w:rsid w:val="002926A1"/>
    <w:rsid w:val="00294B97"/>
    <w:rsid w:val="00294BE3"/>
    <w:rsid w:val="00294D7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63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D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CF3"/>
    <w:rsid w:val="0031420A"/>
    <w:rsid w:val="00314972"/>
    <w:rsid w:val="00314A80"/>
    <w:rsid w:val="00314BA3"/>
    <w:rsid w:val="003155D3"/>
    <w:rsid w:val="0031574F"/>
    <w:rsid w:val="00317AC3"/>
    <w:rsid w:val="00317BAC"/>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02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85C"/>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8D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E6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09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0"/>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F2"/>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EE"/>
    <w:rsid w:val="00465067"/>
    <w:rsid w:val="004658BF"/>
    <w:rsid w:val="00467B1D"/>
    <w:rsid w:val="00467FCB"/>
    <w:rsid w:val="0047047D"/>
    <w:rsid w:val="00471043"/>
    <w:rsid w:val="004712B7"/>
    <w:rsid w:val="004713B5"/>
    <w:rsid w:val="004716E0"/>
    <w:rsid w:val="004720C4"/>
    <w:rsid w:val="00472910"/>
    <w:rsid w:val="00472F7A"/>
    <w:rsid w:val="00472F8C"/>
    <w:rsid w:val="0047399D"/>
    <w:rsid w:val="00473DA9"/>
    <w:rsid w:val="00473F34"/>
    <w:rsid w:val="004745B4"/>
    <w:rsid w:val="00475262"/>
    <w:rsid w:val="0047554A"/>
    <w:rsid w:val="00475F9B"/>
    <w:rsid w:val="00476119"/>
    <w:rsid w:val="0047687E"/>
    <w:rsid w:val="00476CDD"/>
    <w:rsid w:val="00476F8C"/>
    <w:rsid w:val="00477E28"/>
    <w:rsid w:val="00481256"/>
    <w:rsid w:val="004812E8"/>
    <w:rsid w:val="00481849"/>
    <w:rsid w:val="00482647"/>
    <w:rsid w:val="00482BC0"/>
    <w:rsid w:val="00483066"/>
    <w:rsid w:val="00483462"/>
    <w:rsid w:val="00483AC8"/>
    <w:rsid w:val="00483E10"/>
    <w:rsid w:val="004847DE"/>
    <w:rsid w:val="00484906"/>
    <w:rsid w:val="00484E76"/>
    <w:rsid w:val="0048587E"/>
    <w:rsid w:val="00485E23"/>
    <w:rsid w:val="0048654D"/>
    <w:rsid w:val="004867B9"/>
    <w:rsid w:val="00486B0D"/>
    <w:rsid w:val="00486DCD"/>
    <w:rsid w:val="004873D5"/>
    <w:rsid w:val="0048777E"/>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7F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B3A"/>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07"/>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A61"/>
    <w:rsid w:val="004F6FEF"/>
    <w:rsid w:val="004F7943"/>
    <w:rsid w:val="0050014A"/>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4D"/>
    <w:rsid w:val="00540C9A"/>
    <w:rsid w:val="0054132A"/>
    <w:rsid w:val="005415E4"/>
    <w:rsid w:val="00541BC4"/>
    <w:rsid w:val="005420ED"/>
    <w:rsid w:val="00542A74"/>
    <w:rsid w:val="00543248"/>
    <w:rsid w:val="00543AE0"/>
    <w:rsid w:val="005448A6"/>
    <w:rsid w:val="005464B7"/>
    <w:rsid w:val="0054683F"/>
    <w:rsid w:val="00547265"/>
    <w:rsid w:val="00547443"/>
    <w:rsid w:val="005505A6"/>
    <w:rsid w:val="005505BF"/>
    <w:rsid w:val="00551B0D"/>
    <w:rsid w:val="00551FA7"/>
    <w:rsid w:val="00553286"/>
    <w:rsid w:val="00553E2C"/>
    <w:rsid w:val="0055476C"/>
    <w:rsid w:val="00554B72"/>
    <w:rsid w:val="0055710D"/>
    <w:rsid w:val="00557458"/>
    <w:rsid w:val="005605D0"/>
    <w:rsid w:val="00560AD2"/>
    <w:rsid w:val="00560EB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9C"/>
    <w:rsid w:val="005C1E12"/>
    <w:rsid w:val="005C3F18"/>
    <w:rsid w:val="005C48EB"/>
    <w:rsid w:val="005C5BD5"/>
    <w:rsid w:val="005C6C2A"/>
    <w:rsid w:val="005C6D8F"/>
    <w:rsid w:val="005D08AD"/>
    <w:rsid w:val="005D0CD2"/>
    <w:rsid w:val="005D1328"/>
    <w:rsid w:val="005D14DC"/>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AD"/>
    <w:rsid w:val="005F3DEF"/>
    <w:rsid w:val="005F3FEB"/>
    <w:rsid w:val="005F4815"/>
    <w:rsid w:val="005F5663"/>
    <w:rsid w:val="005F5849"/>
    <w:rsid w:val="005F5EF4"/>
    <w:rsid w:val="005F5F2C"/>
    <w:rsid w:val="005F60EC"/>
    <w:rsid w:val="005F63CB"/>
    <w:rsid w:val="005F68D4"/>
    <w:rsid w:val="005F6991"/>
    <w:rsid w:val="005F70E4"/>
    <w:rsid w:val="005F7EBF"/>
    <w:rsid w:val="006005FE"/>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38A"/>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8B1"/>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B1D"/>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BD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B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28"/>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A5C"/>
    <w:rsid w:val="00706BD5"/>
    <w:rsid w:val="00706F4D"/>
    <w:rsid w:val="00707712"/>
    <w:rsid w:val="007101B7"/>
    <w:rsid w:val="00710F05"/>
    <w:rsid w:val="0071157E"/>
    <w:rsid w:val="007117A7"/>
    <w:rsid w:val="007128D8"/>
    <w:rsid w:val="007128DA"/>
    <w:rsid w:val="00712D41"/>
    <w:rsid w:val="007132AB"/>
    <w:rsid w:val="00713598"/>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C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3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24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5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2FFE"/>
    <w:rsid w:val="007B3B8D"/>
    <w:rsid w:val="007B43A1"/>
    <w:rsid w:val="007B4DFE"/>
    <w:rsid w:val="007B52AF"/>
    <w:rsid w:val="007B53FD"/>
    <w:rsid w:val="007B6219"/>
    <w:rsid w:val="007B67F9"/>
    <w:rsid w:val="007B6F6D"/>
    <w:rsid w:val="007B732B"/>
    <w:rsid w:val="007B7651"/>
    <w:rsid w:val="007B773D"/>
    <w:rsid w:val="007C0612"/>
    <w:rsid w:val="007C136F"/>
    <w:rsid w:val="007C1C57"/>
    <w:rsid w:val="007C222C"/>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5D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ADF"/>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28"/>
    <w:rsid w:val="00862DB8"/>
    <w:rsid w:val="0086303D"/>
    <w:rsid w:val="008638DF"/>
    <w:rsid w:val="00864390"/>
    <w:rsid w:val="008643DD"/>
    <w:rsid w:val="008656E1"/>
    <w:rsid w:val="008662A0"/>
    <w:rsid w:val="0086727C"/>
    <w:rsid w:val="00867806"/>
    <w:rsid w:val="008678E4"/>
    <w:rsid w:val="00867D33"/>
    <w:rsid w:val="0087000A"/>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014"/>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8"/>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97"/>
    <w:rsid w:val="008C5210"/>
    <w:rsid w:val="008C5433"/>
    <w:rsid w:val="008C5658"/>
    <w:rsid w:val="008C5F5E"/>
    <w:rsid w:val="008C6767"/>
    <w:rsid w:val="008C6D60"/>
    <w:rsid w:val="008C6FC9"/>
    <w:rsid w:val="008C6FF4"/>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8F3"/>
    <w:rsid w:val="00904BC4"/>
    <w:rsid w:val="00905C8B"/>
    <w:rsid w:val="009079D3"/>
    <w:rsid w:val="00910C39"/>
    <w:rsid w:val="00911B90"/>
    <w:rsid w:val="00911C54"/>
    <w:rsid w:val="009122A7"/>
    <w:rsid w:val="00912795"/>
    <w:rsid w:val="00913029"/>
    <w:rsid w:val="00913EE3"/>
    <w:rsid w:val="00913FB0"/>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684"/>
    <w:rsid w:val="00925348"/>
    <w:rsid w:val="00925B89"/>
    <w:rsid w:val="009265B6"/>
    <w:rsid w:val="00927DE7"/>
    <w:rsid w:val="00927FB2"/>
    <w:rsid w:val="00927FFC"/>
    <w:rsid w:val="009301DB"/>
    <w:rsid w:val="009302A6"/>
    <w:rsid w:val="0093049E"/>
    <w:rsid w:val="00930569"/>
    <w:rsid w:val="00931518"/>
    <w:rsid w:val="00931E5B"/>
    <w:rsid w:val="00931F19"/>
    <w:rsid w:val="009323DD"/>
    <w:rsid w:val="0093261C"/>
    <w:rsid w:val="00934599"/>
    <w:rsid w:val="00935371"/>
    <w:rsid w:val="00935826"/>
    <w:rsid w:val="0093767A"/>
    <w:rsid w:val="009400B9"/>
    <w:rsid w:val="0094037E"/>
    <w:rsid w:val="00940EF8"/>
    <w:rsid w:val="00942030"/>
    <w:rsid w:val="00942226"/>
    <w:rsid w:val="00942379"/>
    <w:rsid w:val="009425A7"/>
    <w:rsid w:val="00942662"/>
    <w:rsid w:val="00942B80"/>
    <w:rsid w:val="00942BCA"/>
    <w:rsid w:val="00942C81"/>
    <w:rsid w:val="0094429A"/>
    <w:rsid w:val="00945504"/>
    <w:rsid w:val="0094618F"/>
    <w:rsid w:val="009465A0"/>
    <w:rsid w:val="00946722"/>
    <w:rsid w:val="00947196"/>
    <w:rsid w:val="009501C3"/>
    <w:rsid w:val="009502BE"/>
    <w:rsid w:val="009502F5"/>
    <w:rsid w:val="0095251F"/>
    <w:rsid w:val="00952B89"/>
    <w:rsid w:val="0095321C"/>
    <w:rsid w:val="00953D09"/>
    <w:rsid w:val="00953F2B"/>
    <w:rsid w:val="00954A8F"/>
    <w:rsid w:val="00955067"/>
    <w:rsid w:val="00955109"/>
    <w:rsid w:val="00955E82"/>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EC"/>
    <w:rsid w:val="009773F1"/>
    <w:rsid w:val="009774CC"/>
    <w:rsid w:val="0097765E"/>
    <w:rsid w:val="009778F8"/>
    <w:rsid w:val="00980D68"/>
    <w:rsid w:val="0098179C"/>
    <w:rsid w:val="009827EC"/>
    <w:rsid w:val="00982EE8"/>
    <w:rsid w:val="00983A43"/>
    <w:rsid w:val="009841CD"/>
    <w:rsid w:val="00984B02"/>
    <w:rsid w:val="009855D4"/>
    <w:rsid w:val="00985A84"/>
    <w:rsid w:val="00985BDD"/>
    <w:rsid w:val="00985F55"/>
    <w:rsid w:val="00986CE1"/>
    <w:rsid w:val="00986FE3"/>
    <w:rsid w:val="00987B56"/>
    <w:rsid w:val="00987DE7"/>
    <w:rsid w:val="00990052"/>
    <w:rsid w:val="00990E9B"/>
    <w:rsid w:val="0099105F"/>
    <w:rsid w:val="009910A4"/>
    <w:rsid w:val="00991D5A"/>
    <w:rsid w:val="009921F1"/>
    <w:rsid w:val="0099297C"/>
    <w:rsid w:val="00993376"/>
    <w:rsid w:val="0099370A"/>
    <w:rsid w:val="00993EC5"/>
    <w:rsid w:val="0099404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4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D0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DC"/>
    <w:rsid w:val="009D1FB3"/>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F3"/>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730"/>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E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F2"/>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95"/>
    <w:rsid w:val="00A52B08"/>
    <w:rsid w:val="00A53041"/>
    <w:rsid w:val="00A53BAE"/>
    <w:rsid w:val="00A54FCF"/>
    <w:rsid w:val="00A5552B"/>
    <w:rsid w:val="00A55891"/>
    <w:rsid w:val="00A55AA5"/>
    <w:rsid w:val="00A560A2"/>
    <w:rsid w:val="00A56FCF"/>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B1"/>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26D"/>
    <w:rsid w:val="00A8284B"/>
    <w:rsid w:val="00A829C4"/>
    <w:rsid w:val="00A82A79"/>
    <w:rsid w:val="00A82BCF"/>
    <w:rsid w:val="00A83F3F"/>
    <w:rsid w:val="00A84166"/>
    <w:rsid w:val="00A84566"/>
    <w:rsid w:val="00A84687"/>
    <w:rsid w:val="00A84D66"/>
    <w:rsid w:val="00A865DA"/>
    <w:rsid w:val="00A86EE9"/>
    <w:rsid w:val="00A870BD"/>
    <w:rsid w:val="00A90AF8"/>
    <w:rsid w:val="00A91483"/>
    <w:rsid w:val="00A92611"/>
    <w:rsid w:val="00A934E0"/>
    <w:rsid w:val="00A93C35"/>
    <w:rsid w:val="00A93C5D"/>
    <w:rsid w:val="00A940CF"/>
    <w:rsid w:val="00A94866"/>
    <w:rsid w:val="00A9488B"/>
    <w:rsid w:val="00A94AAE"/>
    <w:rsid w:val="00A96518"/>
    <w:rsid w:val="00A96630"/>
    <w:rsid w:val="00A967FE"/>
    <w:rsid w:val="00A96A2B"/>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B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1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62A"/>
    <w:rsid w:val="00AD352D"/>
    <w:rsid w:val="00AD3648"/>
    <w:rsid w:val="00AD3951"/>
    <w:rsid w:val="00AD3DCD"/>
    <w:rsid w:val="00AD4055"/>
    <w:rsid w:val="00AD5069"/>
    <w:rsid w:val="00AD51F7"/>
    <w:rsid w:val="00AD56F4"/>
    <w:rsid w:val="00AD57B1"/>
    <w:rsid w:val="00AD5BC5"/>
    <w:rsid w:val="00AD5DD1"/>
    <w:rsid w:val="00AD6119"/>
    <w:rsid w:val="00AD640D"/>
    <w:rsid w:val="00AD6A9B"/>
    <w:rsid w:val="00AD7D83"/>
    <w:rsid w:val="00AE0668"/>
    <w:rsid w:val="00AE1244"/>
    <w:rsid w:val="00AE1C5F"/>
    <w:rsid w:val="00AE2B70"/>
    <w:rsid w:val="00AE3439"/>
    <w:rsid w:val="00AE422D"/>
    <w:rsid w:val="00AE4FD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23"/>
    <w:rsid w:val="00AF551E"/>
    <w:rsid w:val="00AF58B1"/>
    <w:rsid w:val="00AF5CF4"/>
    <w:rsid w:val="00AF6074"/>
    <w:rsid w:val="00AF62E6"/>
    <w:rsid w:val="00AF6775"/>
    <w:rsid w:val="00AF6844"/>
    <w:rsid w:val="00AF76C1"/>
    <w:rsid w:val="00AF7CB0"/>
    <w:rsid w:val="00AF7F98"/>
    <w:rsid w:val="00AF7FB3"/>
    <w:rsid w:val="00B0000B"/>
    <w:rsid w:val="00B004F2"/>
    <w:rsid w:val="00B00C12"/>
    <w:rsid w:val="00B012CF"/>
    <w:rsid w:val="00B015FC"/>
    <w:rsid w:val="00B01A92"/>
    <w:rsid w:val="00B01C30"/>
    <w:rsid w:val="00B03CE0"/>
    <w:rsid w:val="00B056D3"/>
    <w:rsid w:val="00B05A03"/>
    <w:rsid w:val="00B066D8"/>
    <w:rsid w:val="00B06A47"/>
    <w:rsid w:val="00B06EA0"/>
    <w:rsid w:val="00B07665"/>
    <w:rsid w:val="00B1096B"/>
    <w:rsid w:val="00B1123C"/>
    <w:rsid w:val="00B123E4"/>
    <w:rsid w:val="00B12512"/>
    <w:rsid w:val="00B128BF"/>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76"/>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56"/>
    <w:rsid w:val="00B5429E"/>
    <w:rsid w:val="00B54910"/>
    <w:rsid w:val="00B54C37"/>
    <w:rsid w:val="00B54DAB"/>
    <w:rsid w:val="00B5521E"/>
    <w:rsid w:val="00B55A65"/>
    <w:rsid w:val="00B55FAF"/>
    <w:rsid w:val="00B566E3"/>
    <w:rsid w:val="00B56D81"/>
    <w:rsid w:val="00B57190"/>
    <w:rsid w:val="00B600AE"/>
    <w:rsid w:val="00B606C9"/>
    <w:rsid w:val="00B60CB8"/>
    <w:rsid w:val="00B61E41"/>
    <w:rsid w:val="00B61F68"/>
    <w:rsid w:val="00B62973"/>
    <w:rsid w:val="00B62AF3"/>
    <w:rsid w:val="00B62C56"/>
    <w:rsid w:val="00B62D48"/>
    <w:rsid w:val="00B64F95"/>
    <w:rsid w:val="00B6522C"/>
    <w:rsid w:val="00B659BC"/>
    <w:rsid w:val="00B65F97"/>
    <w:rsid w:val="00B669F2"/>
    <w:rsid w:val="00B66E67"/>
    <w:rsid w:val="00B67D76"/>
    <w:rsid w:val="00B70104"/>
    <w:rsid w:val="00B712C7"/>
    <w:rsid w:val="00B71910"/>
    <w:rsid w:val="00B71986"/>
    <w:rsid w:val="00B71B06"/>
    <w:rsid w:val="00B72BAC"/>
    <w:rsid w:val="00B73A00"/>
    <w:rsid w:val="00B741D0"/>
    <w:rsid w:val="00B7494D"/>
    <w:rsid w:val="00B7560A"/>
    <w:rsid w:val="00B75AF1"/>
    <w:rsid w:val="00B75F6D"/>
    <w:rsid w:val="00B7632D"/>
    <w:rsid w:val="00B76501"/>
    <w:rsid w:val="00B76FA2"/>
    <w:rsid w:val="00B771CF"/>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C6"/>
    <w:rsid w:val="00BD0C86"/>
    <w:rsid w:val="00BD190B"/>
    <w:rsid w:val="00BD22D9"/>
    <w:rsid w:val="00BD3C64"/>
    <w:rsid w:val="00BD3E94"/>
    <w:rsid w:val="00BD41D7"/>
    <w:rsid w:val="00BD4544"/>
    <w:rsid w:val="00BD498D"/>
    <w:rsid w:val="00BD4F7F"/>
    <w:rsid w:val="00BD584D"/>
    <w:rsid w:val="00BD65B2"/>
    <w:rsid w:val="00BD7C43"/>
    <w:rsid w:val="00BE0587"/>
    <w:rsid w:val="00BE180E"/>
    <w:rsid w:val="00BE1858"/>
    <w:rsid w:val="00BE190E"/>
    <w:rsid w:val="00BE2540"/>
    <w:rsid w:val="00BE2699"/>
    <w:rsid w:val="00BE26FA"/>
    <w:rsid w:val="00BE2D5F"/>
    <w:rsid w:val="00BE3A4E"/>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8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D16"/>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2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32"/>
    <w:rsid w:val="00C63C64"/>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1BB"/>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24B"/>
    <w:rsid w:val="00CD46EA"/>
    <w:rsid w:val="00CD483E"/>
    <w:rsid w:val="00CD4A66"/>
    <w:rsid w:val="00CD5A4E"/>
    <w:rsid w:val="00CD5F1C"/>
    <w:rsid w:val="00CD6F81"/>
    <w:rsid w:val="00CD715E"/>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5C1"/>
    <w:rsid w:val="00D00B14"/>
    <w:rsid w:val="00D01D6B"/>
    <w:rsid w:val="00D021AA"/>
    <w:rsid w:val="00D02267"/>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6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734"/>
    <w:rsid w:val="00D30CCE"/>
    <w:rsid w:val="00D311C5"/>
    <w:rsid w:val="00D31692"/>
    <w:rsid w:val="00D32314"/>
    <w:rsid w:val="00D324CF"/>
    <w:rsid w:val="00D325C1"/>
    <w:rsid w:val="00D32FDE"/>
    <w:rsid w:val="00D331C2"/>
    <w:rsid w:val="00D3330B"/>
    <w:rsid w:val="00D33F7A"/>
    <w:rsid w:val="00D3441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E8"/>
    <w:rsid w:val="00D51C5E"/>
    <w:rsid w:val="00D52566"/>
    <w:rsid w:val="00D526C8"/>
    <w:rsid w:val="00D52717"/>
    <w:rsid w:val="00D53BF4"/>
    <w:rsid w:val="00D5428E"/>
    <w:rsid w:val="00D54741"/>
    <w:rsid w:val="00D54CB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2CA"/>
    <w:rsid w:val="00DA1942"/>
    <w:rsid w:val="00DA1B9B"/>
    <w:rsid w:val="00DA22F0"/>
    <w:rsid w:val="00DA62B5"/>
    <w:rsid w:val="00DA649F"/>
    <w:rsid w:val="00DA6C21"/>
    <w:rsid w:val="00DA72F8"/>
    <w:rsid w:val="00DA758B"/>
    <w:rsid w:val="00DA7A8A"/>
    <w:rsid w:val="00DA7EE1"/>
    <w:rsid w:val="00DB0683"/>
    <w:rsid w:val="00DB161B"/>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64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59"/>
    <w:rsid w:val="00DF0AF7"/>
    <w:rsid w:val="00DF144A"/>
    <w:rsid w:val="00DF17DB"/>
    <w:rsid w:val="00DF1869"/>
    <w:rsid w:val="00DF27B3"/>
    <w:rsid w:val="00DF28BA"/>
    <w:rsid w:val="00DF2ED3"/>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6C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E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0F9"/>
    <w:rsid w:val="00E64158"/>
    <w:rsid w:val="00E6448D"/>
    <w:rsid w:val="00E6472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3B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36"/>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96"/>
    <w:rsid w:val="00EB58C7"/>
    <w:rsid w:val="00EB5A03"/>
    <w:rsid w:val="00EB5C52"/>
    <w:rsid w:val="00EB5C85"/>
    <w:rsid w:val="00EB5DC1"/>
    <w:rsid w:val="00EB6532"/>
    <w:rsid w:val="00EB6D85"/>
    <w:rsid w:val="00EB6E93"/>
    <w:rsid w:val="00EB79EA"/>
    <w:rsid w:val="00EB7FCE"/>
    <w:rsid w:val="00EC024A"/>
    <w:rsid w:val="00EC0799"/>
    <w:rsid w:val="00EC121F"/>
    <w:rsid w:val="00EC1554"/>
    <w:rsid w:val="00EC1B6F"/>
    <w:rsid w:val="00EC3339"/>
    <w:rsid w:val="00EC3E8D"/>
    <w:rsid w:val="00EC42F8"/>
    <w:rsid w:val="00EC4989"/>
    <w:rsid w:val="00EC4A1B"/>
    <w:rsid w:val="00EC4B2F"/>
    <w:rsid w:val="00EC4CB7"/>
    <w:rsid w:val="00EC4EBE"/>
    <w:rsid w:val="00EC5275"/>
    <w:rsid w:val="00EC76CF"/>
    <w:rsid w:val="00EC77B6"/>
    <w:rsid w:val="00ED0C16"/>
    <w:rsid w:val="00ED0DC7"/>
    <w:rsid w:val="00ED1111"/>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F"/>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A63"/>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4E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90"/>
    <w:rsid w:val="00F510FD"/>
    <w:rsid w:val="00F511B0"/>
    <w:rsid w:val="00F51433"/>
    <w:rsid w:val="00F5171B"/>
    <w:rsid w:val="00F5176A"/>
    <w:rsid w:val="00F51A87"/>
    <w:rsid w:val="00F52939"/>
    <w:rsid w:val="00F52B84"/>
    <w:rsid w:val="00F53752"/>
    <w:rsid w:val="00F5388C"/>
    <w:rsid w:val="00F538F4"/>
    <w:rsid w:val="00F53E41"/>
    <w:rsid w:val="00F54219"/>
    <w:rsid w:val="00F55531"/>
    <w:rsid w:val="00F555C4"/>
    <w:rsid w:val="00F55DB5"/>
    <w:rsid w:val="00F56004"/>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F0B"/>
    <w:rsid w:val="00F75592"/>
    <w:rsid w:val="00F7599F"/>
    <w:rsid w:val="00F75FB4"/>
    <w:rsid w:val="00F7680D"/>
    <w:rsid w:val="00F76C42"/>
    <w:rsid w:val="00F7725C"/>
    <w:rsid w:val="00F7789D"/>
    <w:rsid w:val="00F80241"/>
    <w:rsid w:val="00F80B9A"/>
    <w:rsid w:val="00F81F56"/>
    <w:rsid w:val="00F82282"/>
    <w:rsid w:val="00F82324"/>
    <w:rsid w:val="00F83041"/>
    <w:rsid w:val="00F83216"/>
    <w:rsid w:val="00F83398"/>
    <w:rsid w:val="00F835DF"/>
    <w:rsid w:val="00F84093"/>
    <w:rsid w:val="00F85285"/>
    <w:rsid w:val="00F8582E"/>
    <w:rsid w:val="00F85EE3"/>
    <w:rsid w:val="00F869A3"/>
    <w:rsid w:val="00F86AF6"/>
    <w:rsid w:val="00F86F43"/>
    <w:rsid w:val="00F87CD9"/>
    <w:rsid w:val="00F87DF1"/>
    <w:rsid w:val="00F9020A"/>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A3A"/>
    <w:rsid w:val="00FA7D78"/>
    <w:rsid w:val="00FB0339"/>
    <w:rsid w:val="00FB059B"/>
    <w:rsid w:val="00FB0BA8"/>
    <w:rsid w:val="00FB10F0"/>
    <w:rsid w:val="00FB1878"/>
    <w:rsid w:val="00FB1FBE"/>
    <w:rsid w:val="00FB275B"/>
    <w:rsid w:val="00FB2EAD"/>
    <w:rsid w:val="00FB31A7"/>
    <w:rsid w:val="00FB3981"/>
    <w:rsid w:val="00FB3A5F"/>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D2"/>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9E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FCC"/>
    <w:rsid w:val="00FF203A"/>
    <w:rsid w:val="00FF2529"/>
    <w:rsid w:val="00FF25B9"/>
    <w:rsid w:val="00FF3486"/>
    <w:rsid w:val="00FF3518"/>
    <w:rsid w:val="00FF372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FFD6B2F6-5C37-46FA-B341-A1549A3B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D54CB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54CB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lt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3072</Words>
  <Characters>17040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Zagorskaitė</dc:creator>
  <cp:keywords/>
  <dc:description/>
  <cp:lastModifiedBy>Akvilė Zagorskaitė</cp:lastModifiedBy>
  <cp:revision>13</cp:revision>
  <dcterms:created xsi:type="dcterms:W3CDTF">2025-10-07T11:30:00Z</dcterms:created>
  <dcterms:modified xsi:type="dcterms:W3CDTF">2025-10-07T14:37:00Z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ba385760-cd3a-488a-b5a7-32933d698fd8</vt:lpwstr>
  </property>
</Properties>
</file>