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8AC2" w14:textId="258E58CB" w:rsidR="00EF71AB" w:rsidRDefault="00AC66CC">
      <w:pPr>
        <w:keepNext/>
        <w:keepLines/>
        <w:spacing w:before="120" w:line="240" w:lineRule="auto"/>
        <w:ind w:left="5103"/>
        <w:jc w:val="right"/>
        <w:outlineLvl w:val="1"/>
        <w:rPr>
          <w:b/>
          <w:szCs w:val="24"/>
        </w:rPr>
      </w:pPr>
      <w:r>
        <w:rPr>
          <w:b/>
          <w:szCs w:val="24"/>
        </w:rPr>
        <w:t>Specialiųjų pirkimo sąlygų 1</w:t>
      </w:r>
      <w:r w:rsidR="00366401">
        <w:rPr>
          <w:b/>
          <w:szCs w:val="24"/>
        </w:rPr>
        <w:t>2</w:t>
      </w:r>
      <w:r>
        <w:rPr>
          <w:b/>
          <w:szCs w:val="24"/>
        </w:rPr>
        <w:t xml:space="preserve"> priedas</w:t>
      </w:r>
    </w:p>
    <w:p w14:paraId="5FED0985" w14:textId="019B59A5" w:rsidR="00EF71AB" w:rsidRDefault="00263593">
      <w:pPr>
        <w:keepNext/>
        <w:keepLines/>
        <w:spacing w:before="120" w:line="240" w:lineRule="auto"/>
        <w:ind w:left="5103"/>
        <w:jc w:val="right"/>
        <w:outlineLvl w:val="1"/>
        <w:rPr>
          <w:b/>
          <w:szCs w:val="24"/>
        </w:rPr>
      </w:pPr>
      <w:r>
        <w:rPr>
          <w:b/>
          <w:szCs w:val="24"/>
        </w:rPr>
        <w:t>„</w:t>
      </w:r>
      <w:r w:rsidR="00AC66CC">
        <w:rPr>
          <w:b/>
          <w:szCs w:val="24"/>
        </w:rPr>
        <w:t>Vertinimo kriterijai</w:t>
      </w:r>
      <w:r>
        <w:rPr>
          <w:b/>
          <w:szCs w:val="24"/>
        </w:rPr>
        <w:t>“</w:t>
      </w:r>
    </w:p>
    <w:p w14:paraId="2945C0B5" w14:textId="77777777" w:rsidR="00CF24E3" w:rsidRDefault="00CF24E3">
      <w:pPr>
        <w:keepNext/>
        <w:keepLines/>
        <w:spacing w:before="120" w:line="240" w:lineRule="auto"/>
        <w:ind w:left="5103"/>
        <w:jc w:val="right"/>
        <w:outlineLvl w:val="1"/>
        <w:rPr>
          <w:b/>
          <w:szCs w:val="24"/>
        </w:rPr>
      </w:pPr>
    </w:p>
    <w:p w14:paraId="2C775CAA" w14:textId="2A18107C" w:rsidR="00060B25" w:rsidRDefault="00AC66CC" w:rsidP="004521D0">
      <w:pPr>
        <w:numPr>
          <w:ilvl w:val="0"/>
          <w:numId w:val="1"/>
        </w:numPr>
        <w:tabs>
          <w:tab w:val="left" w:pos="0"/>
          <w:tab w:val="left" w:pos="1276"/>
          <w:tab w:val="left" w:pos="1418"/>
        </w:tabs>
        <w:spacing w:before="120" w:after="0" w:line="240" w:lineRule="auto"/>
        <w:ind w:firstLine="567"/>
        <w:jc w:val="both"/>
        <w:rPr>
          <w:color w:val="000000"/>
          <w:szCs w:val="24"/>
        </w:rPr>
      </w:pPr>
      <w:r>
        <w:rPr>
          <w:color w:val="000000"/>
          <w:szCs w:val="24"/>
        </w:rPr>
        <w:t>Pasiūlymo ekonominio naudingumo vertinimo kriterijai yra tokie:</w:t>
      </w:r>
    </w:p>
    <w:p w14:paraId="5E790508" w14:textId="77777777" w:rsidR="004521D0" w:rsidRPr="004521D0" w:rsidRDefault="004521D0" w:rsidP="004521D0">
      <w:pPr>
        <w:tabs>
          <w:tab w:val="left" w:pos="0"/>
          <w:tab w:val="left" w:pos="1276"/>
          <w:tab w:val="left" w:pos="1418"/>
        </w:tabs>
        <w:spacing w:before="120" w:after="0" w:line="240" w:lineRule="auto"/>
        <w:ind w:left="567"/>
        <w:jc w:val="both"/>
        <w:rPr>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032"/>
        <w:gridCol w:w="2976"/>
      </w:tblGrid>
      <w:tr w:rsidR="00060B25" w:rsidRPr="000B7EC7" w14:paraId="2C134654" w14:textId="77777777" w:rsidTr="00426E6F">
        <w:tc>
          <w:tcPr>
            <w:tcW w:w="626" w:type="dxa"/>
            <w:vAlign w:val="center"/>
          </w:tcPr>
          <w:p w14:paraId="473C3E39" w14:textId="77777777" w:rsidR="00060B25" w:rsidRPr="00C04C02" w:rsidRDefault="00060B25" w:rsidP="00426E6F">
            <w:pPr>
              <w:tabs>
                <w:tab w:val="left" w:pos="1418"/>
              </w:tabs>
              <w:spacing w:after="0" w:line="240" w:lineRule="auto"/>
              <w:ind w:right="110"/>
              <w:jc w:val="center"/>
              <w:rPr>
                <w:b/>
                <w:color w:val="000000" w:themeColor="text1"/>
                <w:sz w:val="22"/>
              </w:rPr>
            </w:pPr>
            <w:r w:rsidRPr="00C04C02">
              <w:rPr>
                <w:b/>
                <w:color w:val="000000" w:themeColor="text1"/>
                <w:sz w:val="22"/>
              </w:rPr>
              <w:t>Ei. Nr.</w:t>
            </w:r>
          </w:p>
        </w:tc>
        <w:tc>
          <w:tcPr>
            <w:tcW w:w="6032" w:type="dxa"/>
            <w:shd w:val="clear" w:color="auto" w:fill="auto"/>
            <w:vAlign w:val="center"/>
          </w:tcPr>
          <w:p w14:paraId="6D2BE97F" w14:textId="77777777" w:rsidR="00060B25" w:rsidRPr="00C04C02" w:rsidRDefault="00060B25" w:rsidP="00426E6F">
            <w:pPr>
              <w:tabs>
                <w:tab w:val="left" w:pos="1418"/>
              </w:tabs>
              <w:spacing w:after="0" w:line="240" w:lineRule="auto"/>
              <w:ind w:right="108"/>
              <w:jc w:val="center"/>
              <w:rPr>
                <w:b/>
                <w:color w:val="000000" w:themeColor="text1"/>
                <w:sz w:val="22"/>
              </w:rPr>
            </w:pPr>
            <w:r w:rsidRPr="00C04C02">
              <w:rPr>
                <w:b/>
                <w:color w:val="000000" w:themeColor="text1"/>
                <w:sz w:val="22"/>
              </w:rPr>
              <w:t>Vertinimo kriterijus / kriterijaus parametras</w:t>
            </w:r>
          </w:p>
        </w:tc>
        <w:tc>
          <w:tcPr>
            <w:tcW w:w="2976" w:type="dxa"/>
            <w:shd w:val="clear" w:color="auto" w:fill="auto"/>
            <w:vAlign w:val="center"/>
          </w:tcPr>
          <w:p w14:paraId="48A99057" w14:textId="77777777" w:rsidR="00060B25" w:rsidRPr="000B7EC7" w:rsidRDefault="00060B25" w:rsidP="00426E6F">
            <w:pPr>
              <w:tabs>
                <w:tab w:val="left" w:pos="1418"/>
              </w:tabs>
              <w:spacing w:after="0" w:line="240" w:lineRule="auto"/>
              <w:ind w:right="108"/>
              <w:jc w:val="center"/>
              <w:rPr>
                <w:b/>
                <w:color w:val="000000" w:themeColor="text1"/>
              </w:rPr>
            </w:pPr>
            <w:r w:rsidRPr="000B7EC7">
              <w:rPr>
                <w:b/>
                <w:color w:val="000000" w:themeColor="text1"/>
                <w:sz w:val="22"/>
              </w:rPr>
              <w:t>Vertinimo kriterijaus lyginamasis svoris ekonominio naudingumo įvertinime</w:t>
            </w:r>
          </w:p>
        </w:tc>
      </w:tr>
      <w:tr w:rsidR="00060B25" w:rsidRPr="000B7EC7" w14:paraId="615693DB" w14:textId="77777777" w:rsidTr="00426E6F">
        <w:trPr>
          <w:trHeight w:val="545"/>
        </w:trPr>
        <w:tc>
          <w:tcPr>
            <w:tcW w:w="626" w:type="dxa"/>
          </w:tcPr>
          <w:p w14:paraId="7A7DCD7E" w14:textId="77777777" w:rsidR="00060B25" w:rsidRPr="00C04C02" w:rsidRDefault="00060B25" w:rsidP="00426E6F">
            <w:pPr>
              <w:tabs>
                <w:tab w:val="left" w:pos="1418"/>
              </w:tabs>
              <w:spacing w:after="0" w:line="240" w:lineRule="auto"/>
              <w:ind w:right="110"/>
              <w:jc w:val="center"/>
              <w:rPr>
                <w:color w:val="000000" w:themeColor="text1"/>
                <w:sz w:val="20"/>
                <w:szCs w:val="20"/>
              </w:rPr>
            </w:pPr>
            <w:r w:rsidRPr="00C04C02">
              <w:rPr>
                <w:color w:val="000000" w:themeColor="text1"/>
                <w:sz w:val="20"/>
                <w:szCs w:val="20"/>
              </w:rPr>
              <w:t>1.</w:t>
            </w:r>
          </w:p>
        </w:tc>
        <w:tc>
          <w:tcPr>
            <w:tcW w:w="6032" w:type="dxa"/>
            <w:shd w:val="clear" w:color="auto" w:fill="auto"/>
            <w:vAlign w:val="center"/>
          </w:tcPr>
          <w:p w14:paraId="474157D4" w14:textId="77777777" w:rsidR="00060B25" w:rsidRPr="00C04C02" w:rsidRDefault="00060B25" w:rsidP="00426E6F">
            <w:pPr>
              <w:tabs>
                <w:tab w:val="left" w:pos="1418"/>
              </w:tabs>
              <w:spacing w:after="0" w:line="240" w:lineRule="auto"/>
              <w:ind w:right="110"/>
              <w:jc w:val="both"/>
              <w:rPr>
                <w:color w:val="000000" w:themeColor="text1"/>
                <w:sz w:val="22"/>
              </w:rPr>
            </w:pPr>
            <w:r w:rsidRPr="00C04C02">
              <w:rPr>
                <w:color w:val="000000" w:themeColor="text1"/>
                <w:sz w:val="22"/>
              </w:rPr>
              <w:t>Kriterijus (</w:t>
            </w:r>
            <w:r w:rsidRPr="00C04C02">
              <w:rPr>
                <w:b/>
                <w:color w:val="000000" w:themeColor="text1"/>
                <w:sz w:val="22"/>
              </w:rPr>
              <w:t>C</w:t>
            </w:r>
            <w:r w:rsidRPr="00C04C02">
              <w:rPr>
                <w:color w:val="000000" w:themeColor="text1"/>
                <w:sz w:val="22"/>
              </w:rPr>
              <w:t>) – pasiūlymo kaina, Eur.</w:t>
            </w:r>
          </w:p>
          <w:p w14:paraId="30D34000" w14:textId="77777777" w:rsidR="00060B25" w:rsidRPr="00C04C02" w:rsidRDefault="00060B25" w:rsidP="00426E6F">
            <w:pPr>
              <w:tabs>
                <w:tab w:val="left" w:pos="1418"/>
              </w:tabs>
              <w:spacing w:after="0" w:line="240" w:lineRule="auto"/>
              <w:ind w:right="110"/>
              <w:jc w:val="both"/>
              <w:rPr>
                <w:color w:val="000000" w:themeColor="text1"/>
                <w:sz w:val="22"/>
              </w:rPr>
            </w:pPr>
            <w:r w:rsidRPr="00C04C02">
              <w:rPr>
                <w:color w:val="000000" w:themeColor="text1"/>
                <w:sz w:val="22"/>
              </w:rPr>
              <w:t>Geriausia laikoma mažiausia kriterijaus reikšmė.</w:t>
            </w:r>
          </w:p>
        </w:tc>
        <w:tc>
          <w:tcPr>
            <w:tcW w:w="2976" w:type="dxa"/>
            <w:shd w:val="clear" w:color="auto" w:fill="auto"/>
            <w:vAlign w:val="center"/>
          </w:tcPr>
          <w:p w14:paraId="334B0DA0" w14:textId="77777777" w:rsidR="00060B25" w:rsidRPr="000B7EC7" w:rsidRDefault="00060B25" w:rsidP="00426E6F">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1 </w:t>
            </w:r>
            <w:r w:rsidRPr="000B7EC7">
              <w:rPr>
                <w:color w:val="000000" w:themeColor="text1"/>
                <w:sz w:val="22"/>
              </w:rPr>
              <w:t>= 9</w:t>
            </w:r>
            <w:r>
              <w:rPr>
                <w:color w:val="000000" w:themeColor="text1"/>
                <w:sz w:val="22"/>
              </w:rPr>
              <w:t>0</w:t>
            </w:r>
          </w:p>
        </w:tc>
      </w:tr>
      <w:tr w:rsidR="00060B25" w:rsidRPr="00835AC4" w14:paraId="4B0D8DB6" w14:textId="77777777" w:rsidTr="00426E6F">
        <w:tc>
          <w:tcPr>
            <w:tcW w:w="626" w:type="dxa"/>
          </w:tcPr>
          <w:p w14:paraId="51732581" w14:textId="77777777" w:rsidR="00060B25" w:rsidRPr="00C04C02" w:rsidRDefault="00060B25" w:rsidP="00426E6F">
            <w:pPr>
              <w:tabs>
                <w:tab w:val="left" w:pos="1418"/>
              </w:tabs>
              <w:spacing w:after="0" w:line="240" w:lineRule="auto"/>
              <w:ind w:right="110"/>
              <w:jc w:val="center"/>
              <w:rPr>
                <w:sz w:val="20"/>
                <w:szCs w:val="20"/>
              </w:rPr>
            </w:pPr>
            <w:r w:rsidRPr="00C04C02">
              <w:rPr>
                <w:sz w:val="20"/>
                <w:szCs w:val="20"/>
              </w:rPr>
              <w:t>2.</w:t>
            </w:r>
          </w:p>
        </w:tc>
        <w:tc>
          <w:tcPr>
            <w:tcW w:w="6032" w:type="dxa"/>
            <w:shd w:val="clear" w:color="auto" w:fill="auto"/>
            <w:vAlign w:val="center"/>
          </w:tcPr>
          <w:p w14:paraId="4972A3C0" w14:textId="77777777" w:rsidR="00060B25" w:rsidRPr="004A4BC4" w:rsidRDefault="00060B25" w:rsidP="00426E6F">
            <w:pPr>
              <w:tabs>
                <w:tab w:val="left" w:pos="1418"/>
              </w:tabs>
              <w:spacing w:after="0" w:line="240" w:lineRule="auto"/>
              <w:ind w:right="110"/>
              <w:jc w:val="both"/>
              <w:rPr>
                <w:sz w:val="22"/>
              </w:rPr>
            </w:pPr>
            <w:r w:rsidRPr="004A4BC4">
              <w:rPr>
                <w:sz w:val="22"/>
              </w:rPr>
              <w:t>Kriterijus (</w:t>
            </w:r>
            <w:r w:rsidRPr="004A4BC4">
              <w:rPr>
                <w:b/>
                <w:bCs/>
                <w:sz w:val="22"/>
              </w:rPr>
              <w:t>T</w:t>
            </w:r>
            <w:r w:rsidRPr="004A4BC4">
              <w:rPr>
                <w:sz w:val="22"/>
              </w:rPr>
              <w:t>) – specialisto patirtis.</w:t>
            </w:r>
          </w:p>
          <w:p w14:paraId="4E00C714" w14:textId="77777777" w:rsidR="00060B25" w:rsidRDefault="00060B25" w:rsidP="00426E6F">
            <w:pPr>
              <w:tabs>
                <w:tab w:val="left" w:pos="1418"/>
              </w:tabs>
              <w:spacing w:after="0" w:line="240" w:lineRule="auto"/>
              <w:ind w:right="110"/>
              <w:jc w:val="both"/>
              <w:rPr>
                <w:color w:val="000000" w:themeColor="text1"/>
                <w:sz w:val="22"/>
              </w:rPr>
            </w:pPr>
            <w:r w:rsidRPr="004A4BC4">
              <w:rPr>
                <w:bCs/>
                <w:sz w:val="22"/>
                <w:lang w:eastAsia="en-US"/>
              </w:rPr>
              <w:t xml:space="preserve">Vertinama kriterijaus reikšmė – </w:t>
            </w:r>
            <w:r w:rsidRPr="00DD55A3">
              <w:rPr>
                <w:bCs/>
                <w:sz w:val="22"/>
                <w:lang w:eastAsia="en-US"/>
              </w:rPr>
              <w:t>„Specialisto patirtis“</w:t>
            </w:r>
            <w:r w:rsidRPr="004A4BC4">
              <w:rPr>
                <w:bCs/>
                <w:sz w:val="22"/>
                <w:lang w:eastAsia="en-US"/>
              </w:rPr>
              <w:t xml:space="preserve"> - </w:t>
            </w:r>
            <w:bookmarkStart w:id="0" w:name="_Hlk172555631"/>
            <w:r w:rsidRPr="00DD55A3">
              <w:rPr>
                <w:color w:val="000000" w:themeColor="text1"/>
                <w:sz w:val="22"/>
              </w:rPr>
              <w:t xml:space="preserve">baigtų rengti neypatingojo ar ypatingojo statinio kapitalinio remonto, ar rekonstravimo, ar naujos statybos projektų, statinių grupėje: </w:t>
            </w:r>
            <w:r w:rsidRPr="00814D71">
              <w:rPr>
                <w:bCs/>
                <w:color w:val="000000" w:themeColor="text1"/>
                <w:sz w:val="22"/>
              </w:rPr>
              <w:t>inžineriniai tinklai (vandentiekio tinklai ir (ar)</w:t>
            </w:r>
            <w:r w:rsidRPr="00814D71">
              <w:rPr>
                <w:color w:val="000000" w:themeColor="text1"/>
                <w:sz w:val="22"/>
              </w:rPr>
              <w:t xml:space="preserve"> </w:t>
            </w:r>
            <w:r w:rsidRPr="00814D71">
              <w:rPr>
                <w:bCs/>
                <w:color w:val="000000" w:themeColor="text1"/>
                <w:sz w:val="22"/>
              </w:rPr>
              <w:t>nuotekų šalinimo tinklai)</w:t>
            </w:r>
            <w:r w:rsidRPr="00814D71">
              <w:rPr>
                <w:color w:val="000000" w:themeColor="text1"/>
                <w:sz w:val="22"/>
              </w:rPr>
              <w:t>,</w:t>
            </w:r>
            <w:r w:rsidRPr="00DD55A3">
              <w:rPr>
                <w:color w:val="000000" w:themeColor="text1"/>
                <w:sz w:val="22"/>
              </w:rPr>
              <w:t xml:space="preserve"> per paskutinius 5 metus, kuriems vadovavo siūlomas projekto vadovas, skaičius.</w:t>
            </w:r>
          </w:p>
          <w:p w14:paraId="0EE22B4D" w14:textId="77777777" w:rsidR="00060B25" w:rsidRDefault="00060B25" w:rsidP="00426E6F">
            <w:pPr>
              <w:tabs>
                <w:tab w:val="left" w:pos="1418"/>
              </w:tabs>
              <w:spacing w:after="0" w:line="240" w:lineRule="auto"/>
              <w:ind w:right="110"/>
              <w:jc w:val="both"/>
              <w:rPr>
                <w:color w:val="000000" w:themeColor="text1"/>
                <w:sz w:val="22"/>
              </w:rPr>
            </w:pPr>
          </w:p>
          <w:bookmarkEnd w:id="0"/>
          <w:p w14:paraId="15A3E511" w14:textId="77777777" w:rsidR="00060B25" w:rsidRPr="004A4BC4" w:rsidRDefault="00060B25" w:rsidP="00426E6F">
            <w:pPr>
              <w:tabs>
                <w:tab w:val="left" w:pos="1418"/>
              </w:tabs>
              <w:spacing w:after="0" w:line="240" w:lineRule="auto"/>
              <w:ind w:right="110"/>
              <w:jc w:val="both"/>
              <w:rPr>
                <w:color w:val="000000" w:themeColor="text1"/>
                <w:sz w:val="22"/>
              </w:rPr>
            </w:pPr>
            <w:r w:rsidRPr="004A4BC4">
              <w:rPr>
                <w:color w:val="000000" w:themeColor="text1"/>
                <w:sz w:val="22"/>
              </w:rPr>
              <w:t xml:space="preserve">Geriausia laikoma didžiausia kriterijaus reikšmė. </w:t>
            </w:r>
          </w:p>
          <w:p w14:paraId="4B978A94" w14:textId="77777777" w:rsidR="00060B25" w:rsidRPr="004A4BC4" w:rsidRDefault="00060B25" w:rsidP="00426E6F">
            <w:pPr>
              <w:tabs>
                <w:tab w:val="left" w:pos="1418"/>
              </w:tabs>
              <w:spacing w:after="0" w:line="240" w:lineRule="auto"/>
              <w:ind w:right="110"/>
              <w:jc w:val="both"/>
              <w:rPr>
                <w:color w:val="000000" w:themeColor="text1"/>
                <w:sz w:val="22"/>
              </w:rPr>
            </w:pPr>
            <w:r w:rsidRPr="004A4BC4">
              <w:rPr>
                <w:color w:val="000000" w:themeColor="text1"/>
                <w:sz w:val="22"/>
              </w:rPr>
              <w:t xml:space="preserve">Maksimali vertinama reikšmė yra </w:t>
            </w:r>
            <w:r>
              <w:rPr>
                <w:color w:val="000000" w:themeColor="text1"/>
                <w:sz w:val="22"/>
              </w:rPr>
              <w:t>5</w:t>
            </w:r>
            <w:r w:rsidRPr="004A4BC4">
              <w:rPr>
                <w:color w:val="000000" w:themeColor="text1"/>
                <w:sz w:val="22"/>
              </w:rPr>
              <w:t xml:space="preserve"> (t. y. jeigu tiekėjo nurodyta kriterijaus reikšmė bus didesnė negu </w:t>
            </w:r>
            <w:r>
              <w:rPr>
                <w:color w:val="000000" w:themeColor="text1"/>
                <w:sz w:val="22"/>
              </w:rPr>
              <w:t>5</w:t>
            </w:r>
            <w:r w:rsidRPr="004A4BC4">
              <w:rPr>
                <w:color w:val="000000" w:themeColor="text1"/>
                <w:sz w:val="22"/>
              </w:rPr>
              <w:t>, apskaičiuojant tiekėjo kriterijaus T balus, bus taikoma maksimali reikšmė „</w:t>
            </w:r>
            <w:r>
              <w:rPr>
                <w:color w:val="000000" w:themeColor="text1"/>
                <w:sz w:val="22"/>
              </w:rPr>
              <w:t>5</w:t>
            </w:r>
            <w:r w:rsidRPr="004A4BC4">
              <w:rPr>
                <w:color w:val="000000" w:themeColor="text1"/>
                <w:sz w:val="22"/>
              </w:rPr>
              <w:t>“).</w:t>
            </w:r>
          </w:p>
          <w:p w14:paraId="0FAC1B99" w14:textId="77777777" w:rsidR="00060B25" w:rsidRPr="007A31A0" w:rsidRDefault="00060B25" w:rsidP="00426E6F">
            <w:pPr>
              <w:tabs>
                <w:tab w:val="left" w:pos="1418"/>
              </w:tabs>
              <w:spacing w:after="0" w:line="240" w:lineRule="auto"/>
              <w:ind w:right="110"/>
              <w:jc w:val="both"/>
              <w:rPr>
                <w:bCs/>
                <w:color w:val="FF0000"/>
                <w:sz w:val="22"/>
                <w:highlight w:val="yellow"/>
                <w:lang w:eastAsia="en-US"/>
              </w:rPr>
            </w:pPr>
          </w:p>
          <w:p w14:paraId="58AB692A" w14:textId="77777777" w:rsidR="00060B25" w:rsidRPr="007A31A0" w:rsidRDefault="00060B25" w:rsidP="00426E6F">
            <w:pPr>
              <w:tabs>
                <w:tab w:val="left" w:pos="1418"/>
              </w:tabs>
              <w:spacing w:after="0" w:line="240" w:lineRule="auto"/>
              <w:ind w:right="110"/>
              <w:jc w:val="both"/>
              <w:rPr>
                <w:bCs/>
                <w:sz w:val="22"/>
                <w:highlight w:val="yellow"/>
                <w:lang w:eastAsia="en-US"/>
              </w:rPr>
            </w:pPr>
            <w:r w:rsidRPr="004A4BC4">
              <w:rPr>
                <w:bCs/>
                <w:sz w:val="22"/>
                <w:lang w:eastAsia="en-US"/>
              </w:rPr>
              <w:t xml:space="preserve">Pastaba: statinio projekto vadovas privalo būti tas pats specialistas, kurio kvalifikacija bus vertinama pagal pirkimo </w:t>
            </w:r>
            <w:r w:rsidRPr="00DD55A3">
              <w:rPr>
                <w:bCs/>
                <w:sz w:val="22"/>
                <w:lang w:eastAsia="en-US"/>
              </w:rPr>
              <w:t>sąlygų 23.</w:t>
            </w:r>
            <w:r>
              <w:rPr>
                <w:bCs/>
                <w:sz w:val="22"/>
                <w:lang w:eastAsia="en-US"/>
              </w:rPr>
              <w:t>1</w:t>
            </w:r>
            <w:r w:rsidRPr="00DD55A3">
              <w:rPr>
                <w:bCs/>
                <w:sz w:val="22"/>
                <w:lang w:eastAsia="en-US"/>
              </w:rPr>
              <w:t xml:space="preserve"> punkto reikalavimą.</w:t>
            </w:r>
          </w:p>
        </w:tc>
        <w:tc>
          <w:tcPr>
            <w:tcW w:w="2976" w:type="dxa"/>
            <w:shd w:val="clear" w:color="auto" w:fill="auto"/>
            <w:vAlign w:val="center"/>
          </w:tcPr>
          <w:p w14:paraId="42EE4D05" w14:textId="77777777" w:rsidR="00060B25" w:rsidRPr="00835AC4" w:rsidRDefault="00060B25" w:rsidP="00426E6F">
            <w:pPr>
              <w:tabs>
                <w:tab w:val="left" w:pos="1418"/>
              </w:tabs>
              <w:spacing w:after="0" w:line="240" w:lineRule="auto"/>
              <w:ind w:right="110"/>
              <w:jc w:val="center"/>
              <w:rPr>
                <w:b/>
                <w:sz w:val="22"/>
              </w:rPr>
            </w:pPr>
            <w:r w:rsidRPr="00835AC4">
              <w:rPr>
                <w:sz w:val="22"/>
              </w:rPr>
              <w:t>X</w:t>
            </w:r>
            <w:r w:rsidRPr="00835AC4">
              <w:rPr>
                <w:sz w:val="22"/>
                <w:vertAlign w:val="subscript"/>
              </w:rPr>
              <w:t xml:space="preserve">2 </w:t>
            </w:r>
            <w:r w:rsidRPr="00835AC4">
              <w:rPr>
                <w:sz w:val="22"/>
              </w:rPr>
              <w:t xml:space="preserve">= </w:t>
            </w:r>
            <w:r>
              <w:rPr>
                <w:sz w:val="22"/>
              </w:rPr>
              <w:t>10</w:t>
            </w:r>
          </w:p>
        </w:tc>
      </w:tr>
    </w:tbl>
    <w:p w14:paraId="06C44155" w14:textId="77777777" w:rsidR="004521D0" w:rsidRDefault="004521D0" w:rsidP="004521D0">
      <w:pPr>
        <w:numPr>
          <w:ilvl w:val="0"/>
          <w:numId w:val="1"/>
        </w:numPr>
        <w:tabs>
          <w:tab w:val="left" w:pos="0"/>
          <w:tab w:val="left" w:pos="1276"/>
          <w:tab w:val="left" w:pos="1418"/>
        </w:tabs>
        <w:spacing w:before="120" w:after="0" w:line="240" w:lineRule="auto"/>
        <w:ind w:firstLine="709"/>
        <w:jc w:val="both"/>
        <w:rPr>
          <w:color w:val="000000"/>
          <w:szCs w:val="24"/>
        </w:rPr>
      </w:pPr>
      <w:r w:rsidRPr="004521D0">
        <w:rPr>
          <w:color w:val="000000"/>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731E9433" w14:textId="58B73049" w:rsidR="004521D0" w:rsidRPr="004521D0" w:rsidRDefault="004521D0" w:rsidP="004521D0">
      <w:pPr>
        <w:numPr>
          <w:ilvl w:val="0"/>
          <w:numId w:val="1"/>
        </w:numPr>
        <w:tabs>
          <w:tab w:val="left" w:pos="0"/>
          <w:tab w:val="left" w:pos="1276"/>
          <w:tab w:val="left" w:pos="1418"/>
        </w:tabs>
        <w:spacing w:before="120" w:after="0" w:line="240" w:lineRule="auto"/>
        <w:ind w:firstLine="567"/>
        <w:jc w:val="both"/>
        <w:rPr>
          <w:color w:val="000000"/>
          <w:szCs w:val="24"/>
        </w:rPr>
      </w:pPr>
      <w:r w:rsidRPr="004521D0">
        <w:rPr>
          <w:color w:val="000000"/>
          <w:szCs w:val="24"/>
        </w:rPr>
        <w:t xml:space="preserve"> Ekonominis naudingumas (S) apskaičiuojamas sudedant Tiekėjo pasiūlymo ekonominio naudingumo vertinimo kriterijų – kainos (C) ir specialisto patirtis (T) – balus:</w:t>
      </w:r>
    </w:p>
    <w:p w14:paraId="5B36BD2A" w14:textId="77777777" w:rsidR="00F23CD3" w:rsidRDefault="004521D0" w:rsidP="00F23CD3">
      <w:pPr>
        <w:tabs>
          <w:tab w:val="left" w:pos="0"/>
          <w:tab w:val="left" w:pos="1276"/>
          <w:tab w:val="left" w:pos="1418"/>
        </w:tabs>
        <w:spacing w:before="120" w:after="0" w:line="240" w:lineRule="auto"/>
        <w:jc w:val="center"/>
        <w:rPr>
          <w:color w:val="000000"/>
          <w:szCs w:val="24"/>
        </w:rPr>
      </w:pPr>
      <w:r w:rsidRPr="004521D0">
        <w:rPr>
          <w:color w:val="000000"/>
          <w:szCs w:val="24"/>
        </w:rPr>
        <w:t>S = C + T, kur:</w:t>
      </w:r>
    </w:p>
    <w:p w14:paraId="6446B69B" w14:textId="02DB8987" w:rsidR="004521D0" w:rsidRPr="004521D0" w:rsidRDefault="004521D0" w:rsidP="007C1BC8">
      <w:pPr>
        <w:numPr>
          <w:ilvl w:val="1"/>
          <w:numId w:val="7"/>
        </w:numPr>
        <w:tabs>
          <w:tab w:val="left" w:pos="0"/>
          <w:tab w:val="left" w:pos="1276"/>
          <w:tab w:val="left" w:pos="1418"/>
        </w:tabs>
        <w:spacing w:before="120" w:after="0" w:line="240" w:lineRule="auto"/>
        <w:ind w:left="0" w:firstLine="567"/>
        <w:rPr>
          <w:color w:val="000000"/>
          <w:szCs w:val="24"/>
        </w:rPr>
      </w:pPr>
      <w:r w:rsidRPr="004521D0">
        <w:rPr>
          <w:color w:val="000000"/>
          <w:szCs w:val="24"/>
        </w:rPr>
        <w:t>kriterijaus C balai apskaičiuojami mažiausios iš pateiktų pasiūlymų pasiūlymo kainos (Cmin) ir vertinamo pasiūlymo kainos (Cp) santykį padauginant iš kriterijaus lyginamojo svorio (X1):</w:t>
      </w:r>
    </w:p>
    <w:p w14:paraId="43F125EC" w14:textId="77777777" w:rsidR="007C1BC8" w:rsidRDefault="00F23CD3" w:rsidP="007C1BC8">
      <w:pPr>
        <w:tabs>
          <w:tab w:val="left" w:pos="0"/>
          <w:tab w:val="left" w:pos="1276"/>
          <w:tab w:val="left" w:pos="1418"/>
        </w:tabs>
        <w:spacing w:before="120" w:after="0" w:line="240" w:lineRule="auto"/>
        <w:jc w:val="center"/>
        <w:rPr>
          <w:color w:val="000000"/>
          <w:szCs w:val="24"/>
        </w:rPr>
      </w:pPr>
      <w:r w:rsidRPr="005E5223">
        <w:rPr>
          <w:position w:val="-32"/>
        </w:rPr>
        <w:object w:dxaOrig="1340" w:dyaOrig="720" w14:anchorId="258C0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7" o:title=""/>
          </v:shape>
          <o:OLEObject Type="Embed" ProgID="Equation.3" ShapeID="_x0000_i1025" DrawAspect="Content" ObjectID="_1814167242" r:id="rId8"/>
        </w:object>
      </w:r>
    </w:p>
    <w:p w14:paraId="105E3B8F" w14:textId="6F1EE769" w:rsidR="004521D0" w:rsidRPr="004521D0" w:rsidRDefault="007C1BC8" w:rsidP="007C1BC8">
      <w:pPr>
        <w:tabs>
          <w:tab w:val="left" w:pos="0"/>
          <w:tab w:val="left" w:pos="1276"/>
          <w:tab w:val="left" w:pos="1418"/>
        </w:tabs>
        <w:spacing w:before="120" w:after="0" w:line="240" w:lineRule="auto"/>
        <w:ind w:firstLine="709"/>
        <w:jc w:val="both"/>
        <w:rPr>
          <w:color w:val="000000"/>
          <w:szCs w:val="24"/>
        </w:rPr>
      </w:pPr>
      <w:r>
        <w:rPr>
          <w:color w:val="000000"/>
          <w:szCs w:val="24"/>
        </w:rPr>
        <w:t xml:space="preserve">3.2 </w:t>
      </w:r>
      <w:r w:rsidR="004521D0" w:rsidRPr="004521D0">
        <w:rPr>
          <w:color w:val="000000"/>
          <w:szCs w:val="24"/>
        </w:rPr>
        <w:t>kriterijaus T balai skiriami pagal tiekėjo pasiūlyme nurodytą specialisto patirtį skaičiais: jeigu pasiūlyme kriterijaus T reikšmė nenurodyta, arba nurodyta „0“ – skiriama 0 balų, jeigu nurodyta kriterijaus T reikšmė yra 1 – skiriami 2 balai, jeigu nurodyta kriterijaus T reikšmė yra 2 – skiriami 4 balai, jeigu nurodyta kriterijaus T reikšmė yra 3 – skiriami 6 balai, jeigu nurodyta kriterijaus T reikšmė yra 4 – skiriami 8 balai,  jeigu nurodyta kriterijaus T reikšmė yra 5 arba didesnė – skiriami 10 balų.</w:t>
      </w:r>
    </w:p>
    <w:p w14:paraId="6E05F628" w14:textId="77777777" w:rsidR="00833FF1" w:rsidRDefault="004521D0" w:rsidP="004521D0">
      <w:pPr>
        <w:numPr>
          <w:ilvl w:val="0"/>
          <w:numId w:val="1"/>
        </w:numPr>
        <w:tabs>
          <w:tab w:val="left" w:pos="0"/>
          <w:tab w:val="left" w:pos="1276"/>
          <w:tab w:val="left" w:pos="1418"/>
        </w:tabs>
        <w:spacing w:before="120" w:after="0" w:line="240" w:lineRule="auto"/>
        <w:ind w:firstLine="567"/>
        <w:jc w:val="both"/>
        <w:rPr>
          <w:color w:val="000000"/>
          <w:szCs w:val="24"/>
        </w:rPr>
      </w:pPr>
      <w:r w:rsidRPr="004521D0">
        <w:rPr>
          <w:color w:val="000000"/>
          <w:szCs w:val="24"/>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w:t>
      </w:r>
      <w:r w:rsidRPr="004521D0">
        <w:rPr>
          <w:color w:val="000000"/>
          <w:szCs w:val="24"/>
        </w:rPr>
        <w:lastRenderedPageBreak/>
        <w:t>santykio Europos Centrinis Bankas neskelbia, – pagal Lietuvos banko nustatomą ir skelbiamą orientacinį euro ir užsienio valiutų santykį paskutinę pasiūlymų pateikimo termino dieną</w:t>
      </w:r>
    </w:p>
    <w:p w14:paraId="4D0713D8" w14:textId="77777777" w:rsidR="00833FF1" w:rsidRDefault="004521D0" w:rsidP="004521D0">
      <w:pPr>
        <w:numPr>
          <w:ilvl w:val="0"/>
          <w:numId w:val="1"/>
        </w:numPr>
        <w:tabs>
          <w:tab w:val="left" w:pos="0"/>
          <w:tab w:val="left" w:pos="1276"/>
          <w:tab w:val="left" w:pos="1418"/>
        </w:tabs>
        <w:spacing w:before="120" w:after="0" w:line="240" w:lineRule="auto"/>
        <w:ind w:firstLine="567"/>
        <w:jc w:val="both"/>
        <w:rPr>
          <w:color w:val="000000"/>
          <w:szCs w:val="24"/>
        </w:rPr>
      </w:pPr>
      <w:r w:rsidRPr="00833FF1">
        <w:rPr>
          <w:color w:val="000000"/>
          <w:szCs w:val="24"/>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7EFB0CB2" w14:textId="69DC8C81" w:rsidR="00060B25" w:rsidRPr="00833FF1" w:rsidRDefault="004521D0" w:rsidP="004521D0">
      <w:pPr>
        <w:numPr>
          <w:ilvl w:val="0"/>
          <w:numId w:val="1"/>
        </w:numPr>
        <w:tabs>
          <w:tab w:val="left" w:pos="0"/>
          <w:tab w:val="left" w:pos="1276"/>
          <w:tab w:val="left" w:pos="1418"/>
        </w:tabs>
        <w:spacing w:before="120" w:after="0" w:line="240" w:lineRule="auto"/>
        <w:ind w:firstLine="567"/>
        <w:jc w:val="both"/>
        <w:rPr>
          <w:color w:val="000000"/>
          <w:szCs w:val="24"/>
        </w:rPr>
      </w:pPr>
      <w:r w:rsidRPr="00833FF1">
        <w:rPr>
          <w:color w:val="000000"/>
          <w:szCs w:val="24"/>
        </w:rPr>
        <w:t xml:space="preserve"> Jei dalyvio pasiūlyme nurodyta Paslaugų ar jų sudedamųjų dalių kaina atrodo neįprastai maža, perkančioji organizacija reikalauja, kad dalyvis pagrįstų pasiūlyme nurodytą Paslaugų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sectPr w:rsidR="00060B25" w:rsidRPr="00833FF1" w:rsidSect="00CF24E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05B4" w14:textId="77777777" w:rsidR="00683CC1" w:rsidRDefault="00683CC1">
      <w:pPr>
        <w:spacing w:after="0" w:line="240" w:lineRule="auto"/>
      </w:pPr>
      <w:r>
        <w:separator/>
      </w:r>
    </w:p>
  </w:endnote>
  <w:endnote w:type="continuationSeparator" w:id="0">
    <w:p w14:paraId="6198624B" w14:textId="77777777" w:rsidR="00683CC1" w:rsidRDefault="0068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22C1" w14:textId="77777777" w:rsidR="00683CC1" w:rsidRDefault="00683CC1">
      <w:pPr>
        <w:spacing w:after="0" w:line="240" w:lineRule="auto"/>
      </w:pPr>
      <w:r>
        <w:rPr>
          <w:color w:val="000000"/>
        </w:rPr>
        <w:separator/>
      </w:r>
    </w:p>
  </w:footnote>
  <w:footnote w:type="continuationSeparator" w:id="0">
    <w:p w14:paraId="5DD790B2" w14:textId="77777777" w:rsidR="00683CC1" w:rsidRDefault="00683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4CE1"/>
    <w:multiLevelType w:val="multilevel"/>
    <w:tmpl w:val="2F646812"/>
    <w:lvl w:ilvl="0">
      <w:start w:val="1"/>
      <w:numFmt w:val="decimal"/>
      <w:suff w:val="space"/>
      <w:lvlText w:val="%1."/>
      <w:lvlJc w:val="left"/>
      <w:rPr>
        <w:rFonts w:ascii="Times New Roman" w:hAnsi="Times New Roman" w:cs="Times New Roman"/>
        <w:b w:val="0"/>
        <w:color w:val="auto"/>
      </w:rPr>
    </w:lvl>
    <w:lvl w:ilvl="1">
      <w:start w:val="1"/>
      <w:numFmt w:val="decimal"/>
      <w:suff w:val="space"/>
      <w:lvlText w:val="%1.%2."/>
      <w:lvlJc w:val="left"/>
      <w:rPr>
        <w:color w:val="auto"/>
      </w:rPr>
    </w:lvl>
    <w:lvl w:ilvl="2">
      <w:start w:val="1"/>
      <w:numFmt w:val="decimal"/>
      <w:suff w:val="nothing"/>
      <w:lvlText w:val="%1.%2.%3."/>
      <w:lvlJc w:val="left"/>
      <w:rPr>
        <w:color w:val="auto"/>
      </w:rPr>
    </w:lvl>
    <w:lvl w:ilvl="3">
      <w:start w:val="1"/>
      <w:numFmt w:val="decimal"/>
      <w:suff w:val="nothing"/>
      <w:lvlText w:val="%1.%2.%3.%4."/>
      <w:lvlJc w:val="left"/>
      <w:rPr>
        <w:color w:val="auto"/>
      </w:rPr>
    </w:lvl>
    <w:lvl w:ilvl="4">
      <w:start w:val="1"/>
      <w:numFmt w:val="decimal"/>
      <w:suff w:val="nothing"/>
      <w:lvlText w:val="%1.%2.%3.%4.%5."/>
      <w:lvlJc w:val="left"/>
      <w:rPr>
        <w:color w:val="auto"/>
      </w:rPr>
    </w:lvl>
    <w:lvl w:ilvl="5">
      <w:start w:val="1"/>
      <w:numFmt w:val="decimal"/>
      <w:suff w:val="nothing"/>
      <w:lvlText w:val="%1.%2.%3.%4.%5.%6."/>
      <w:lvlJc w:val="left"/>
      <w:rPr>
        <w:color w:val="auto"/>
      </w:rPr>
    </w:lvl>
    <w:lvl w:ilvl="6">
      <w:start w:val="1"/>
      <w:numFmt w:val="decimal"/>
      <w:suff w:val="nothing"/>
      <w:lvlText w:val="%1.%2.%3.%4.%5.%6.%7."/>
      <w:lvlJc w:val="left"/>
      <w:rPr>
        <w:color w:val="auto"/>
      </w:rPr>
    </w:lvl>
    <w:lvl w:ilvl="7">
      <w:start w:val="1"/>
      <w:numFmt w:val="decimal"/>
      <w:suff w:val="nothing"/>
      <w:lvlText w:val="%1.%2.%3.%4.%5.%6.%7.%8."/>
      <w:lvlJc w:val="left"/>
      <w:rPr>
        <w:color w:val="auto"/>
      </w:rPr>
    </w:lvl>
    <w:lvl w:ilvl="8">
      <w:start w:val="1"/>
      <w:numFmt w:val="decimal"/>
      <w:suff w:val="nothing"/>
      <w:lvlText w:val="%1.%2.%3.%4.%5.%6.%7.%8.%9."/>
      <w:lvlJc w:val="left"/>
      <w:rPr>
        <w:color w:val="auto"/>
      </w:rPr>
    </w:lvl>
  </w:abstractNum>
  <w:abstractNum w:abstractNumId="1" w15:restartNumberingAfterBreak="0">
    <w:nsid w:val="19FD4329"/>
    <w:multiLevelType w:val="multilevel"/>
    <w:tmpl w:val="83828A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44ADD"/>
    <w:multiLevelType w:val="multilevel"/>
    <w:tmpl w:val="2F646812"/>
    <w:lvl w:ilvl="0">
      <w:start w:val="1"/>
      <w:numFmt w:val="decimal"/>
      <w:suff w:val="space"/>
      <w:lvlText w:val="%1."/>
      <w:lvlJc w:val="left"/>
      <w:rPr>
        <w:rFonts w:ascii="Times New Roman" w:hAnsi="Times New Roman" w:cs="Times New Roman"/>
        <w:b w:val="0"/>
        <w:color w:val="auto"/>
      </w:rPr>
    </w:lvl>
    <w:lvl w:ilvl="1">
      <w:start w:val="1"/>
      <w:numFmt w:val="decimal"/>
      <w:suff w:val="space"/>
      <w:lvlText w:val="%1.%2."/>
      <w:lvlJc w:val="left"/>
      <w:rPr>
        <w:color w:val="auto"/>
      </w:rPr>
    </w:lvl>
    <w:lvl w:ilvl="2">
      <w:start w:val="1"/>
      <w:numFmt w:val="decimal"/>
      <w:suff w:val="nothing"/>
      <w:lvlText w:val="%1.%2.%3."/>
      <w:lvlJc w:val="left"/>
      <w:rPr>
        <w:color w:val="auto"/>
      </w:rPr>
    </w:lvl>
    <w:lvl w:ilvl="3">
      <w:start w:val="1"/>
      <w:numFmt w:val="decimal"/>
      <w:suff w:val="nothing"/>
      <w:lvlText w:val="%1.%2.%3.%4."/>
      <w:lvlJc w:val="left"/>
      <w:rPr>
        <w:color w:val="auto"/>
      </w:rPr>
    </w:lvl>
    <w:lvl w:ilvl="4">
      <w:start w:val="1"/>
      <w:numFmt w:val="decimal"/>
      <w:suff w:val="nothing"/>
      <w:lvlText w:val="%1.%2.%3.%4.%5."/>
      <w:lvlJc w:val="left"/>
      <w:rPr>
        <w:color w:val="auto"/>
      </w:rPr>
    </w:lvl>
    <w:lvl w:ilvl="5">
      <w:start w:val="1"/>
      <w:numFmt w:val="decimal"/>
      <w:suff w:val="nothing"/>
      <w:lvlText w:val="%1.%2.%3.%4.%5.%6."/>
      <w:lvlJc w:val="left"/>
      <w:rPr>
        <w:color w:val="auto"/>
      </w:rPr>
    </w:lvl>
    <w:lvl w:ilvl="6">
      <w:start w:val="1"/>
      <w:numFmt w:val="decimal"/>
      <w:suff w:val="nothing"/>
      <w:lvlText w:val="%1.%2.%3.%4.%5.%6.%7."/>
      <w:lvlJc w:val="left"/>
      <w:rPr>
        <w:color w:val="auto"/>
      </w:rPr>
    </w:lvl>
    <w:lvl w:ilvl="7">
      <w:start w:val="1"/>
      <w:numFmt w:val="decimal"/>
      <w:suff w:val="nothing"/>
      <w:lvlText w:val="%1.%2.%3.%4.%5.%6.%7.%8."/>
      <w:lvlJc w:val="left"/>
      <w:rPr>
        <w:color w:val="auto"/>
      </w:rPr>
    </w:lvl>
    <w:lvl w:ilvl="8">
      <w:start w:val="1"/>
      <w:numFmt w:val="decimal"/>
      <w:suff w:val="nothing"/>
      <w:lvlText w:val="%1.%2.%3.%4.%5.%6.%7.%8.%9."/>
      <w:lvlJc w:val="left"/>
      <w:rPr>
        <w:color w:val="auto"/>
      </w:rPr>
    </w:lvl>
  </w:abstractNum>
  <w:abstractNum w:abstractNumId="3" w15:restartNumberingAfterBreak="0">
    <w:nsid w:val="1D6562F8"/>
    <w:multiLevelType w:val="hybridMultilevel"/>
    <w:tmpl w:val="3DAC5BAE"/>
    <w:lvl w:ilvl="0" w:tplc="96BE8FEC">
      <w:start w:val="1"/>
      <w:numFmt w:val="decimal"/>
      <w:lvlText w:val="1.%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D0CCA"/>
    <w:multiLevelType w:val="hybridMultilevel"/>
    <w:tmpl w:val="C07015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913288A"/>
    <w:multiLevelType w:val="multilevel"/>
    <w:tmpl w:val="2F646812"/>
    <w:lvl w:ilvl="0">
      <w:start w:val="1"/>
      <w:numFmt w:val="decimal"/>
      <w:suff w:val="space"/>
      <w:lvlText w:val="%1."/>
      <w:lvlJc w:val="left"/>
      <w:rPr>
        <w:rFonts w:ascii="Times New Roman" w:hAnsi="Times New Roman" w:cs="Times New Roman"/>
        <w:b w:val="0"/>
        <w:color w:val="auto"/>
      </w:rPr>
    </w:lvl>
    <w:lvl w:ilvl="1">
      <w:start w:val="1"/>
      <w:numFmt w:val="decimal"/>
      <w:suff w:val="space"/>
      <w:lvlText w:val="%1.%2."/>
      <w:lvlJc w:val="left"/>
      <w:rPr>
        <w:color w:val="auto"/>
      </w:rPr>
    </w:lvl>
    <w:lvl w:ilvl="2">
      <w:start w:val="1"/>
      <w:numFmt w:val="decimal"/>
      <w:suff w:val="nothing"/>
      <w:lvlText w:val="%1.%2.%3."/>
      <w:lvlJc w:val="left"/>
      <w:rPr>
        <w:color w:val="auto"/>
      </w:rPr>
    </w:lvl>
    <w:lvl w:ilvl="3">
      <w:start w:val="1"/>
      <w:numFmt w:val="decimal"/>
      <w:suff w:val="nothing"/>
      <w:lvlText w:val="%1.%2.%3.%4."/>
      <w:lvlJc w:val="left"/>
      <w:rPr>
        <w:color w:val="auto"/>
      </w:rPr>
    </w:lvl>
    <w:lvl w:ilvl="4">
      <w:start w:val="1"/>
      <w:numFmt w:val="decimal"/>
      <w:suff w:val="nothing"/>
      <w:lvlText w:val="%1.%2.%3.%4.%5."/>
      <w:lvlJc w:val="left"/>
      <w:rPr>
        <w:color w:val="auto"/>
      </w:rPr>
    </w:lvl>
    <w:lvl w:ilvl="5">
      <w:start w:val="1"/>
      <w:numFmt w:val="decimal"/>
      <w:suff w:val="nothing"/>
      <w:lvlText w:val="%1.%2.%3.%4.%5.%6."/>
      <w:lvlJc w:val="left"/>
      <w:rPr>
        <w:color w:val="auto"/>
      </w:rPr>
    </w:lvl>
    <w:lvl w:ilvl="6">
      <w:start w:val="1"/>
      <w:numFmt w:val="decimal"/>
      <w:suff w:val="nothing"/>
      <w:lvlText w:val="%1.%2.%3.%4.%5.%6.%7."/>
      <w:lvlJc w:val="left"/>
      <w:rPr>
        <w:color w:val="auto"/>
      </w:rPr>
    </w:lvl>
    <w:lvl w:ilvl="7">
      <w:start w:val="1"/>
      <w:numFmt w:val="decimal"/>
      <w:suff w:val="nothing"/>
      <w:lvlText w:val="%1.%2.%3.%4.%5.%6.%7.%8."/>
      <w:lvlJc w:val="left"/>
      <w:rPr>
        <w:color w:val="auto"/>
      </w:rPr>
    </w:lvl>
    <w:lvl w:ilvl="8">
      <w:start w:val="1"/>
      <w:numFmt w:val="decimal"/>
      <w:suff w:val="nothing"/>
      <w:lvlText w:val="%1.%2.%3.%4.%5.%6.%7.%8.%9."/>
      <w:lvlJc w:val="left"/>
      <w:rPr>
        <w:color w:val="auto"/>
      </w:rPr>
    </w:lvl>
  </w:abstractNum>
  <w:abstractNum w:abstractNumId="6" w15:restartNumberingAfterBreak="0">
    <w:nsid w:val="64C828DB"/>
    <w:multiLevelType w:val="hybridMultilevel"/>
    <w:tmpl w:val="44DC06A0"/>
    <w:lvl w:ilvl="0" w:tplc="E47CFCAE">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A2138A4"/>
    <w:multiLevelType w:val="multilevel"/>
    <w:tmpl w:val="2F646812"/>
    <w:lvl w:ilvl="0">
      <w:start w:val="1"/>
      <w:numFmt w:val="decimal"/>
      <w:suff w:val="space"/>
      <w:lvlText w:val="%1."/>
      <w:lvlJc w:val="left"/>
      <w:rPr>
        <w:rFonts w:ascii="Times New Roman" w:hAnsi="Times New Roman" w:cs="Times New Roman"/>
        <w:b w:val="0"/>
        <w:color w:val="auto"/>
      </w:rPr>
    </w:lvl>
    <w:lvl w:ilvl="1">
      <w:start w:val="1"/>
      <w:numFmt w:val="decimal"/>
      <w:suff w:val="space"/>
      <w:lvlText w:val="%1.%2."/>
      <w:lvlJc w:val="left"/>
      <w:rPr>
        <w:color w:val="auto"/>
      </w:rPr>
    </w:lvl>
    <w:lvl w:ilvl="2">
      <w:start w:val="1"/>
      <w:numFmt w:val="decimal"/>
      <w:suff w:val="nothing"/>
      <w:lvlText w:val="%1.%2.%3."/>
      <w:lvlJc w:val="left"/>
      <w:rPr>
        <w:color w:val="auto"/>
      </w:rPr>
    </w:lvl>
    <w:lvl w:ilvl="3">
      <w:start w:val="1"/>
      <w:numFmt w:val="decimal"/>
      <w:suff w:val="nothing"/>
      <w:lvlText w:val="%1.%2.%3.%4."/>
      <w:lvlJc w:val="left"/>
      <w:rPr>
        <w:color w:val="auto"/>
      </w:rPr>
    </w:lvl>
    <w:lvl w:ilvl="4">
      <w:start w:val="1"/>
      <w:numFmt w:val="decimal"/>
      <w:suff w:val="nothing"/>
      <w:lvlText w:val="%1.%2.%3.%4.%5."/>
      <w:lvlJc w:val="left"/>
      <w:rPr>
        <w:color w:val="auto"/>
      </w:rPr>
    </w:lvl>
    <w:lvl w:ilvl="5">
      <w:start w:val="1"/>
      <w:numFmt w:val="decimal"/>
      <w:suff w:val="nothing"/>
      <w:lvlText w:val="%1.%2.%3.%4.%5.%6."/>
      <w:lvlJc w:val="left"/>
      <w:rPr>
        <w:color w:val="auto"/>
      </w:rPr>
    </w:lvl>
    <w:lvl w:ilvl="6">
      <w:start w:val="1"/>
      <w:numFmt w:val="decimal"/>
      <w:suff w:val="nothing"/>
      <w:lvlText w:val="%1.%2.%3.%4.%5.%6.%7."/>
      <w:lvlJc w:val="left"/>
      <w:rPr>
        <w:color w:val="auto"/>
      </w:rPr>
    </w:lvl>
    <w:lvl w:ilvl="7">
      <w:start w:val="1"/>
      <w:numFmt w:val="decimal"/>
      <w:suff w:val="nothing"/>
      <w:lvlText w:val="%1.%2.%3.%4.%5.%6.%7.%8."/>
      <w:lvlJc w:val="left"/>
      <w:rPr>
        <w:color w:val="auto"/>
      </w:rPr>
    </w:lvl>
    <w:lvl w:ilvl="8">
      <w:start w:val="1"/>
      <w:numFmt w:val="decimal"/>
      <w:suff w:val="nothing"/>
      <w:lvlText w:val="%1.%2.%3.%4.%5.%6.%7.%8.%9."/>
      <w:lvlJc w:val="left"/>
      <w:rPr>
        <w:color w:val="auto"/>
      </w:rPr>
    </w:lvl>
  </w:abstractNum>
  <w:abstractNum w:abstractNumId="8" w15:restartNumberingAfterBreak="0">
    <w:nsid w:val="712856DB"/>
    <w:multiLevelType w:val="hybridMultilevel"/>
    <w:tmpl w:val="8C2842B0"/>
    <w:lvl w:ilvl="0" w:tplc="96BE8FEC">
      <w:start w:val="1"/>
      <w:numFmt w:val="decimal"/>
      <w:lvlText w:val="1.%1"/>
      <w:lvlJc w:val="left"/>
      <w:pPr>
        <w:ind w:left="975" w:hanging="360"/>
      </w:pPr>
      <w:rPr>
        <w:rFonts w:cs="Times New Roman"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16cid:durableId="2019430517">
    <w:abstractNumId w:val="0"/>
  </w:num>
  <w:num w:numId="2" w16cid:durableId="2033412311">
    <w:abstractNumId w:val="5"/>
  </w:num>
  <w:num w:numId="3" w16cid:durableId="779566367">
    <w:abstractNumId w:val="7"/>
  </w:num>
  <w:num w:numId="4" w16cid:durableId="361783943">
    <w:abstractNumId w:val="4"/>
  </w:num>
  <w:num w:numId="5" w16cid:durableId="1130054693">
    <w:abstractNumId w:val="8"/>
  </w:num>
  <w:num w:numId="6" w16cid:durableId="1285382694">
    <w:abstractNumId w:val="2"/>
  </w:num>
  <w:num w:numId="7" w16cid:durableId="1213426016">
    <w:abstractNumId w:val="1"/>
  </w:num>
  <w:num w:numId="8" w16cid:durableId="1528104787">
    <w:abstractNumId w:val="3"/>
  </w:num>
  <w:num w:numId="9" w16cid:durableId="2023586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AB"/>
    <w:rsid w:val="00060B25"/>
    <w:rsid w:val="000901AB"/>
    <w:rsid w:val="000B56CA"/>
    <w:rsid w:val="00231D57"/>
    <w:rsid w:val="00263593"/>
    <w:rsid w:val="002E66ED"/>
    <w:rsid w:val="00303399"/>
    <w:rsid w:val="00366401"/>
    <w:rsid w:val="00380FBF"/>
    <w:rsid w:val="004521D0"/>
    <w:rsid w:val="00466EA2"/>
    <w:rsid w:val="004F5D44"/>
    <w:rsid w:val="00534C48"/>
    <w:rsid w:val="00577592"/>
    <w:rsid w:val="00646249"/>
    <w:rsid w:val="00683CC1"/>
    <w:rsid w:val="006B380D"/>
    <w:rsid w:val="00712968"/>
    <w:rsid w:val="00767B01"/>
    <w:rsid w:val="007C1BC8"/>
    <w:rsid w:val="00833FF1"/>
    <w:rsid w:val="00880191"/>
    <w:rsid w:val="009E059C"/>
    <w:rsid w:val="00A65C11"/>
    <w:rsid w:val="00AA503C"/>
    <w:rsid w:val="00AC66CC"/>
    <w:rsid w:val="00BF60C2"/>
    <w:rsid w:val="00C10BA3"/>
    <w:rsid w:val="00CF24E3"/>
    <w:rsid w:val="00D21C9B"/>
    <w:rsid w:val="00D2476D"/>
    <w:rsid w:val="00D75B07"/>
    <w:rsid w:val="00E05A45"/>
    <w:rsid w:val="00E735E9"/>
    <w:rsid w:val="00EF71AB"/>
    <w:rsid w:val="00F23CD3"/>
    <w:rsid w:val="00F60C47"/>
    <w:rsid w:val="00FD6C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767395"/>
  <w15:docId w15:val="{29CB02B2-C606-4D54-B296-51692E0B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rPr>
      <w:rFonts w:ascii="Times New Roman" w:eastAsia="Calibri" w:hAnsi="Times New Roman" w:cs="Calibri"/>
      <w:szCs w:val="22"/>
      <w:lang w:eastAsia="ar-SA"/>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SraopastraipaDiagrama">
    <w:name w:val="Sąrašo pastraipa Diagrama"/>
  </w:style>
  <w:style w:type="character" w:customStyle="1" w:styleId="cf01">
    <w:name w:val="cf01"/>
    <w:basedOn w:val="Numatytasispastraiposriftas"/>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580</Words>
  <Characters>3308</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Adomaitienė</dc:creator>
  <dc:description/>
  <cp:lastModifiedBy>Erika Šimaitienė</cp:lastModifiedBy>
  <cp:revision>40</cp:revision>
  <cp:lastPrinted>2025-05-14T06:35:00Z</cp:lastPrinted>
  <dcterms:created xsi:type="dcterms:W3CDTF">2025-04-15T08:51:00Z</dcterms:created>
  <dcterms:modified xsi:type="dcterms:W3CDTF">2025-07-16T07:33:00Z</dcterms:modified>
</cp:coreProperties>
</file>