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Pr="00B864C0" w:rsidRDefault="00007B46" w:rsidP="00007B46">
      <w:pPr>
        <w:rPr>
          <w:rFonts w:ascii="Arial" w:hAnsi="Arial" w:cs="Arial"/>
          <w:sz w:val="22"/>
          <w:szCs w:val="22"/>
        </w:rPr>
      </w:pPr>
    </w:p>
    <w:p w14:paraId="04655E82" w14:textId="243767A3" w:rsidR="00007B46" w:rsidRPr="00B864C0" w:rsidRDefault="00635C7F" w:rsidP="00635C7F">
      <w:pPr>
        <w:pStyle w:val="ListParagraph"/>
        <w:suppressAutoHyphens/>
        <w:jc w:val="right"/>
        <w:rPr>
          <w:rFonts w:ascii="Arial" w:hAnsi="Arial" w:cs="Arial"/>
          <w:sz w:val="22"/>
          <w:szCs w:val="22"/>
        </w:rPr>
      </w:pPr>
      <w:r w:rsidRPr="00B864C0">
        <w:rPr>
          <w:rFonts w:ascii="Arial" w:hAnsi="Arial" w:cs="Arial"/>
          <w:sz w:val="22"/>
          <w:szCs w:val="22"/>
        </w:rPr>
        <w:t xml:space="preserve">SPS priedas Nr. 10 </w:t>
      </w:r>
    </w:p>
    <w:p w14:paraId="3FE758C0" w14:textId="77777777" w:rsidR="00007B46" w:rsidRPr="00B864C0" w:rsidRDefault="00007B46" w:rsidP="00635C7F">
      <w:pPr>
        <w:pStyle w:val="Heading3"/>
        <w:jc w:val="center"/>
        <w:rPr>
          <w:rFonts w:ascii="Arial" w:hAnsi="Arial" w:cs="Arial"/>
          <w:b/>
          <w:bCs/>
          <w:color w:val="auto"/>
          <w:sz w:val="22"/>
          <w:szCs w:val="22"/>
        </w:rPr>
      </w:pPr>
      <w:bookmarkStart w:id="0" w:name="_TIEKĖJŲ_KVALIFIKACIJOS_REIKALAVIMAI"/>
      <w:bookmarkEnd w:id="0"/>
      <w:r w:rsidRPr="00B864C0">
        <w:rPr>
          <w:rFonts w:ascii="Arial" w:hAnsi="Arial" w:cs="Arial"/>
          <w:b/>
          <w:bCs/>
          <w:color w:val="auto"/>
          <w:sz w:val="22"/>
          <w:szCs w:val="22"/>
        </w:rPr>
        <w:t>TIEKĖJŲ KVALIFIKACIJOS REIKALAVIMAI</w:t>
      </w:r>
    </w:p>
    <w:p w14:paraId="29448815" w14:textId="77777777" w:rsidR="00007B46" w:rsidRPr="00B864C0" w:rsidRDefault="00007B46" w:rsidP="00007B46">
      <w:pPr>
        <w:pStyle w:val="ListParagraph"/>
        <w:suppressAutoHyphens/>
        <w:ind w:left="360"/>
        <w:jc w:val="center"/>
        <w:rPr>
          <w:rFonts w:ascii="Arial" w:hAnsi="Arial" w:cs="Arial"/>
          <w:sz w:val="22"/>
          <w:szCs w:val="22"/>
        </w:rPr>
      </w:pPr>
      <w:r w:rsidRPr="00B864C0">
        <w:rPr>
          <w:rFonts w:ascii="Arial" w:hAnsi="Arial" w:cs="Arial"/>
          <w:sz w:val="22"/>
          <w:szCs w:val="22"/>
        </w:rPr>
        <w:tab/>
      </w:r>
    </w:p>
    <w:tbl>
      <w:tblPr>
        <w:tblStyle w:val="TableGrid"/>
        <w:tblW w:w="0" w:type="auto"/>
        <w:tblLook w:val="04A0" w:firstRow="1" w:lastRow="0" w:firstColumn="1" w:lastColumn="0" w:noHBand="0" w:noVBand="1"/>
      </w:tblPr>
      <w:tblGrid>
        <w:gridCol w:w="704"/>
        <w:gridCol w:w="4714"/>
        <w:gridCol w:w="4358"/>
      </w:tblGrid>
      <w:tr w:rsidR="00007B46" w:rsidRPr="00B864C0" w14:paraId="74A3AC97" w14:textId="77777777" w:rsidTr="5E88664C">
        <w:trPr>
          <w:cantSplit/>
          <w:trHeight w:val="675"/>
          <w:tblHeader/>
        </w:trPr>
        <w:tc>
          <w:tcPr>
            <w:tcW w:w="704" w:type="dxa"/>
            <w:vAlign w:val="center"/>
          </w:tcPr>
          <w:p w14:paraId="4525484C" w14:textId="77777777" w:rsidR="00007B46" w:rsidRPr="00B864C0" w:rsidRDefault="00007B46" w:rsidP="0097485C">
            <w:pPr>
              <w:jc w:val="center"/>
              <w:rPr>
                <w:rFonts w:ascii="Arial" w:hAnsi="Arial" w:cs="Arial"/>
                <w:b/>
                <w:sz w:val="22"/>
                <w:szCs w:val="22"/>
              </w:rPr>
            </w:pPr>
            <w:bookmarkStart w:id="1" w:name="_Hlk96077892"/>
            <w:r w:rsidRPr="00B864C0">
              <w:rPr>
                <w:rFonts w:ascii="Arial" w:hAnsi="Arial" w:cs="Arial"/>
                <w:b/>
                <w:sz w:val="22"/>
                <w:szCs w:val="22"/>
              </w:rPr>
              <w:t>Eil. Nr.</w:t>
            </w:r>
          </w:p>
        </w:tc>
        <w:tc>
          <w:tcPr>
            <w:tcW w:w="4714" w:type="dxa"/>
            <w:vAlign w:val="center"/>
          </w:tcPr>
          <w:p w14:paraId="42536E11" w14:textId="77777777" w:rsidR="00007B46" w:rsidRPr="00B864C0" w:rsidRDefault="00007B46" w:rsidP="0097485C">
            <w:pPr>
              <w:jc w:val="center"/>
              <w:rPr>
                <w:rFonts w:ascii="Arial" w:hAnsi="Arial" w:cs="Arial"/>
                <w:b/>
                <w:sz w:val="22"/>
                <w:szCs w:val="22"/>
              </w:rPr>
            </w:pPr>
            <w:r w:rsidRPr="00B864C0">
              <w:rPr>
                <w:rFonts w:ascii="Arial" w:hAnsi="Arial" w:cs="Arial"/>
                <w:b/>
                <w:sz w:val="22"/>
                <w:szCs w:val="22"/>
              </w:rPr>
              <w:t>Kvalifikacijos reikalavimai</w:t>
            </w:r>
          </w:p>
        </w:tc>
        <w:tc>
          <w:tcPr>
            <w:tcW w:w="4358" w:type="dxa"/>
            <w:vAlign w:val="center"/>
          </w:tcPr>
          <w:p w14:paraId="15B24F94" w14:textId="77777777" w:rsidR="00007B46" w:rsidRPr="00B864C0" w:rsidRDefault="00007B46" w:rsidP="0097485C">
            <w:pPr>
              <w:jc w:val="center"/>
              <w:rPr>
                <w:rFonts w:ascii="Arial" w:hAnsi="Arial" w:cs="Arial"/>
                <w:b/>
                <w:sz w:val="22"/>
                <w:szCs w:val="22"/>
              </w:rPr>
            </w:pPr>
            <w:r w:rsidRPr="00B864C0">
              <w:rPr>
                <w:rFonts w:ascii="Arial" w:hAnsi="Arial" w:cs="Arial"/>
                <w:b/>
                <w:sz w:val="22"/>
                <w:szCs w:val="22"/>
              </w:rPr>
              <w:t>Patvirtinančių dokumentų sąrašas</w:t>
            </w:r>
          </w:p>
        </w:tc>
      </w:tr>
      <w:tr w:rsidR="00007B46" w:rsidRPr="00B864C0" w14:paraId="7E5C2617" w14:textId="77777777" w:rsidTr="5E88664C">
        <w:tc>
          <w:tcPr>
            <w:tcW w:w="9776" w:type="dxa"/>
            <w:gridSpan w:val="3"/>
          </w:tcPr>
          <w:p w14:paraId="4621162A" w14:textId="77777777" w:rsidR="00007B46" w:rsidRPr="00B864C0" w:rsidRDefault="00007B46" w:rsidP="0097485C">
            <w:pPr>
              <w:jc w:val="center"/>
              <w:rPr>
                <w:rFonts w:ascii="Arial" w:hAnsi="Arial" w:cs="Arial"/>
                <w:b/>
                <w:i/>
                <w:sz w:val="22"/>
                <w:szCs w:val="22"/>
              </w:rPr>
            </w:pPr>
            <w:r w:rsidRPr="00B864C0">
              <w:rPr>
                <w:rFonts w:ascii="Arial" w:hAnsi="Arial" w:cs="Arial"/>
                <w:b/>
                <w:i/>
                <w:sz w:val="22"/>
                <w:szCs w:val="22"/>
              </w:rPr>
              <w:t>Techninis ir profesinis pajėgumas</w:t>
            </w:r>
          </w:p>
        </w:tc>
      </w:tr>
      <w:tr w:rsidR="00007B46" w:rsidRPr="00B864C0" w14:paraId="08FA7FCD" w14:textId="77777777" w:rsidTr="5E88664C">
        <w:tc>
          <w:tcPr>
            <w:tcW w:w="704" w:type="dxa"/>
          </w:tcPr>
          <w:p w14:paraId="302E4295" w14:textId="0A2B3853" w:rsidR="00007B46" w:rsidRPr="00B864C0" w:rsidRDefault="00A70C44" w:rsidP="0097485C">
            <w:pPr>
              <w:pStyle w:val="ListParagraph"/>
              <w:ind w:left="0"/>
              <w:jc w:val="center"/>
              <w:rPr>
                <w:rFonts w:ascii="Arial" w:hAnsi="Arial" w:cs="Arial"/>
                <w:sz w:val="22"/>
                <w:szCs w:val="22"/>
              </w:rPr>
            </w:pPr>
            <w:r>
              <w:rPr>
                <w:rFonts w:ascii="Arial" w:hAnsi="Arial" w:cs="Arial"/>
                <w:sz w:val="22"/>
                <w:szCs w:val="22"/>
              </w:rPr>
              <w:t>1.</w:t>
            </w:r>
          </w:p>
        </w:tc>
        <w:tc>
          <w:tcPr>
            <w:tcW w:w="4714" w:type="dxa"/>
          </w:tcPr>
          <w:p w14:paraId="03A0C7D3" w14:textId="77777777" w:rsidR="00E7072D" w:rsidRPr="00B864C0" w:rsidRDefault="00E7072D" w:rsidP="00617838">
            <w:pPr>
              <w:ind w:firstLine="30"/>
              <w:rPr>
                <w:rFonts w:ascii="Arial" w:hAnsi="Arial" w:cs="Arial"/>
                <w:b/>
                <w:bCs/>
                <w:sz w:val="22"/>
                <w:szCs w:val="22"/>
              </w:rPr>
            </w:pPr>
            <w:r w:rsidRPr="00B864C0">
              <w:rPr>
                <w:rFonts w:ascii="Arial" w:hAnsi="Arial" w:cs="Arial"/>
                <w:b/>
                <w:bCs/>
                <w:sz w:val="22"/>
                <w:szCs w:val="22"/>
              </w:rPr>
              <w:t>I-III pirkimo objekto daliai:</w:t>
            </w:r>
          </w:p>
          <w:p w14:paraId="4A1E95A3"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Tiekėjas, tiekėjų grupės partneriai kartu,  turi būti kvalifikuotas atlikti statinio projekto bendrąją ir dalinę ekspertizę:</w:t>
            </w:r>
          </w:p>
          <w:p w14:paraId="125F5999"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 xml:space="preserve">statinių kategorijos – ypatingi statiniai; </w:t>
            </w:r>
          </w:p>
          <w:p w14:paraId="6EFCEBB7" w14:textId="16865C91" w:rsidR="00E7072D" w:rsidRPr="00617838" w:rsidRDefault="00E7072D" w:rsidP="00617838">
            <w:pPr>
              <w:pStyle w:val="Point1"/>
              <w:suppressAutoHyphens/>
              <w:spacing w:before="0" w:after="0"/>
              <w:ind w:left="0" w:right="34" w:firstLine="347"/>
              <w:rPr>
                <w:rFonts w:ascii="Arial" w:hAnsi="Arial" w:cs="Arial"/>
                <w:color w:val="000000" w:themeColor="text1"/>
                <w:sz w:val="22"/>
                <w:szCs w:val="22"/>
                <w:lang w:val="lt-LT"/>
              </w:rPr>
            </w:pPr>
            <w:r w:rsidRPr="00B864C0">
              <w:rPr>
                <w:rFonts w:ascii="Arial" w:hAnsi="Arial" w:cs="Arial"/>
                <w:sz w:val="22"/>
                <w:szCs w:val="22"/>
                <w:lang w:val="lt-LT"/>
              </w:rPr>
              <w:t xml:space="preserve">statinių grupės – </w:t>
            </w:r>
            <w:r w:rsidR="00617838" w:rsidRPr="00617838">
              <w:rPr>
                <w:rFonts w:ascii="Arial" w:hAnsi="Arial" w:cs="Arial"/>
                <w:color w:val="000000" w:themeColor="text1"/>
                <w:sz w:val="22"/>
                <w:szCs w:val="22"/>
                <w:lang w:val="lt-LT"/>
              </w:rPr>
              <w:t>susisiekimo komunikacijos (keliai, geležinkelio keliai), kiti transporto statiniai;</w:t>
            </w:r>
          </w:p>
          <w:p w14:paraId="77EBC0F7"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 xml:space="preserve">inžineriniai tinklai: vandentiekio tinklai, šilumos tinklai, nuotekų šalinimo tinklai, elektros tinklai </w:t>
            </w:r>
            <w:r w:rsidRPr="00B864C0">
              <w:rPr>
                <w:rFonts w:ascii="Arial" w:hAnsi="Arial" w:cs="Arial"/>
                <w:sz w:val="22"/>
                <w:szCs w:val="22"/>
                <w:shd w:val="clear" w:color="auto" w:fill="FFFFFF"/>
                <w:lang w:val="lt-LT"/>
              </w:rPr>
              <w:t xml:space="preserve">(iki 110 </w:t>
            </w:r>
            <w:proofErr w:type="spellStart"/>
            <w:r w:rsidRPr="00B864C0">
              <w:rPr>
                <w:rFonts w:ascii="Arial" w:hAnsi="Arial" w:cs="Arial"/>
                <w:sz w:val="22"/>
                <w:szCs w:val="22"/>
                <w:shd w:val="clear" w:color="auto" w:fill="FFFFFF"/>
                <w:lang w:val="lt-LT"/>
              </w:rPr>
              <w:t>kV</w:t>
            </w:r>
            <w:proofErr w:type="spellEnd"/>
            <w:r w:rsidRPr="00B864C0">
              <w:rPr>
                <w:rFonts w:ascii="Arial" w:hAnsi="Arial" w:cs="Arial"/>
                <w:sz w:val="22"/>
                <w:szCs w:val="22"/>
                <w:shd w:val="clear" w:color="auto" w:fill="FFFFFF"/>
                <w:lang w:val="lt-LT"/>
              </w:rPr>
              <w:t xml:space="preserve"> įtampos)</w:t>
            </w:r>
            <w:r w:rsidRPr="00B864C0">
              <w:rPr>
                <w:rFonts w:ascii="Arial" w:hAnsi="Arial" w:cs="Arial"/>
                <w:sz w:val="22"/>
                <w:szCs w:val="22"/>
                <w:lang w:val="lt-LT"/>
              </w:rPr>
              <w:t xml:space="preserve">; </w:t>
            </w:r>
          </w:p>
          <w:p w14:paraId="2A56BCBE"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 xml:space="preserve">hidrotechnikos statiniai: vandens pralaidos, melioracijos statiniai; </w:t>
            </w:r>
          </w:p>
          <w:p w14:paraId="5C9385FC"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kiti inžineriniai statiniai;</w:t>
            </w:r>
          </w:p>
          <w:p w14:paraId="228800E5" w14:textId="77777777" w:rsidR="00E7072D" w:rsidRPr="00B864C0" w:rsidRDefault="00E7072D" w:rsidP="00617838">
            <w:pPr>
              <w:pStyle w:val="Point1"/>
              <w:suppressAutoHyphens/>
              <w:spacing w:before="0" w:after="0"/>
              <w:ind w:left="0" w:right="34" w:firstLine="347"/>
              <w:rPr>
                <w:rFonts w:ascii="Arial" w:hAnsi="Arial" w:cs="Arial"/>
                <w:sz w:val="22"/>
                <w:szCs w:val="22"/>
                <w:lang w:val="lt-LT"/>
              </w:rPr>
            </w:pPr>
            <w:r w:rsidRPr="00B864C0">
              <w:rPr>
                <w:rFonts w:ascii="Arial" w:hAnsi="Arial" w:cs="Arial"/>
                <w:sz w:val="22"/>
                <w:szCs w:val="22"/>
                <w:lang w:val="lt-LT"/>
              </w:rPr>
              <w:t>taip pat minėti statiniai, esantys kultūros paveldo objekto teritorijoje, jo apsaugos zonoje ir kultūros paveldo vietovėje</w:t>
            </w:r>
          </w:p>
          <w:p w14:paraId="56971DB1" w14:textId="77777777" w:rsidR="00E7072D" w:rsidRPr="00B864C0" w:rsidRDefault="00E7072D" w:rsidP="00617838">
            <w:pPr>
              <w:ind w:firstLine="287"/>
              <w:rPr>
                <w:rFonts w:ascii="Arial" w:hAnsi="Arial" w:cs="Arial"/>
                <w:sz w:val="22"/>
                <w:szCs w:val="22"/>
              </w:rPr>
            </w:pPr>
            <w:r w:rsidRPr="00B864C0">
              <w:rPr>
                <w:rFonts w:ascii="Arial" w:hAnsi="Arial" w:cs="Arial"/>
                <w:sz w:val="22"/>
                <w:szCs w:val="22"/>
              </w:rPr>
              <w:t>Projekto ekspertizės darbo sritys: sklypo sutvarkymo (sklypo plano), konstrukcijų, susisiekimo, vandentiekio ir nuotekų šalinimo, elektrotechnikos (</w:t>
            </w:r>
            <w:r w:rsidRPr="00B864C0">
              <w:rPr>
                <w:rFonts w:ascii="Arial" w:hAnsi="Arial" w:cs="Arial"/>
                <w:sz w:val="22"/>
                <w:szCs w:val="22"/>
                <w:shd w:val="clear" w:color="auto" w:fill="FFFFFF"/>
              </w:rPr>
              <w:t xml:space="preserve">iki 110 </w:t>
            </w:r>
            <w:proofErr w:type="spellStart"/>
            <w:r w:rsidRPr="00B864C0">
              <w:rPr>
                <w:rFonts w:ascii="Arial" w:hAnsi="Arial" w:cs="Arial"/>
                <w:sz w:val="22"/>
                <w:szCs w:val="22"/>
                <w:shd w:val="clear" w:color="auto" w:fill="FFFFFF"/>
              </w:rPr>
              <w:t>kV</w:t>
            </w:r>
            <w:proofErr w:type="spellEnd"/>
            <w:r w:rsidRPr="00B864C0">
              <w:rPr>
                <w:rFonts w:ascii="Arial" w:hAnsi="Arial" w:cs="Arial"/>
                <w:sz w:val="22"/>
                <w:szCs w:val="22"/>
                <w:shd w:val="clear" w:color="auto" w:fill="FFFFFF"/>
              </w:rPr>
              <w:t xml:space="preserve"> įtampos</w:t>
            </w:r>
            <w:r w:rsidRPr="00B864C0">
              <w:rPr>
                <w:rFonts w:ascii="Arial" w:hAnsi="Arial" w:cs="Arial"/>
                <w:sz w:val="22"/>
                <w:szCs w:val="22"/>
              </w:rPr>
              <w:t>), elektroninių ryšių (telekomunikacijų), pasirengimo statybai ir statybos organizavimo, statybos skaičiuojamosios kainos nustatymo,  architektūros, šilumos tiekimo, dujotiekio dalis.</w:t>
            </w:r>
          </w:p>
          <w:p w14:paraId="7E5AFA98" w14:textId="77777777" w:rsidR="00E7072D" w:rsidRPr="00B864C0" w:rsidRDefault="00E7072D" w:rsidP="00617838">
            <w:pPr>
              <w:ind w:firstLine="30"/>
              <w:rPr>
                <w:rFonts w:ascii="Arial" w:hAnsi="Arial" w:cs="Arial"/>
                <w:b/>
                <w:bCs/>
                <w:sz w:val="22"/>
                <w:szCs w:val="22"/>
              </w:rPr>
            </w:pPr>
          </w:p>
          <w:p w14:paraId="79BD1C47" w14:textId="034C9D9F" w:rsidR="00007B46" w:rsidRPr="00B864C0" w:rsidRDefault="00E7072D" w:rsidP="00617838">
            <w:pPr>
              <w:rPr>
                <w:rFonts w:ascii="Arial" w:hAnsi="Arial" w:cs="Arial"/>
                <w:sz w:val="22"/>
                <w:szCs w:val="22"/>
              </w:rPr>
            </w:pPr>
            <w:r w:rsidRPr="00B864C0">
              <w:rPr>
                <w:rFonts w:ascii="Arial" w:hAnsi="Arial" w:cs="Arial"/>
                <w:i/>
                <w:iCs/>
                <w:sz w:val="22"/>
                <w:szCs w:val="22"/>
              </w:rPr>
              <w:t>PASTABA.</w:t>
            </w:r>
            <w:r w:rsidRPr="00B864C0">
              <w:rPr>
                <w:rFonts w:ascii="Arial" w:hAnsi="Arial" w:cs="Arial"/>
                <w:sz w:val="22"/>
                <w:szCs w:val="22"/>
              </w:rPr>
              <w:t xml:space="preserve"> Subtiekėjai, kuriuos tiekėjas pasitelks pirkimo sutarties vykdymui (kurių pajėgumais tiekėjas nesiremia, kad atitiktų pirkimo dokumentuose nustatytus kvalifikacijos reikalavimus), privalo būti atitinkamai kvalifikuotas atlikti statinio projekto bendrąją ir (ar) dalinę ekspertizę, kuriai jis pasitelkiamas.</w:t>
            </w:r>
          </w:p>
        </w:tc>
        <w:tc>
          <w:tcPr>
            <w:tcW w:w="4358" w:type="dxa"/>
          </w:tcPr>
          <w:p w14:paraId="62885290" w14:textId="77777777" w:rsidR="00AB7BC0" w:rsidRPr="00B864C0" w:rsidRDefault="00AB7BC0" w:rsidP="00AB7BC0">
            <w:pPr>
              <w:tabs>
                <w:tab w:val="left" w:pos="315"/>
              </w:tabs>
              <w:rPr>
                <w:rFonts w:ascii="Arial" w:hAnsi="Arial" w:cs="Arial"/>
                <w:sz w:val="22"/>
                <w:szCs w:val="22"/>
              </w:rPr>
            </w:pPr>
            <w:r w:rsidRPr="00B864C0">
              <w:rPr>
                <w:rFonts w:ascii="Arial" w:hAnsi="Arial" w:cs="Arial"/>
                <w:sz w:val="22"/>
                <w:szCs w:val="22"/>
              </w:rPr>
              <w:t>Perkančioji organizacija, naudodamasi viešosios įstaigos Statybos sektoriaus vystymo agentūros (</w:t>
            </w:r>
            <w:r w:rsidRPr="00B864C0">
              <w:rPr>
                <w:rFonts w:ascii="Arial" w:hAnsi="Arial" w:cs="Arial"/>
                <w:i/>
                <w:iCs/>
                <w:sz w:val="22"/>
                <w:szCs w:val="22"/>
              </w:rPr>
              <w:t>https://www.ssva.lt</w:t>
            </w:r>
            <w:r w:rsidRPr="00B864C0">
              <w:rPr>
                <w:rFonts w:ascii="Arial" w:hAnsi="Arial" w:cs="Arial"/>
                <w:sz w:val="22"/>
                <w:szCs w:val="22"/>
              </w:rPr>
              <w:t>) duomenų registrais, patikrins atitiktį nustatytam reikalavimui.</w:t>
            </w:r>
          </w:p>
          <w:p w14:paraId="1BC03A5D" w14:textId="77777777" w:rsidR="00007B46" w:rsidRPr="00B864C0" w:rsidRDefault="00007B46" w:rsidP="0097485C">
            <w:pPr>
              <w:tabs>
                <w:tab w:val="left" w:pos="328"/>
                <w:tab w:val="left" w:pos="705"/>
              </w:tabs>
              <w:suppressAutoHyphens/>
              <w:contextualSpacing/>
              <w:rPr>
                <w:rFonts w:ascii="Arial" w:hAnsi="Arial" w:cs="Arial"/>
                <w:i/>
                <w:iCs/>
                <w:sz w:val="22"/>
                <w:szCs w:val="22"/>
              </w:rPr>
            </w:pPr>
          </w:p>
          <w:p w14:paraId="66F2BAF0" w14:textId="16DCC64F" w:rsidR="0030000B" w:rsidRPr="00B864C0" w:rsidRDefault="0030000B" w:rsidP="0097485C">
            <w:pPr>
              <w:tabs>
                <w:tab w:val="left" w:pos="328"/>
                <w:tab w:val="left" w:pos="705"/>
              </w:tabs>
              <w:suppressAutoHyphens/>
              <w:contextualSpacing/>
              <w:rPr>
                <w:rFonts w:ascii="Arial" w:hAnsi="Arial" w:cs="Arial"/>
                <w:i/>
                <w:iCs/>
                <w:sz w:val="22"/>
                <w:szCs w:val="22"/>
              </w:rPr>
            </w:pPr>
          </w:p>
        </w:tc>
      </w:tr>
      <w:tr w:rsidR="00007B46" w:rsidRPr="00B864C0" w14:paraId="227F9F3E" w14:textId="77777777" w:rsidTr="5E88664C">
        <w:tc>
          <w:tcPr>
            <w:tcW w:w="9776" w:type="dxa"/>
            <w:gridSpan w:val="3"/>
          </w:tcPr>
          <w:p w14:paraId="0D05A38F" w14:textId="4E6C2A7C" w:rsidR="00007B46" w:rsidRPr="00B864C0" w:rsidRDefault="00007B46" w:rsidP="00007B46">
            <w:pPr>
              <w:pStyle w:val="ListParagraph"/>
              <w:numPr>
                <w:ilvl w:val="0"/>
                <w:numId w:val="1"/>
              </w:numPr>
              <w:tabs>
                <w:tab w:val="left" w:pos="361"/>
              </w:tabs>
              <w:rPr>
                <w:rFonts w:ascii="Arial" w:hAnsi="Arial" w:cs="Arial"/>
                <w:i/>
                <w:iCs/>
                <w:sz w:val="22"/>
                <w:szCs w:val="22"/>
              </w:rPr>
            </w:pPr>
            <w:r w:rsidRPr="00B864C0">
              <w:rPr>
                <w:rFonts w:ascii="Arial" w:hAnsi="Arial" w:cs="Arial"/>
                <w:i/>
                <w:iCs/>
                <w:sz w:val="22"/>
                <w:szCs w:val="22"/>
              </w:rPr>
              <w:t>jeigu pasiūlymą teikia ūkio subjektų grupė – reikalavimą turi atitikti visi ūkio subjektų grupės nariai kartu, atsižvelgiant į jų prisiimamus įsipareigojimus;</w:t>
            </w:r>
          </w:p>
          <w:p w14:paraId="303A061C" w14:textId="7F2C9DC8" w:rsidR="00007B46" w:rsidRPr="0072797B" w:rsidRDefault="00007B46" w:rsidP="0097485C">
            <w:pPr>
              <w:pStyle w:val="ListParagraph"/>
              <w:numPr>
                <w:ilvl w:val="0"/>
                <w:numId w:val="1"/>
              </w:numPr>
              <w:tabs>
                <w:tab w:val="left" w:pos="361"/>
              </w:tabs>
              <w:rPr>
                <w:rFonts w:ascii="Arial" w:hAnsi="Arial" w:cs="Arial"/>
                <w:i/>
                <w:iCs/>
                <w:sz w:val="22"/>
                <w:szCs w:val="22"/>
              </w:rPr>
            </w:pPr>
            <w:r w:rsidRPr="0072797B">
              <w:rPr>
                <w:rFonts w:ascii="Arial" w:hAnsi="Arial" w:cs="Arial"/>
                <w:i/>
                <w:iCs/>
                <w:sz w:val="22"/>
                <w:szCs w:val="22"/>
              </w:rPr>
              <w:t>tiekėjas gali remtis kitų ūkio subjektų pajėgumais tik tuo atveju, jeigu tie subjektai patys vykdys tą pirkimo sutarties dalį, kuriai reikia jų turimų pajėgumų;</w:t>
            </w:r>
          </w:p>
          <w:p w14:paraId="3D09228F" w14:textId="77777777" w:rsidR="00007B46" w:rsidRPr="00B864C0" w:rsidRDefault="00007B46" w:rsidP="0097485C">
            <w:pPr>
              <w:tabs>
                <w:tab w:val="left" w:pos="361"/>
              </w:tabs>
              <w:rPr>
                <w:rFonts w:ascii="Arial" w:hAnsi="Arial" w:cs="Arial"/>
                <w:i/>
                <w:iCs/>
                <w:sz w:val="22"/>
                <w:szCs w:val="22"/>
              </w:rPr>
            </w:pPr>
          </w:p>
        </w:tc>
      </w:tr>
      <w:tr w:rsidR="00007B46" w:rsidRPr="00B864C0" w14:paraId="51831011" w14:textId="77777777" w:rsidTr="5E88664C">
        <w:tc>
          <w:tcPr>
            <w:tcW w:w="704" w:type="dxa"/>
          </w:tcPr>
          <w:p w14:paraId="150CD874" w14:textId="58725BAC" w:rsidR="00007B46" w:rsidRPr="00B864C0" w:rsidRDefault="00A70C44" w:rsidP="0097485C">
            <w:pPr>
              <w:pStyle w:val="ListParagraph"/>
              <w:ind w:left="0"/>
              <w:jc w:val="center"/>
              <w:rPr>
                <w:rFonts w:ascii="Arial" w:hAnsi="Arial" w:cs="Arial"/>
                <w:sz w:val="22"/>
                <w:szCs w:val="22"/>
              </w:rPr>
            </w:pPr>
            <w:r>
              <w:rPr>
                <w:rFonts w:ascii="Arial" w:hAnsi="Arial" w:cs="Arial"/>
                <w:sz w:val="22"/>
                <w:szCs w:val="22"/>
              </w:rPr>
              <w:t>2.</w:t>
            </w:r>
          </w:p>
        </w:tc>
        <w:tc>
          <w:tcPr>
            <w:tcW w:w="4714" w:type="dxa"/>
          </w:tcPr>
          <w:p w14:paraId="176E3EA8" w14:textId="77777777" w:rsidR="00181BA6" w:rsidRPr="00B864C0" w:rsidRDefault="00181BA6" w:rsidP="00181BA6">
            <w:pPr>
              <w:rPr>
                <w:rFonts w:ascii="Arial" w:hAnsi="Arial" w:cs="Arial"/>
                <w:sz w:val="22"/>
                <w:szCs w:val="22"/>
              </w:rPr>
            </w:pPr>
            <w:r w:rsidRPr="00B864C0">
              <w:rPr>
                <w:rFonts w:ascii="Arial" w:hAnsi="Arial" w:cs="Arial"/>
                <w:sz w:val="22"/>
                <w:szCs w:val="22"/>
              </w:rPr>
              <w:t>Pirkimo sutartį turi vykdyti kvalifikuoti specialistai:</w:t>
            </w:r>
          </w:p>
          <w:p w14:paraId="7B6664DB" w14:textId="77777777" w:rsidR="00181BA6" w:rsidRPr="00B864C0" w:rsidRDefault="00181BA6" w:rsidP="00181BA6">
            <w:pPr>
              <w:rPr>
                <w:rFonts w:ascii="Arial" w:hAnsi="Arial" w:cs="Arial"/>
                <w:sz w:val="22"/>
                <w:szCs w:val="22"/>
              </w:rPr>
            </w:pPr>
          </w:p>
          <w:p w14:paraId="22381DBF" w14:textId="77777777" w:rsidR="00181BA6" w:rsidRPr="00B864C0" w:rsidRDefault="00181BA6" w:rsidP="00181BA6">
            <w:pPr>
              <w:spacing w:before="60"/>
              <w:ind w:firstLine="364"/>
              <w:rPr>
                <w:rFonts w:ascii="Arial" w:hAnsi="Arial" w:cs="Arial"/>
                <w:b/>
                <w:bCs/>
                <w:sz w:val="22"/>
                <w:szCs w:val="22"/>
              </w:rPr>
            </w:pPr>
            <w:r w:rsidRPr="00B864C0">
              <w:rPr>
                <w:rFonts w:ascii="Arial" w:hAnsi="Arial" w:cs="Arial"/>
                <w:b/>
                <w:bCs/>
                <w:sz w:val="22"/>
                <w:szCs w:val="22"/>
              </w:rPr>
              <w:t>I</w:t>
            </w:r>
            <w:r w:rsidRPr="00B864C0">
              <w:rPr>
                <w:rFonts w:ascii="Arial" w:hAnsi="Arial" w:cs="Arial"/>
                <w:sz w:val="22"/>
                <w:szCs w:val="22"/>
              </w:rPr>
              <w:t>-</w:t>
            </w:r>
            <w:r w:rsidRPr="00B864C0">
              <w:rPr>
                <w:rFonts w:ascii="Arial" w:hAnsi="Arial" w:cs="Arial"/>
                <w:b/>
                <w:bCs/>
                <w:sz w:val="22"/>
                <w:szCs w:val="22"/>
              </w:rPr>
              <w:t>II pirkimo objekto dalims</w:t>
            </w:r>
          </w:p>
          <w:p w14:paraId="5DD9E959" w14:textId="783048E5" w:rsidR="00181BA6" w:rsidRPr="00B864C0" w:rsidRDefault="00181BA6" w:rsidP="00181BA6">
            <w:pPr>
              <w:pStyle w:val="ListParagraph"/>
              <w:numPr>
                <w:ilvl w:val="0"/>
                <w:numId w:val="4"/>
              </w:numPr>
              <w:ind w:left="364" w:hanging="284"/>
              <w:rPr>
                <w:rFonts w:ascii="Arial" w:hAnsi="Arial" w:cs="Arial"/>
                <w:bCs/>
                <w:sz w:val="22"/>
                <w:szCs w:val="22"/>
              </w:rPr>
            </w:pPr>
            <w:r w:rsidRPr="00B864C0">
              <w:rPr>
                <w:rFonts w:ascii="Arial" w:hAnsi="Arial" w:cs="Arial"/>
                <w:bCs/>
                <w:sz w:val="22"/>
                <w:szCs w:val="22"/>
              </w:rPr>
              <w:t xml:space="preserve">specialistas, kuriam suteikta teisė eiti ypatingojo statinio </w:t>
            </w:r>
            <w:r w:rsidRPr="00B864C0">
              <w:rPr>
                <w:rFonts w:ascii="Arial" w:hAnsi="Arial" w:cs="Arial"/>
                <w:bCs/>
                <w:sz w:val="22"/>
                <w:szCs w:val="22"/>
                <w:u w:val="single"/>
              </w:rPr>
              <w:t>projekto ekspertizės  vadovo</w:t>
            </w:r>
            <w:r w:rsidRPr="00B864C0">
              <w:rPr>
                <w:rFonts w:ascii="Arial" w:hAnsi="Arial" w:cs="Arial"/>
                <w:bCs/>
                <w:sz w:val="22"/>
                <w:szCs w:val="22"/>
              </w:rPr>
              <w:t xml:space="preserve"> pareigas</w:t>
            </w:r>
            <w:r w:rsidR="00617838">
              <w:rPr>
                <w:rFonts w:ascii="Arial" w:hAnsi="Arial" w:cs="Arial"/>
                <w:bCs/>
                <w:sz w:val="22"/>
                <w:szCs w:val="22"/>
              </w:rPr>
              <w:t>:</w:t>
            </w:r>
            <w:r w:rsidR="00617838" w:rsidRPr="00B864C0">
              <w:rPr>
                <w:rFonts w:ascii="Arial" w:hAnsi="Arial" w:cs="Arial"/>
                <w:bCs/>
                <w:sz w:val="22"/>
                <w:szCs w:val="22"/>
              </w:rPr>
              <w:t xml:space="preserve"> </w:t>
            </w:r>
            <w:r w:rsidR="00617838" w:rsidRPr="00617838">
              <w:rPr>
                <w:rFonts w:ascii="Arial" w:hAnsi="Arial" w:cs="Arial"/>
                <w:bCs/>
                <w:color w:val="000000" w:themeColor="text1"/>
                <w:sz w:val="22"/>
                <w:szCs w:val="22"/>
              </w:rPr>
              <w:t>„Susisiekimo komunikacijos (keliai)“</w:t>
            </w:r>
            <w:r w:rsidR="00617838" w:rsidRPr="00617838">
              <w:rPr>
                <w:rFonts w:ascii="Arial" w:hAnsi="Arial" w:cs="Arial"/>
                <w:bCs/>
                <w:i/>
                <w:iCs/>
                <w:color w:val="000000" w:themeColor="text1"/>
                <w:sz w:val="22"/>
                <w:szCs w:val="22"/>
              </w:rPr>
              <w:t>,</w:t>
            </w:r>
            <w:r w:rsidR="00617838" w:rsidRPr="00617838">
              <w:rPr>
                <w:rFonts w:ascii="Arial" w:hAnsi="Arial" w:cs="Arial"/>
                <w:bCs/>
                <w:color w:val="000000" w:themeColor="text1"/>
                <w:sz w:val="22"/>
                <w:szCs w:val="22"/>
              </w:rPr>
              <w:t xml:space="preserve"> „</w:t>
            </w:r>
            <w:r w:rsidR="00617838" w:rsidRPr="00617838">
              <w:rPr>
                <w:rFonts w:ascii="Arial" w:hAnsi="Arial" w:cs="Arial"/>
                <w:bCs/>
                <w:i/>
                <w:iCs/>
                <w:color w:val="000000" w:themeColor="text1"/>
                <w:sz w:val="22"/>
                <w:szCs w:val="22"/>
              </w:rPr>
              <w:t>Kiti transporto statiniai</w:t>
            </w:r>
            <w:r w:rsidR="00617838" w:rsidRPr="00617838">
              <w:rPr>
                <w:rFonts w:ascii="Arial" w:hAnsi="Arial" w:cs="Arial"/>
                <w:bCs/>
                <w:color w:val="000000" w:themeColor="text1"/>
                <w:sz w:val="22"/>
                <w:szCs w:val="22"/>
              </w:rPr>
              <w:t>“</w:t>
            </w:r>
            <w:r w:rsidRPr="00617838">
              <w:rPr>
                <w:rFonts w:ascii="Arial" w:hAnsi="Arial" w:cs="Arial"/>
                <w:bCs/>
                <w:i/>
                <w:iCs/>
                <w:color w:val="000000" w:themeColor="text1"/>
                <w:sz w:val="22"/>
                <w:szCs w:val="22"/>
              </w:rPr>
              <w:t xml:space="preserve"> </w:t>
            </w:r>
            <w:r w:rsidRPr="00617838">
              <w:rPr>
                <w:rFonts w:ascii="Arial" w:hAnsi="Arial" w:cs="Arial"/>
                <w:bCs/>
                <w:color w:val="000000" w:themeColor="text1"/>
                <w:sz w:val="22"/>
                <w:szCs w:val="22"/>
              </w:rPr>
              <w:t>(taip pat minėti statiniai</w:t>
            </w:r>
            <w:r w:rsidRPr="00B864C0">
              <w:rPr>
                <w:rFonts w:ascii="Arial" w:hAnsi="Arial" w:cs="Arial"/>
                <w:bCs/>
                <w:sz w:val="22"/>
                <w:szCs w:val="22"/>
              </w:rPr>
              <w:t xml:space="preserve">, esantys </w:t>
            </w:r>
            <w:r w:rsidRPr="00B864C0">
              <w:rPr>
                <w:rFonts w:ascii="Arial" w:hAnsi="Arial" w:cs="Arial"/>
                <w:sz w:val="22"/>
                <w:szCs w:val="22"/>
              </w:rPr>
              <w:lastRenderedPageBreak/>
              <w:t>kultūros paveldo objekto teritorijoje, jo apsaugos zonoje ir kultūros paveldo vietovėje).</w:t>
            </w:r>
          </w:p>
          <w:p w14:paraId="0BD9E7AF" w14:textId="77777777" w:rsidR="00181BA6" w:rsidRPr="00B864C0" w:rsidRDefault="00181BA6" w:rsidP="00181BA6">
            <w:pPr>
              <w:spacing w:before="60"/>
              <w:ind w:firstLine="364"/>
              <w:rPr>
                <w:rFonts w:ascii="Arial" w:hAnsi="Arial" w:cs="Arial"/>
                <w:b/>
                <w:bCs/>
                <w:sz w:val="22"/>
                <w:szCs w:val="22"/>
              </w:rPr>
            </w:pPr>
            <w:r w:rsidRPr="00B864C0">
              <w:rPr>
                <w:rFonts w:ascii="Arial" w:hAnsi="Arial" w:cs="Arial"/>
                <w:b/>
                <w:bCs/>
                <w:sz w:val="22"/>
                <w:szCs w:val="22"/>
              </w:rPr>
              <w:t>III pirkimo objekto daliai</w:t>
            </w:r>
          </w:p>
          <w:p w14:paraId="4199CAB7" w14:textId="347E6408" w:rsidR="00181BA6" w:rsidRPr="00B864C0" w:rsidRDefault="00181BA6" w:rsidP="00181BA6">
            <w:pPr>
              <w:pStyle w:val="ListParagraph"/>
              <w:numPr>
                <w:ilvl w:val="0"/>
                <w:numId w:val="4"/>
              </w:numPr>
              <w:ind w:left="364" w:hanging="284"/>
              <w:rPr>
                <w:rFonts w:ascii="Arial" w:hAnsi="Arial" w:cs="Arial"/>
                <w:bCs/>
                <w:sz w:val="22"/>
                <w:szCs w:val="22"/>
              </w:rPr>
            </w:pPr>
            <w:r w:rsidRPr="00B864C0">
              <w:rPr>
                <w:rFonts w:ascii="Arial" w:hAnsi="Arial" w:cs="Arial"/>
                <w:bCs/>
                <w:sz w:val="22"/>
                <w:szCs w:val="22"/>
              </w:rPr>
              <w:t xml:space="preserve">specialistas, kuriam suteikta teisė eiti ypatingo statinio </w:t>
            </w:r>
            <w:r w:rsidRPr="00B864C0">
              <w:rPr>
                <w:rFonts w:ascii="Arial" w:hAnsi="Arial" w:cs="Arial"/>
                <w:bCs/>
                <w:sz w:val="22"/>
                <w:szCs w:val="22"/>
                <w:u w:val="single"/>
              </w:rPr>
              <w:t>projekto ekspertizės vadovo</w:t>
            </w:r>
            <w:r w:rsidRPr="00B864C0">
              <w:rPr>
                <w:rFonts w:ascii="Arial" w:hAnsi="Arial" w:cs="Arial"/>
                <w:bCs/>
                <w:sz w:val="22"/>
                <w:szCs w:val="22"/>
              </w:rPr>
              <w:t xml:space="preserve"> pareigas</w:t>
            </w:r>
            <w:r w:rsidR="00617838">
              <w:rPr>
                <w:rFonts w:ascii="Arial" w:hAnsi="Arial" w:cs="Arial"/>
                <w:bCs/>
                <w:sz w:val="22"/>
                <w:szCs w:val="22"/>
              </w:rPr>
              <w:t>:</w:t>
            </w:r>
            <w:r w:rsidR="00617838" w:rsidRPr="002575C8">
              <w:rPr>
                <w:rFonts w:ascii="Arial" w:hAnsi="Arial" w:cs="Arial"/>
                <w:bCs/>
                <w:color w:val="EE0000"/>
                <w:sz w:val="22"/>
                <w:szCs w:val="22"/>
              </w:rPr>
              <w:t xml:space="preserve"> </w:t>
            </w:r>
            <w:r w:rsidR="00617838" w:rsidRPr="00617838">
              <w:rPr>
                <w:rFonts w:ascii="Arial" w:hAnsi="Arial" w:cs="Arial"/>
                <w:bCs/>
                <w:color w:val="000000" w:themeColor="text1"/>
                <w:sz w:val="22"/>
                <w:szCs w:val="22"/>
              </w:rPr>
              <w:t>„</w:t>
            </w:r>
            <w:r w:rsidR="00617838" w:rsidRPr="00617838">
              <w:rPr>
                <w:rFonts w:ascii="Arial" w:hAnsi="Arial" w:cs="Arial"/>
                <w:bCs/>
                <w:i/>
                <w:iCs/>
                <w:color w:val="000000" w:themeColor="text1"/>
                <w:sz w:val="22"/>
                <w:szCs w:val="22"/>
              </w:rPr>
              <w:t>Kiti transporto statiniai</w:t>
            </w:r>
            <w:r w:rsidR="00617838" w:rsidRPr="00617838">
              <w:rPr>
                <w:rFonts w:ascii="Arial" w:hAnsi="Arial" w:cs="Arial"/>
                <w:bCs/>
                <w:color w:val="000000" w:themeColor="text1"/>
                <w:sz w:val="22"/>
                <w:szCs w:val="22"/>
              </w:rPr>
              <w:t xml:space="preserve">“ </w:t>
            </w:r>
            <w:r w:rsidRPr="00B864C0">
              <w:rPr>
                <w:rFonts w:ascii="Arial" w:hAnsi="Arial" w:cs="Arial"/>
                <w:bCs/>
                <w:sz w:val="22"/>
                <w:szCs w:val="22"/>
              </w:rPr>
              <w:t>(taip pat minėti statiniai, esantys kultūros paveldo objekto teritorijoje, jo apsaugos zonoje, kultūros paveldo vietovėje).</w:t>
            </w:r>
          </w:p>
          <w:p w14:paraId="4402936A" w14:textId="77777777" w:rsidR="00181BA6" w:rsidRPr="00B864C0" w:rsidRDefault="00181BA6" w:rsidP="00181BA6">
            <w:pPr>
              <w:ind w:firstLine="241"/>
              <w:rPr>
                <w:rFonts w:ascii="Arial" w:hAnsi="Arial" w:cs="Arial"/>
                <w:bCs/>
                <w:sz w:val="22"/>
                <w:szCs w:val="22"/>
              </w:rPr>
            </w:pPr>
          </w:p>
          <w:p w14:paraId="31DE278B" w14:textId="77777777" w:rsidR="00181BA6" w:rsidRPr="00B864C0" w:rsidRDefault="00181BA6" w:rsidP="00181BA6">
            <w:pPr>
              <w:spacing w:before="60"/>
              <w:ind w:firstLine="364"/>
              <w:rPr>
                <w:rFonts w:ascii="Arial" w:hAnsi="Arial" w:cs="Arial"/>
                <w:b/>
                <w:bCs/>
                <w:sz w:val="22"/>
                <w:szCs w:val="22"/>
              </w:rPr>
            </w:pPr>
            <w:r w:rsidRPr="00B864C0">
              <w:rPr>
                <w:rFonts w:ascii="Arial" w:hAnsi="Arial" w:cs="Arial"/>
                <w:b/>
                <w:bCs/>
                <w:sz w:val="22"/>
                <w:szCs w:val="22"/>
              </w:rPr>
              <w:t>IV pirkimo objekto daliai</w:t>
            </w:r>
          </w:p>
          <w:p w14:paraId="329FD7C3" w14:textId="77777777" w:rsidR="00181BA6" w:rsidRPr="00B864C0" w:rsidRDefault="00181BA6" w:rsidP="00181BA6">
            <w:pPr>
              <w:pStyle w:val="ListParagraph"/>
              <w:numPr>
                <w:ilvl w:val="0"/>
                <w:numId w:val="4"/>
              </w:numPr>
              <w:ind w:left="364" w:hanging="284"/>
              <w:rPr>
                <w:rFonts w:ascii="Arial" w:hAnsi="Arial" w:cs="Arial"/>
                <w:bCs/>
                <w:sz w:val="22"/>
                <w:szCs w:val="22"/>
              </w:rPr>
            </w:pPr>
            <w:r w:rsidRPr="00B864C0">
              <w:rPr>
                <w:rFonts w:ascii="Arial" w:hAnsi="Arial" w:cs="Arial"/>
                <w:bCs/>
                <w:sz w:val="22"/>
                <w:szCs w:val="22"/>
              </w:rPr>
              <w:t>specialistas, kuriam</w:t>
            </w:r>
            <w:r w:rsidRPr="00B864C0">
              <w:rPr>
                <w:rFonts w:ascii="Arial" w:hAnsi="Arial" w:cs="Arial"/>
                <w:sz w:val="22"/>
                <w:szCs w:val="22"/>
              </w:rPr>
              <w:t xml:space="preserve"> </w:t>
            </w:r>
            <w:r w:rsidRPr="00B864C0">
              <w:rPr>
                <w:rFonts w:ascii="Arial" w:hAnsi="Arial" w:cs="Arial"/>
                <w:bCs/>
                <w:sz w:val="22"/>
                <w:szCs w:val="22"/>
              </w:rPr>
              <w:t>suteikta teisė atlikti tvarkybos darbų projektų paveldosaugos (specialiąją) ekspertizę.</w:t>
            </w:r>
          </w:p>
          <w:p w14:paraId="39252CA1" w14:textId="77777777" w:rsidR="00181BA6" w:rsidRPr="00B864C0" w:rsidRDefault="00181BA6" w:rsidP="00181BA6">
            <w:pPr>
              <w:spacing w:before="60"/>
              <w:ind w:firstLine="40"/>
              <w:rPr>
                <w:rFonts w:ascii="Arial" w:hAnsi="Arial" w:cs="Arial"/>
                <w:b/>
                <w:i/>
                <w:iCs/>
                <w:sz w:val="22"/>
                <w:szCs w:val="22"/>
              </w:rPr>
            </w:pPr>
          </w:p>
          <w:p w14:paraId="622DFFB1" w14:textId="77777777" w:rsidR="00181BA6" w:rsidRPr="00B864C0" w:rsidRDefault="00181BA6" w:rsidP="00181BA6">
            <w:pPr>
              <w:spacing w:before="60"/>
              <w:ind w:firstLine="40"/>
              <w:rPr>
                <w:rFonts w:ascii="Arial" w:hAnsi="Arial" w:cs="Arial"/>
                <w:b/>
                <w:i/>
                <w:iCs/>
                <w:sz w:val="22"/>
                <w:szCs w:val="22"/>
              </w:rPr>
            </w:pPr>
            <w:r w:rsidRPr="00B864C0">
              <w:rPr>
                <w:rFonts w:ascii="Arial" w:hAnsi="Arial" w:cs="Arial"/>
                <w:b/>
                <w:i/>
                <w:iCs/>
                <w:sz w:val="22"/>
                <w:szCs w:val="22"/>
              </w:rPr>
              <w:t>Pastaba:</w:t>
            </w:r>
          </w:p>
          <w:p w14:paraId="19B71606" w14:textId="77777777" w:rsidR="00181BA6" w:rsidRPr="00B864C0" w:rsidRDefault="00181BA6" w:rsidP="00181BA6">
            <w:pPr>
              <w:pStyle w:val="ListParagraph"/>
              <w:numPr>
                <w:ilvl w:val="0"/>
                <w:numId w:val="3"/>
              </w:numPr>
              <w:rPr>
                <w:rFonts w:ascii="Arial" w:hAnsi="Arial" w:cs="Arial"/>
                <w:bCs/>
                <w:i/>
                <w:iCs/>
                <w:sz w:val="22"/>
                <w:szCs w:val="22"/>
              </w:rPr>
            </w:pPr>
            <w:r w:rsidRPr="00B864C0">
              <w:rPr>
                <w:rFonts w:ascii="Arial" w:hAnsi="Arial" w:cs="Arial"/>
                <w:bCs/>
                <w:i/>
                <w:iCs/>
                <w:sz w:val="22"/>
                <w:szCs w:val="22"/>
              </w:rPr>
              <w:t>Tiekėjas gali siūlyti tą patį specialistą visoms pirkimo objekto dalims, jeigu specialisto kvalifikacija atitinka nustatytus reikalavimus.</w:t>
            </w:r>
          </w:p>
          <w:p w14:paraId="28D8A632" w14:textId="26E0D7F2" w:rsidR="00007B46" w:rsidRPr="00B864C0" w:rsidRDefault="00181BA6" w:rsidP="00A36ACC">
            <w:pPr>
              <w:pStyle w:val="ListParagraph"/>
              <w:numPr>
                <w:ilvl w:val="0"/>
                <w:numId w:val="3"/>
              </w:numPr>
              <w:tabs>
                <w:tab w:val="left" w:pos="361"/>
              </w:tabs>
              <w:rPr>
                <w:rFonts w:ascii="Arial" w:hAnsi="Arial" w:cs="Arial"/>
                <w:sz w:val="22"/>
                <w:szCs w:val="22"/>
              </w:rPr>
            </w:pPr>
            <w:r w:rsidRPr="00B864C0">
              <w:rPr>
                <w:rFonts w:ascii="Arial" w:hAnsi="Arial" w:cs="Arial"/>
                <w:bCs/>
                <w:i/>
                <w:iCs/>
                <w:sz w:val="22"/>
                <w:szCs w:val="22"/>
              </w:rPr>
              <w:t>Jeigu specialistas atitinkamai I-III pirkimo objekto dalyje neatitinka visų kvalifikacijos reikalavimų, gali būti siūlomi keli specialistai, kurie kartu atitiktų keliamus kvalifikacijos reikalavimus visa apimtimi.</w:t>
            </w:r>
          </w:p>
        </w:tc>
        <w:tc>
          <w:tcPr>
            <w:tcW w:w="4358" w:type="dxa"/>
          </w:tcPr>
          <w:p w14:paraId="423E90AF" w14:textId="77777777" w:rsidR="00007B46" w:rsidRPr="00B864C0" w:rsidRDefault="00007B46" w:rsidP="0097485C">
            <w:pPr>
              <w:rPr>
                <w:rFonts w:ascii="Arial" w:hAnsi="Arial" w:cs="Arial"/>
                <w:sz w:val="22"/>
                <w:szCs w:val="22"/>
              </w:rPr>
            </w:pPr>
          </w:p>
          <w:p w14:paraId="6EED5A76" w14:textId="51D2E3B0" w:rsidR="00945AA6" w:rsidRPr="00B864C0" w:rsidRDefault="00945AA6" w:rsidP="00945AA6">
            <w:pPr>
              <w:rPr>
                <w:rFonts w:ascii="Arial" w:hAnsi="Arial" w:cs="Arial"/>
                <w:b/>
                <w:color w:val="000000"/>
                <w:sz w:val="22"/>
                <w:szCs w:val="22"/>
              </w:rPr>
            </w:pPr>
            <w:r w:rsidRPr="00B864C0">
              <w:rPr>
                <w:rFonts w:ascii="Arial" w:hAnsi="Arial" w:cs="Arial"/>
                <w:color w:val="000000"/>
                <w:sz w:val="22"/>
                <w:szCs w:val="22"/>
              </w:rPr>
              <w:t xml:space="preserve">1. Siūlomų specialistų sąrašas </w:t>
            </w:r>
            <w:r w:rsidRPr="00D84764">
              <w:rPr>
                <w:rFonts w:ascii="Arial" w:hAnsi="Arial" w:cs="Arial"/>
                <w:b/>
                <w:sz w:val="22"/>
                <w:szCs w:val="22"/>
              </w:rPr>
              <w:t>(</w:t>
            </w:r>
            <w:r w:rsidR="001C3C9E" w:rsidRPr="00D84764">
              <w:rPr>
                <w:rFonts w:ascii="Arial" w:hAnsi="Arial" w:cs="Arial"/>
                <w:b/>
                <w:sz w:val="22"/>
                <w:szCs w:val="22"/>
              </w:rPr>
              <w:t>SPS p</w:t>
            </w:r>
            <w:r w:rsidRPr="00D84764">
              <w:rPr>
                <w:rFonts w:ascii="Arial" w:hAnsi="Arial" w:cs="Arial"/>
                <w:b/>
                <w:sz w:val="22"/>
                <w:szCs w:val="22"/>
              </w:rPr>
              <w:t xml:space="preserve">riedas </w:t>
            </w:r>
            <w:r w:rsidR="001C3C9E" w:rsidRPr="00D84764">
              <w:rPr>
                <w:rFonts w:ascii="Arial" w:hAnsi="Arial" w:cs="Arial"/>
                <w:b/>
                <w:sz w:val="22"/>
                <w:szCs w:val="22"/>
              </w:rPr>
              <w:t>Nr. 13</w:t>
            </w:r>
            <w:r w:rsidRPr="00D84764">
              <w:rPr>
                <w:rFonts w:ascii="Arial" w:hAnsi="Arial" w:cs="Arial"/>
                <w:b/>
                <w:color w:val="000000"/>
                <w:sz w:val="22"/>
                <w:szCs w:val="22"/>
              </w:rPr>
              <w:t>)</w:t>
            </w:r>
            <w:r w:rsidRPr="00D84764">
              <w:rPr>
                <w:rFonts w:ascii="Arial" w:hAnsi="Arial" w:cs="Arial"/>
                <w:color w:val="000000"/>
                <w:sz w:val="22"/>
                <w:szCs w:val="22"/>
              </w:rPr>
              <w:t>.</w:t>
            </w:r>
          </w:p>
          <w:p w14:paraId="22B45562" w14:textId="77777777" w:rsidR="00945AA6" w:rsidRPr="00B864C0" w:rsidRDefault="00945AA6" w:rsidP="00945AA6">
            <w:pPr>
              <w:tabs>
                <w:tab w:val="left" w:pos="315"/>
              </w:tabs>
              <w:rPr>
                <w:rFonts w:ascii="Arial" w:hAnsi="Arial" w:cs="Arial"/>
                <w:sz w:val="22"/>
                <w:szCs w:val="22"/>
              </w:rPr>
            </w:pPr>
            <w:r w:rsidRPr="00B864C0">
              <w:rPr>
                <w:rFonts w:ascii="Arial" w:hAnsi="Arial" w:cs="Arial"/>
                <w:color w:val="000000"/>
                <w:sz w:val="22"/>
                <w:szCs w:val="22"/>
              </w:rPr>
              <w:t xml:space="preserve">2. </w:t>
            </w:r>
            <w:r w:rsidRPr="00B864C0">
              <w:rPr>
                <w:rFonts w:ascii="Arial" w:hAnsi="Arial" w:cs="Arial"/>
                <w:sz w:val="22"/>
                <w:szCs w:val="22"/>
              </w:rPr>
              <w:t>Perkančioji organizacija, naudodamasi viešosios įstaigos Statybos sektoriaus vystymo agentūros (</w:t>
            </w:r>
            <w:r w:rsidRPr="00B864C0">
              <w:rPr>
                <w:rFonts w:ascii="Arial" w:hAnsi="Arial" w:cs="Arial"/>
                <w:i/>
                <w:iCs/>
                <w:sz w:val="22"/>
                <w:szCs w:val="22"/>
              </w:rPr>
              <w:t>https://www.ssva.lt</w:t>
            </w:r>
            <w:r w:rsidRPr="00B864C0">
              <w:rPr>
                <w:rFonts w:ascii="Arial" w:hAnsi="Arial" w:cs="Arial"/>
                <w:sz w:val="22"/>
                <w:szCs w:val="22"/>
              </w:rPr>
              <w:t>) duomenų registrais, patikrins atitiktį nustatytam reikalavimui.</w:t>
            </w:r>
          </w:p>
          <w:p w14:paraId="7B3C5575" w14:textId="77777777" w:rsidR="00945AA6" w:rsidRPr="00B864C0" w:rsidRDefault="00945AA6" w:rsidP="00945AA6">
            <w:pPr>
              <w:rPr>
                <w:rFonts w:ascii="Arial" w:eastAsia="Calibri" w:hAnsi="Arial" w:cs="Arial"/>
                <w:sz w:val="22"/>
                <w:szCs w:val="22"/>
              </w:rPr>
            </w:pPr>
            <w:r w:rsidRPr="00B864C0">
              <w:rPr>
                <w:rFonts w:ascii="Arial" w:eastAsia="Calibri" w:hAnsi="Arial" w:cs="Arial"/>
                <w:sz w:val="22"/>
                <w:szCs w:val="22"/>
              </w:rPr>
              <w:lastRenderedPageBreak/>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54A766EF" w14:textId="77777777" w:rsidR="00945AA6" w:rsidRPr="00B864C0" w:rsidRDefault="00945AA6" w:rsidP="00945AA6">
            <w:pPr>
              <w:rPr>
                <w:rFonts w:ascii="Arial" w:eastAsia="Calibri" w:hAnsi="Arial" w:cs="Arial"/>
                <w:sz w:val="22"/>
                <w:szCs w:val="22"/>
              </w:rPr>
            </w:pPr>
          </w:p>
          <w:p w14:paraId="3524BB5D" w14:textId="77777777" w:rsidR="00945AA6" w:rsidRPr="00B864C0" w:rsidRDefault="00945AA6" w:rsidP="00945AA6">
            <w:pPr>
              <w:rPr>
                <w:rFonts w:ascii="Arial" w:eastAsia="Calibri" w:hAnsi="Arial" w:cs="Arial"/>
                <w:sz w:val="22"/>
                <w:szCs w:val="22"/>
              </w:rPr>
            </w:pPr>
            <w:r w:rsidRPr="00B864C0">
              <w:rPr>
                <w:rFonts w:ascii="Arial" w:eastAsia="Calibri" w:hAnsi="Arial" w:cs="Arial"/>
                <w:sz w:val="22"/>
                <w:szCs w:val="22"/>
              </w:rPr>
              <w:t>Jeigu pasitelkiamas specialistas (</w:t>
            </w:r>
            <w:proofErr w:type="spellStart"/>
            <w:r w:rsidRPr="00B864C0">
              <w:rPr>
                <w:rFonts w:ascii="Arial" w:eastAsia="Calibri" w:hAnsi="Arial" w:cs="Arial"/>
                <w:sz w:val="22"/>
                <w:szCs w:val="22"/>
              </w:rPr>
              <w:t>kvazisubtiekėjas</w:t>
            </w:r>
            <w:proofErr w:type="spellEnd"/>
            <w:r w:rsidRPr="00B864C0">
              <w:rPr>
                <w:rFonts w:ascii="Arial" w:eastAsia="Calibri" w:hAnsi="Arial" w:cs="Arial"/>
                <w:sz w:val="22"/>
                <w:szCs w:val="22"/>
              </w:rPr>
              <w:t xml:space="preserve">) nėra tiekėjo ar ūkio  subjekto, kurio pajėgumais tiekėjas remiasi, darbuotojas, tačiau jį ketinama įdarbinti, jei pasiūlymas bus pripažintas laimėjusiu, </w:t>
            </w:r>
            <w:r w:rsidRPr="00B864C0">
              <w:rPr>
                <w:rFonts w:ascii="Arial" w:hAnsi="Arial" w:cs="Arial"/>
                <w:sz w:val="22"/>
                <w:szCs w:val="22"/>
              </w:rPr>
              <w:t>turi būti pateikti dokumentai, įrodantys, kad laimėjimo atveju jis bus įdarbintas.</w:t>
            </w:r>
          </w:p>
          <w:p w14:paraId="5D349EC6" w14:textId="77777777" w:rsidR="00945AA6" w:rsidRPr="00B864C0" w:rsidRDefault="00945AA6" w:rsidP="00945AA6">
            <w:pPr>
              <w:ind w:firstLine="128"/>
              <w:rPr>
                <w:rFonts w:ascii="Arial" w:eastAsia="Calibri" w:hAnsi="Arial" w:cs="Arial"/>
                <w:sz w:val="22"/>
                <w:szCs w:val="22"/>
              </w:rPr>
            </w:pPr>
          </w:p>
          <w:p w14:paraId="2110EBA3" w14:textId="5A2B7CF4" w:rsidR="00033FF7" w:rsidRPr="00B864C0" w:rsidRDefault="00945AA6" w:rsidP="0097485C">
            <w:pPr>
              <w:rPr>
                <w:rFonts w:ascii="Arial" w:hAnsi="Arial" w:cs="Arial"/>
                <w:i/>
                <w:iCs/>
                <w:color w:val="C00000"/>
                <w:sz w:val="22"/>
                <w:szCs w:val="22"/>
                <w:highlight w:val="yellow"/>
              </w:rPr>
            </w:pPr>
            <w:r w:rsidRPr="00B864C0">
              <w:rPr>
                <w:rFonts w:ascii="Arial" w:eastAsia="Calibri"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436D9800" w14:textId="77777777" w:rsidR="00033FF7" w:rsidRPr="00B864C0" w:rsidRDefault="00033FF7" w:rsidP="0097485C">
            <w:pPr>
              <w:rPr>
                <w:rFonts w:ascii="Arial" w:hAnsi="Arial" w:cs="Arial"/>
                <w:i/>
                <w:iCs/>
                <w:color w:val="C00000"/>
                <w:sz w:val="22"/>
                <w:szCs w:val="22"/>
                <w:highlight w:val="yellow"/>
              </w:rPr>
            </w:pPr>
          </w:p>
          <w:p w14:paraId="1A6C8DA7" w14:textId="6E0EC039" w:rsidR="0030000B" w:rsidRPr="00B864C0" w:rsidRDefault="0030000B" w:rsidP="5E88664C">
            <w:pPr>
              <w:rPr>
                <w:rFonts w:ascii="Arial" w:eastAsia="Arial" w:hAnsi="Arial" w:cs="Arial"/>
                <w:sz w:val="22"/>
                <w:szCs w:val="22"/>
              </w:rPr>
            </w:pPr>
          </w:p>
        </w:tc>
      </w:tr>
      <w:tr w:rsidR="00007B46" w:rsidRPr="00B864C0" w14:paraId="68FADB10" w14:textId="77777777" w:rsidTr="5E88664C">
        <w:tc>
          <w:tcPr>
            <w:tcW w:w="9776" w:type="dxa"/>
            <w:gridSpan w:val="3"/>
          </w:tcPr>
          <w:p w14:paraId="5082DBE3" w14:textId="77777777" w:rsidR="00007B46" w:rsidRPr="00B864C0" w:rsidRDefault="00007B46" w:rsidP="00007B46">
            <w:pPr>
              <w:pStyle w:val="ListParagraph"/>
              <w:numPr>
                <w:ilvl w:val="0"/>
                <w:numId w:val="1"/>
              </w:numPr>
              <w:tabs>
                <w:tab w:val="left" w:pos="361"/>
              </w:tabs>
              <w:rPr>
                <w:rFonts w:ascii="Arial" w:hAnsi="Arial" w:cs="Arial"/>
                <w:i/>
                <w:iCs/>
                <w:sz w:val="22"/>
                <w:szCs w:val="22"/>
              </w:rPr>
            </w:pPr>
            <w:r w:rsidRPr="00B864C0">
              <w:rPr>
                <w:rFonts w:ascii="Arial" w:hAnsi="Arial" w:cs="Arial"/>
                <w:i/>
                <w:iCs/>
                <w:sz w:val="22"/>
                <w:szCs w:val="22"/>
              </w:rPr>
              <w:lastRenderedPageBreak/>
              <w:t>jeigu pasiūlymą teikia ūkio subjektų grupė – reikalavimą turi atitikti ūkio subjektų grupės nario (-</w:t>
            </w:r>
            <w:proofErr w:type="spellStart"/>
            <w:r w:rsidRPr="00B864C0">
              <w:rPr>
                <w:rFonts w:ascii="Arial" w:hAnsi="Arial" w:cs="Arial"/>
                <w:i/>
                <w:iCs/>
                <w:sz w:val="22"/>
                <w:szCs w:val="22"/>
              </w:rPr>
              <w:t>ių</w:t>
            </w:r>
            <w:proofErr w:type="spellEnd"/>
            <w:r w:rsidRPr="00B864C0">
              <w:rPr>
                <w:rFonts w:ascii="Arial" w:hAnsi="Arial" w:cs="Arial"/>
                <w:i/>
                <w:iCs/>
                <w:sz w:val="22"/>
                <w:szCs w:val="22"/>
              </w:rPr>
              <w:t>) specialistai, atsižvelgiant į jų prisiimamus įsipareigojimus pirkimo sutarčiai vykdyti;</w:t>
            </w:r>
          </w:p>
          <w:p w14:paraId="473A6643" w14:textId="77777777" w:rsidR="00007B46" w:rsidRPr="00B864C0" w:rsidRDefault="00007B46" w:rsidP="00007B46">
            <w:pPr>
              <w:pStyle w:val="ListParagraph"/>
              <w:numPr>
                <w:ilvl w:val="0"/>
                <w:numId w:val="1"/>
              </w:numPr>
              <w:tabs>
                <w:tab w:val="left" w:pos="361"/>
              </w:tabs>
              <w:rPr>
                <w:rFonts w:ascii="Arial" w:hAnsi="Arial" w:cs="Arial"/>
                <w:i/>
                <w:iCs/>
                <w:sz w:val="22"/>
                <w:szCs w:val="22"/>
              </w:rPr>
            </w:pPr>
            <w:r w:rsidRPr="00B864C0">
              <w:rPr>
                <w:rFonts w:ascii="Arial" w:hAnsi="Arial" w:cs="Arial"/>
                <w:i/>
                <w:iCs/>
                <w:sz w:val="22"/>
                <w:szCs w:val="22"/>
              </w:rPr>
              <w:tab/>
              <w:t>tiekėjas gali remtis kitų ūkio subjektų pajėgumais tik tuo atveju, jeigu tie subjektai (jų darbuotojai) patys vykdys tą pirkimo sutarties dalį, kuriai reikia jų turimų pajėgumų;</w:t>
            </w:r>
          </w:p>
          <w:p w14:paraId="2671E72B" w14:textId="77777777" w:rsidR="00007B46" w:rsidRPr="00B864C0" w:rsidRDefault="00007B46" w:rsidP="00007B46">
            <w:pPr>
              <w:pStyle w:val="ListParagraph"/>
              <w:numPr>
                <w:ilvl w:val="0"/>
                <w:numId w:val="1"/>
              </w:numPr>
              <w:tabs>
                <w:tab w:val="left" w:pos="361"/>
              </w:tabs>
              <w:rPr>
                <w:rFonts w:ascii="Arial" w:hAnsi="Arial" w:cs="Arial"/>
                <w:sz w:val="22"/>
                <w:szCs w:val="22"/>
              </w:rPr>
            </w:pPr>
            <w:r w:rsidRPr="00B864C0">
              <w:rPr>
                <w:rFonts w:ascii="Arial" w:hAnsi="Arial" w:cs="Arial"/>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ABE1364" w14:textId="77777777" w:rsidR="00007B46" w:rsidRPr="00B864C0" w:rsidRDefault="00007B46" w:rsidP="0097485C">
            <w:pPr>
              <w:pStyle w:val="ListParagraph"/>
              <w:tabs>
                <w:tab w:val="left" w:pos="361"/>
              </w:tabs>
              <w:ind w:left="360"/>
              <w:rPr>
                <w:rFonts w:ascii="Arial" w:hAnsi="Arial" w:cs="Arial"/>
                <w:sz w:val="22"/>
                <w:szCs w:val="22"/>
              </w:rPr>
            </w:pPr>
          </w:p>
        </w:tc>
      </w:tr>
      <w:bookmarkEnd w:id="1"/>
    </w:tbl>
    <w:p w14:paraId="7AB2D8D7" w14:textId="77777777" w:rsidR="00007B46" w:rsidRPr="00B864C0" w:rsidRDefault="00007B46" w:rsidP="00E3478A">
      <w:pPr>
        <w:pStyle w:val="ListParagraph"/>
        <w:suppressAutoHyphens/>
        <w:ind w:left="0"/>
        <w:rPr>
          <w:rFonts w:ascii="Arial" w:hAnsi="Arial" w:cs="Arial"/>
          <w:sz w:val="22"/>
          <w:szCs w:val="22"/>
        </w:rPr>
      </w:pPr>
    </w:p>
    <w:sectPr w:rsidR="00007B46" w:rsidRPr="00B864C0"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ADAF" w14:textId="77777777" w:rsidR="00E0307A" w:rsidRDefault="00E0307A">
      <w:r>
        <w:separator/>
      </w:r>
    </w:p>
  </w:endnote>
  <w:endnote w:type="continuationSeparator" w:id="0">
    <w:p w14:paraId="79C80131" w14:textId="77777777" w:rsidR="00E0307A" w:rsidRDefault="00E0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Footer"/>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B788" w14:textId="77777777" w:rsidR="00E0307A" w:rsidRDefault="00E0307A">
      <w:r>
        <w:separator/>
      </w:r>
    </w:p>
  </w:footnote>
  <w:footnote w:type="continuationSeparator" w:id="0">
    <w:p w14:paraId="612C8E61" w14:textId="77777777" w:rsidR="00E0307A" w:rsidRDefault="00E0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635C7F" w:rsidRPr="00F73FF3" w:rsidRDefault="00635C7F">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Header"/>
    </w:pPr>
  </w:p>
  <w:p w14:paraId="24866E61" w14:textId="77777777" w:rsidR="00635C7F" w:rsidRDefault="0063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DAA2A02"/>
    <w:multiLevelType w:val="hybridMultilevel"/>
    <w:tmpl w:val="7FA2C730"/>
    <w:lvl w:ilvl="0" w:tplc="82C414E2">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3" w15:restartNumberingAfterBreak="0">
    <w:nsid w:val="69A07D16"/>
    <w:multiLevelType w:val="hybridMultilevel"/>
    <w:tmpl w:val="A1301F5C"/>
    <w:lvl w:ilvl="0" w:tplc="04270001">
      <w:start w:val="1"/>
      <w:numFmt w:val="bullet"/>
      <w:lvlText w:val=""/>
      <w:lvlJc w:val="left"/>
      <w:pPr>
        <w:ind w:left="961" w:hanging="360"/>
      </w:pPr>
      <w:rPr>
        <w:rFonts w:ascii="Symbol" w:hAnsi="Symbol"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num w:numId="1" w16cid:durableId="132866609">
    <w:abstractNumId w:val="1"/>
  </w:num>
  <w:num w:numId="2" w16cid:durableId="993022486">
    <w:abstractNumId w:val="0"/>
  </w:num>
  <w:num w:numId="3" w16cid:durableId="412627755">
    <w:abstractNumId w:val="2"/>
  </w:num>
  <w:num w:numId="4" w16cid:durableId="114446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33FF7"/>
    <w:rsid w:val="000F4EAC"/>
    <w:rsid w:val="0013769B"/>
    <w:rsid w:val="00181BA6"/>
    <w:rsid w:val="001C062D"/>
    <w:rsid w:val="001C3C9E"/>
    <w:rsid w:val="001D3ED4"/>
    <w:rsid w:val="00287596"/>
    <w:rsid w:val="002F0596"/>
    <w:rsid w:val="0030000B"/>
    <w:rsid w:val="00313B7A"/>
    <w:rsid w:val="0037245B"/>
    <w:rsid w:val="003A5C75"/>
    <w:rsid w:val="004C7406"/>
    <w:rsid w:val="00617838"/>
    <w:rsid w:val="00635C7F"/>
    <w:rsid w:val="00667B98"/>
    <w:rsid w:val="006B5A22"/>
    <w:rsid w:val="0072797B"/>
    <w:rsid w:val="007758CD"/>
    <w:rsid w:val="007968AA"/>
    <w:rsid w:val="008730E1"/>
    <w:rsid w:val="00945AA6"/>
    <w:rsid w:val="00A36ACC"/>
    <w:rsid w:val="00A41EEB"/>
    <w:rsid w:val="00A70C44"/>
    <w:rsid w:val="00AA5089"/>
    <w:rsid w:val="00AB7BC0"/>
    <w:rsid w:val="00B04C4C"/>
    <w:rsid w:val="00B0693B"/>
    <w:rsid w:val="00B27717"/>
    <w:rsid w:val="00B864C0"/>
    <w:rsid w:val="00D15C83"/>
    <w:rsid w:val="00D84764"/>
    <w:rsid w:val="00E0307A"/>
    <w:rsid w:val="00E3478A"/>
    <w:rsid w:val="00E7072D"/>
    <w:rsid w:val="00ED5C87"/>
    <w:rsid w:val="00FA0A4A"/>
    <w:rsid w:val="00FD1914"/>
    <w:rsid w:val="00FE53F7"/>
    <w:rsid w:val="511AACA6"/>
    <w:rsid w:val="52C6DD12"/>
    <w:rsid w:val="5E8866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paragraph" w:styleId="Footer">
    <w:name w:val="footer"/>
    <w:basedOn w:val="Normal"/>
    <w:link w:val="FooterChar"/>
    <w:uiPriority w:val="99"/>
    <w:unhideWhenUsed/>
    <w:rsid w:val="001D3ED4"/>
    <w:pPr>
      <w:tabs>
        <w:tab w:val="center" w:pos="4819"/>
        <w:tab w:val="right" w:pos="9638"/>
      </w:tabs>
    </w:pPr>
  </w:style>
  <w:style w:type="character" w:customStyle="1" w:styleId="FooterChar">
    <w:name w:val="Footer Char"/>
    <w:basedOn w:val="DefaultParagraphFont"/>
    <w:link w:val="Footer"/>
    <w:uiPriority w:val="99"/>
    <w:rsid w:val="001D3ED4"/>
    <w:rPr>
      <w:rFonts w:ascii="Times New Roman" w:eastAsia="Times New Roman" w:hAnsi="Times New Roman" w:cs="Times New Roman"/>
      <w:kern w:val="0"/>
      <w:sz w:val="24"/>
      <w:szCs w:val="20"/>
      <w14:ligatures w14:val="none"/>
    </w:rPr>
  </w:style>
  <w:style w:type="paragraph" w:customStyle="1" w:styleId="Point1">
    <w:name w:val="Point 1"/>
    <w:basedOn w:val="Normal"/>
    <w:rsid w:val="00E7072D"/>
    <w:pPr>
      <w:spacing w:before="120" w:after="120"/>
      <w:ind w:left="1418" w:hanging="567"/>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3.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3489</Words>
  <Characters>1989</Characters>
  <Application>Microsoft Office Word</Application>
  <DocSecurity>0</DocSecurity>
  <Lines>16</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24</cp:revision>
  <dcterms:created xsi:type="dcterms:W3CDTF">2025-02-06T10:09:00Z</dcterms:created>
  <dcterms:modified xsi:type="dcterms:W3CDTF">2025-07-14T11:55:00Z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