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1F5BC936" w:rsidR="009F7497" w:rsidRPr="00B91D13" w:rsidRDefault="007B41A7" w:rsidP="009F7497">
          <w:pPr>
            <w:spacing w:after="0" w:line="20" w:lineRule="atLeast"/>
            <w:ind w:left="5245"/>
            <w:contextualSpacing/>
            <w:jc w:val="both"/>
            <w:rPr>
              <w:rFonts w:ascii="Trebuchet MS" w:hAnsi="Trebuchet MS" w:cstheme="minorHAnsi"/>
              <w:sz w:val="22"/>
              <w:szCs w:val="22"/>
            </w:rPr>
          </w:pPr>
          <w:bookmarkStart w:id="0" w:name="_Hlk205454785"/>
          <w:bookmarkStart w:id="1" w:name="_Hlk204090232"/>
          <w:r w:rsidRPr="007B41A7">
            <w:rPr>
              <w:rFonts w:ascii="Trebuchet MS" w:eastAsia="Calibri" w:hAnsi="Trebuchet MS" w:cs="Calibri"/>
              <w:bCs/>
              <w:sz w:val="22"/>
              <w:szCs w:val="22"/>
            </w:rPr>
            <w:t>Saugumo informacijos ir įvykių valdymo sistemos gamintojo garantijos ir garantinės priežiūros pratęsimo paslaugų</w:t>
          </w:r>
          <w:r w:rsidR="000175A5" w:rsidRPr="000175A5">
            <w:rPr>
              <w:rFonts w:ascii="Trebuchet MS" w:eastAsia="Calibri" w:hAnsi="Trebuchet MS" w:cs="Calibri"/>
              <w:sz w:val="22"/>
              <w:szCs w:val="22"/>
            </w:rPr>
            <w:t xml:space="preserve"> </w:t>
          </w:r>
          <w:bookmarkEnd w:id="0"/>
          <w:r w:rsidR="009F7497" w:rsidRPr="009F7497">
            <w:rPr>
              <w:rFonts w:ascii="Trebuchet MS" w:hAnsi="Trebuchet MS"/>
              <w:sz w:val="22"/>
              <w:szCs w:val="22"/>
            </w:rPr>
            <w:t xml:space="preserve">viešojo pirkimo </w:t>
          </w:r>
          <w:bookmarkEnd w:id="1"/>
          <w:r w:rsidR="009F7497" w:rsidRPr="009F7497">
            <w:rPr>
              <w:rFonts w:ascii="Trebuchet MS" w:hAnsi="Trebuchet MS"/>
              <w:sz w:val="22"/>
              <w:szCs w:val="22"/>
            </w:rPr>
            <w:t xml:space="preserve">komisijos 2025 m. </w:t>
          </w:r>
          <w:r w:rsidR="002728BD" w:rsidRPr="00621CF2">
            <w:rPr>
              <w:rFonts w:ascii="Trebuchet MS" w:hAnsi="Trebuchet MS"/>
              <w:sz w:val="22"/>
              <w:szCs w:val="22"/>
            </w:rPr>
            <w:t>lapkričio</w:t>
          </w:r>
          <w:r w:rsidR="000C3422" w:rsidRPr="00621CF2">
            <w:rPr>
              <w:rFonts w:ascii="Trebuchet MS" w:hAnsi="Trebuchet MS"/>
              <w:sz w:val="22"/>
              <w:szCs w:val="22"/>
            </w:rPr>
            <w:t xml:space="preserve"> </w:t>
          </w:r>
          <w:r w:rsidR="00621CF2">
            <w:rPr>
              <w:rFonts w:ascii="Trebuchet MS" w:hAnsi="Trebuchet MS"/>
              <w:sz w:val="22"/>
              <w:szCs w:val="22"/>
            </w:rPr>
            <w:t>21</w:t>
          </w:r>
          <w:r w:rsidR="009F7497" w:rsidRPr="00621CF2">
            <w:rPr>
              <w:rFonts w:ascii="Trebuchet MS" w:hAnsi="Trebuchet MS"/>
              <w:sz w:val="22"/>
              <w:szCs w:val="22"/>
            </w:rPr>
            <w:t xml:space="preserve"> d. protokolu Nr. </w:t>
          </w:r>
          <w:r w:rsidR="00BD46BB" w:rsidRPr="00621CF2">
            <w:rPr>
              <w:rFonts w:ascii="Trebuchet MS" w:hAnsi="Trebuchet MS"/>
              <w:bC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CDB1833" w14:textId="0A57AFF8" w:rsidR="00DC3192" w:rsidRPr="00372A4B" w:rsidRDefault="00580B47" w:rsidP="002728BD">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7B41A7" w:rsidRPr="007B41A7">
            <w:rPr>
              <w:rFonts w:ascii="Trebuchet MS" w:hAnsi="Trebuchet MS" w:cstheme="minorHAnsi"/>
              <w:b/>
              <w:bCs/>
              <w:sz w:val="22"/>
              <w:szCs w:val="22"/>
            </w:rPr>
            <w:t>SAUGUMO INFORMACIJOS IR ĮVYKIŲ VALDYMO SISTEMOS GAMINTOJO GARANTIJOS IR GARANTINĖS PRIEŽIŪROS PRATĘSIMO PASLAUGŲ</w:t>
          </w:r>
          <w:r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697A6D"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697A6D"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697A6D"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697A6D"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697A6D"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697A6D"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697A6D"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697A6D"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697A6D"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p>
            <w:p w14:paraId="6F746C76" w14:textId="4620477E"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2" w:name="_Hlk204172592"/>
              <w:r w:rsidR="00DD017D" w:rsidRPr="00372A4B">
                <w:rPr>
                  <w:rFonts w:ascii="Trebuchet MS" w:hAnsi="Trebuchet MS"/>
                  <w:sz w:val="22"/>
                  <w:szCs w:val="22"/>
                </w:rPr>
                <w:t>Tiekėjo deklaracija dėl atitikties Reglamento nuostatoms juridiniam asmeniui</w:t>
              </w:r>
              <w:bookmarkEnd w:id="2"/>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3"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3"/>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4" w:name="_Toc126333928"/>
      <w:bookmarkStart w:id="5" w:name="_Toc335201954"/>
      <w:bookmarkStart w:id="6" w:name="_Toc147739116"/>
      <w:r w:rsidRPr="00A25475">
        <w:rPr>
          <w:rFonts w:ascii="Trebuchet MS" w:hAnsi="Trebuchet MS" w:cstheme="minorHAnsi"/>
          <w:sz w:val="36"/>
          <w:szCs w:val="36"/>
        </w:rPr>
        <w:lastRenderedPageBreak/>
        <w:t>Bendra informacija</w:t>
      </w:r>
      <w:bookmarkEnd w:id="4"/>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32373446"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0AA2351C"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w:t>
      </w:r>
      <w:r w:rsidR="00B17B50">
        <w:rPr>
          <w:rFonts w:ascii="Trebuchet MS" w:hAnsi="Trebuchet MS" w:cstheme="minorHAnsi"/>
          <w:sz w:val="22"/>
          <w:szCs w:val="22"/>
        </w:rPr>
        <w:t>o 2011 m. birželio 28 d. įsakymu</w:t>
      </w:r>
      <w:r w:rsidR="003A502A" w:rsidRPr="008C68B9">
        <w:rPr>
          <w:rFonts w:ascii="Trebuchet MS" w:hAnsi="Trebuchet MS" w:cstheme="minorHAnsi"/>
          <w:sz w:val="22"/>
          <w:szCs w:val="22"/>
        </w:rPr>
        <w:t xml:space="preserve">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w:t>
      </w:r>
      <w:r w:rsidR="00B17B50">
        <w:rPr>
          <w:rFonts w:ascii="Trebuchet MS" w:hAnsi="Trebuchet MS" w:cstheme="minorHAnsi"/>
          <w:sz w:val="22"/>
          <w:szCs w:val="22"/>
        </w:rPr>
        <w:t xml:space="preserve"> patvirtinto aprašo</w:t>
      </w:r>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w:t>
      </w:r>
      <w:r w:rsidR="00CF3440">
        <w:rPr>
          <w:rFonts w:ascii="Trebuchet MS" w:hAnsi="Trebuchet MS"/>
          <w:sz w:val="22"/>
          <w:szCs w:val="22"/>
        </w:rPr>
        <w:t xml:space="preserve">teikiami </w:t>
      </w:r>
      <w:r w:rsidR="006F0EFC" w:rsidRPr="008C68B9">
        <w:rPr>
          <w:rFonts w:ascii="Trebuchet MS" w:hAnsi="Trebuchet MS"/>
          <w:sz w:val="22"/>
          <w:szCs w:val="22"/>
        </w:rPr>
        <w:t>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7" w:name="_Hlk204093977"/>
    </w:p>
    <w:bookmarkEnd w:id="7"/>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8" w:name="_Ref39426332"/>
      <w:bookmarkStart w:id="9" w:name="_Ref39426338"/>
      <w:bookmarkStart w:id="10" w:name="_Toc126333929"/>
      <w:bookmarkEnd w:id="5"/>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8"/>
      <w:bookmarkEnd w:id="9"/>
      <w:bookmarkEnd w:id="10"/>
    </w:p>
    <w:p w14:paraId="0B7B0A50" w14:textId="6A234B84"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7B41A7" w:rsidRPr="007B41A7">
        <w:rPr>
          <w:rFonts w:ascii="Trebuchet MS" w:eastAsia="Calibri" w:hAnsi="Trebuchet MS"/>
          <w:bCs/>
          <w:sz w:val="22"/>
          <w:szCs w:val="22"/>
        </w:rPr>
        <w:t>Saugumo informacijos ir įvykių valdymo sistemos gamintojo garantijos ir garantinės priežiūros pratęsimo</w:t>
      </w:r>
      <w:r w:rsidR="002728BD" w:rsidRPr="002728BD">
        <w:rPr>
          <w:rFonts w:ascii="Trebuchet MS" w:eastAsia="Calibri" w:hAnsi="Trebuchet MS"/>
          <w:sz w:val="22"/>
          <w:szCs w:val="22"/>
        </w:rPr>
        <w:t xml:space="preserve"> paslaug</w:t>
      </w:r>
      <w:r w:rsidR="002728BD">
        <w:rPr>
          <w:rFonts w:ascii="Trebuchet MS" w:eastAsia="Calibri" w:hAnsi="Trebuchet MS"/>
          <w:sz w:val="22"/>
          <w:szCs w:val="22"/>
        </w:rPr>
        <w:t>a</w:t>
      </w:r>
      <w:r w:rsidR="002728BD" w:rsidRPr="002728BD">
        <w:rPr>
          <w:rFonts w:ascii="Trebuchet MS" w:eastAsia="Calibri" w:hAnsi="Trebuchet MS"/>
          <w:sz w:val="22"/>
          <w:szCs w:val="22"/>
        </w:rPr>
        <w:t>s</w:t>
      </w:r>
      <w:r w:rsidRPr="001D5338">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2D5DFAA8" w14:textId="604E42C3" w:rsidR="001D5338" w:rsidRPr="000C4361" w:rsidRDefault="00507DC9" w:rsidP="000C4361">
      <w:pPr>
        <w:spacing w:after="0" w:line="240" w:lineRule="auto"/>
        <w:ind w:firstLine="567"/>
        <w:jc w:val="both"/>
        <w:rPr>
          <w:rFonts w:ascii="Trebuchet MS" w:eastAsia="Times New Roman" w:hAnsi="Trebuchet MS" w:cs="Times New Roman"/>
          <w:sz w:val="22"/>
          <w:szCs w:val="22"/>
          <w:lang w:eastAsia="en-GB"/>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Pirkimo objektas į dalis neskaidomas</w:t>
      </w:r>
      <w:r w:rsidR="002728BD" w:rsidRPr="000571E9">
        <w:rPr>
          <w:rFonts w:ascii="Trebuchet MS" w:hAnsi="Trebuchet MS" w:cstheme="minorHAnsi"/>
          <w:sz w:val="22"/>
          <w:szCs w:val="22"/>
        </w:rPr>
        <w:t xml:space="preserve">, </w:t>
      </w:r>
      <w:r w:rsidR="002728BD" w:rsidRPr="000571E9">
        <w:rPr>
          <w:rFonts w:ascii="Trebuchet MS" w:eastAsia="Times New Roman" w:hAnsi="Trebuchet MS" w:cs="Times New Roman"/>
          <w:sz w:val="22"/>
          <w:szCs w:val="22"/>
          <w:lang w:eastAsia="en-GB"/>
        </w:rPr>
        <w:t xml:space="preserve">nes </w:t>
      </w:r>
      <w:r w:rsidR="000571E9" w:rsidRPr="000571E9">
        <w:rPr>
          <w:rFonts w:ascii="Trebuchet MS" w:hAnsi="Trebuchet MS"/>
          <w:sz w:val="22"/>
          <w:szCs w:val="22"/>
        </w:rPr>
        <w:t>perkama</w:t>
      </w:r>
      <w:r w:rsidR="000571E9" w:rsidRPr="00D901C7">
        <w:rPr>
          <w:rFonts w:ascii="Trebuchet MS" w:hAnsi="Trebuchet MS"/>
          <w:sz w:val="22"/>
          <w:szCs w:val="22"/>
        </w:rPr>
        <w:t xml:space="preserve"> vientisa Paslauga ir jos techniškai negalima išskaidyti į atskiras dalis, t. y. nebūtų galima panaudoti dalinio Paslaugos rezultato</w:t>
      </w:r>
      <w:r w:rsidR="002728BD" w:rsidRPr="000C4361">
        <w:rPr>
          <w:rFonts w:ascii="Trebuchet MS" w:eastAsia="Times New Roman" w:hAnsi="Trebuchet MS" w:cs="Times New Roman"/>
          <w:sz w:val="22"/>
          <w:szCs w:val="22"/>
          <w:lang w:eastAsia="en-GB"/>
        </w:rPr>
        <w:t>.</w:t>
      </w:r>
      <w:r w:rsidR="00B41C66" w:rsidRPr="00DC442A">
        <w:rPr>
          <w:rFonts w:ascii="Trebuchet MS" w:hAnsi="Trebuchet MS" w:cstheme="minorHAnsi"/>
          <w:sz w:val="22"/>
          <w:szCs w:val="22"/>
        </w:rPr>
        <w:t xml:space="preserve">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1" w:name="_Toc126333930"/>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A25475">
        <w:rPr>
          <w:rFonts w:ascii="Trebuchet MS" w:hAnsi="Trebuchet MS" w:cstheme="minorHAnsi"/>
          <w:sz w:val="36"/>
          <w:szCs w:val="36"/>
        </w:rPr>
        <w:t>Susitikimai su tiekėjais</w:t>
      </w:r>
      <w:bookmarkEnd w:id="12"/>
      <w:bookmarkEnd w:id="13"/>
      <w:r w:rsidR="003B6924" w:rsidRPr="00A25475">
        <w:rPr>
          <w:rFonts w:ascii="Trebuchet MS" w:hAnsi="Trebuchet MS" w:cstheme="minorHAnsi"/>
          <w:sz w:val="36"/>
          <w:szCs w:val="36"/>
        </w:rPr>
        <w:t xml:space="preserve"> ir objekto apžiūra</w:t>
      </w:r>
      <w:bookmarkEnd w:id="11"/>
      <w:bookmarkEnd w:id="14"/>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5" w:name="_Ref39473754"/>
      <w:bookmarkStart w:id="16" w:name="_Ref39473761"/>
      <w:bookmarkStart w:id="17" w:name="_Ref39474188"/>
      <w:bookmarkStart w:id="18"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5"/>
      <w:bookmarkEnd w:id="16"/>
      <w:bookmarkEnd w:id="17"/>
      <w:r w:rsidR="00975F1F" w:rsidRPr="00A25475">
        <w:rPr>
          <w:rFonts w:ascii="Trebuchet MS" w:hAnsi="Trebuchet MS" w:cstheme="minorHAnsi"/>
          <w:sz w:val="36"/>
          <w:szCs w:val="36"/>
        </w:rPr>
        <w:t xml:space="preserve"> ir kvalifikacijos reikalavimai</w:t>
      </w:r>
      <w:bookmarkEnd w:id="18"/>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9"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9"/>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2EF97DCB"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kvalifikacijos reikalavimai</w:t>
      </w:r>
      <w:r w:rsidR="00A62FC2" w:rsidRPr="00A62FC2">
        <w:rPr>
          <w:rFonts w:ascii="Trebuchet MS" w:hAnsi="Trebuchet MS"/>
          <w:sz w:val="22"/>
          <w:szCs w:val="22"/>
        </w:rPr>
        <w:t xml:space="preserve"> nenustatomi</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0"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0"/>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1"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1"/>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2"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2"/>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w:t>
      </w:r>
      <w:r w:rsidR="004038D3" w:rsidRPr="0038558E">
        <w:rPr>
          <w:rFonts w:ascii="Trebuchet MS" w:hAnsi="Trebuchet MS"/>
          <w:color w:val="000000"/>
          <w:sz w:val="22"/>
          <w:szCs w:val="22"/>
          <w:shd w:val="clear" w:color="auto" w:fill="FFFFFF"/>
        </w:rPr>
        <w:lastRenderedPageBreak/>
        <w:t xml:space="preserve">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3"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3"/>
      <w:r w:rsidRPr="00CC707A">
        <w:rPr>
          <w:rFonts w:ascii="Trebuchet MS" w:eastAsia="Arial Unicode MS" w:hAnsi="Trebuchet MS" w:cs="Times New Roman"/>
          <w:bCs/>
          <w:color w:val="000000"/>
          <w:sz w:val="22"/>
          <w:szCs w:val="22"/>
          <w:bdr w:val="nil"/>
          <w:lang w:eastAsia="en-US"/>
        </w:rPr>
        <w:t xml:space="preserve">reikalavimams </w:t>
      </w:r>
      <w:bookmarkStart w:id="24"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4"/>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5" w:name="_Ref39666794"/>
      <w:bookmarkStart w:id="26" w:name="_Ref39666796"/>
      <w:bookmarkStart w:id="27"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5"/>
      <w:bookmarkEnd w:id="26"/>
      <w:bookmarkEnd w:id="27"/>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3BF0CF4D"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67D05334"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dokumentai, patvirtinantys, kad ūkio subjektas, kurio pajėgumais tiekėjas remiasi, atsižvelgdamas į specialiųjų pirkimo sąlygų</w:t>
      </w:r>
      <w:r w:rsidRPr="005631DD">
        <w:rPr>
          <w:rFonts w:ascii="Trebuchet MS" w:hAnsi="Trebuchet MS" w:cstheme="minorHAnsi"/>
          <w:sz w:val="22"/>
          <w:szCs w:val="22"/>
        </w:rPr>
        <w:t xml:space="preserve"> </w:t>
      </w:r>
      <w:r w:rsidR="005631DD" w:rsidRPr="005631DD">
        <w:rPr>
          <w:rFonts w:ascii="Trebuchet MS" w:hAnsi="Trebuchet MS" w:cstheme="minorHAnsi"/>
          <w:sz w:val="22"/>
          <w:szCs w:val="22"/>
        </w:rPr>
        <w:t>3</w:t>
      </w:r>
      <w:r w:rsidRPr="005631DD">
        <w:rPr>
          <w:rFonts w:ascii="Trebuchet MS" w:hAnsi="Trebuchet MS" w:cstheme="minorHAnsi"/>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w:t>
      </w:r>
      <w:r w:rsidRPr="00DC442A">
        <w:rPr>
          <w:rFonts w:ascii="Trebuchet MS" w:hAnsi="Trebuchet MS" w:cstheme="minorHAnsi"/>
          <w:sz w:val="22"/>
          <w:szCs w:val="22"/>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306C9F58" w:rsidR="007C1C57" w:rsidRPr="00697A6D" w:rsidRDefault="00AE7EC9" w:rsidP="002728BD">
      <w:pPr>
        <w:pStyle w:val="Sraopastraipa"/>
        <w:numPr>
          <w:ilvl w:val="2"/>
          <w:numId w:val="8"/>
        </w:numPr>
        <w:tabs>
          <w:tab w:val="left" w:pos="1560"/>
        </w:tabs>
        <w:ind w:left="0" w:firstLine="709"/>
        <w:jc w:val="both"/>
        <w:rPr>
          <w:rFonts w:ascii="Trebuchet MS" w:hAnsi="Trebuchet MS" w:cstheme="minorHAnsi"/>
          <w:b/>
          <w:sz w:val="22"/>
          <w:szCs w:val="22"/>
          <w:u w:val="single"/>
        </w:rPr>
      </w:pPr>
      <w:r w:rsidRPr="00697A6D">
        <w:rPr>
          <w:rFonts w:ascii="Trebuchet MS" w:hAnsi="Trebuchet MS" w:cstheme="minorHAnsi"/>
          <w:b/>
          <w:sz w:val="22"/>
          <w:szCs w:val="22"/>
          <w:u w:val="single"/>
        </w:rPr>
        <w:t xml:space="preserve">Tiekėjas kartu su pasiūlymu </w:t>
      </w:r>
      <w:r w:rsidR="00697A6D">
        <w:rPr>
          <w:rFonts w:ascii="Trebuchet MS" w:hAnsi="Trebuchet MS" w:cstheme="minorHAnsi"/>
          <w:b/>
          <w:sz w:val="22"/>
          <w:szCs w:val="22"/>
          <w:u w:val="single"/>
        </w:rPr>
        <w:t xml:space="preserve">turi pateikti </w:t>
      </w:r>
      <w:bookmarkStart w:id="28" w:name="_GoBack"/>
      <w:bookmarkEnd w:id="28"/>
      <w:r w:rsidR="002728BD" w:rsidRPr="00697A6D">
        <w:rPr>
          <w:rFonts w:ascii="Trebuchet MS" w:hAnsi="Trebuchet MS" w:cstheme="minorHAnsi"/>
          <w:b/>
          <w:sz w:val="22"/>
          <w:szCs w:val="22"/>
          <w:u w:val="single"/>
        </w:rPr>
        <w:t>dokumentus patvirtinančius, kad jis yra „</w:t>
      </w:r>
      <w:proofErr w:type="spellStart"/>
      <w:r w:rsidR="00697A6D" w:rsidRPr="00697A6D">
        <w:rPr>
          <w:rFonts w:ascii="Trebuchet MS" w:hAnsi="Trebuchet MS" w:cstheme="minorHAnsi"/>
          <w:b/>
          <w:sz w:val="22"/>
          <w:szCs w:val="22"/>
          <w:u w:val="single"/>
        </w:rPr>
        <w:t>Trellix</w:t>
      </w:r>
      <w:proofErr w:type="spellEnd"/>
      <w:r w:rsidR="002728BD" w:rsidRPr="00697A6D">
        <w:rPr>
          <w:rFonts w:ascii="Trebuchet MS" w:hAnsi="Trebuchet MS" w:cstheme="minorHAnsi"/>
          <w:b/>
          <w:sz w:val="22"/>
          <w:szCs w:val="22"/>
          <w:u w:val="single"/>
        </w:rPr>
        <w:t>“ įrangos gamintojas arba pateikti dokumentus įrodančius, kad jis yra „</w:t>
      </w:r>
      <w:proofErr w:type="spellStart"/>
      <w:r w:rsidR="00697A6D" w:rsidRPr="00697A6D">
        <w:rPr>
          <w:rFonts w:ascii="Trebuchet MS" w:hAnsi="Trebuchet MS" w:cstheme="minorHAnsi"/>
          <w:b/>
          <w:sz w:val="22"/>
          <w:szCs w:val="22"/>
          <w:u w:val="single"/>
        </w:rPr>
        <w:t>Trellix</w:t>
      </w:r>
      <w:proofErr w:type="spellEnd"/>
      <w:r w:rsidR="002728BD" w:rsidRPr="00697A6D">
        <w:rPr>
          <w:rFonts w:ascii="Trebuchet MS" w:hAnsi="Trebuchet MS" w:cstheme="minorHAnsi"/>
          <w:b/>
          <w:sz w:val="22"/>
          <w:szCs w:val="22"/>
          <w:u w:val="single"/>
        </w:rPr>
        <w:t>“ įrangos gamintojo įgaliotas ją parduoti.</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1F84D96D"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F84959">
        <w:rPr>
          <w:rFonts w:ascii="Trebuchet MS" w:hAnsi="Trebuchet MS"/>
          <w:sz w:val="22"/>
          <w:szCs w:val="22"/>
        </w:rPr>
        <w:t xml:space="preserve"> (</w:t>
      </w:r>
      <w:r w:rsidR="00F84959" w:rsidRPr="000779C1">
        <w:rPr>
          <w:rFonts w:ascii="Trebuchet MS" w:hAnsi="Trebuchet MS"/>
          <w:sz w:val="22"/>
          <w:szCs w:val="22"/>
        </w:rPr>
        <w:t>dokumentai nurodyti</w:t>
      </w:r>
      <w:r w:rsidR="00F84959">
        <w:rPr>
          <w:rFonts w:ascii="Trebuchet MS" w:hAnsi="Trebuchet MS"/>
          <w:iCs/>
          <w:sz w:val="22"/>
          <w:szCs w:val="22"/>
        </w:rPr>
        <w:t xml:space="preserve"> 5.7</w:t>
      </w:r>
      <w:r w:rsidR="00F84959" w:rsidRPr="000779C1">
        <w:rPr>
          <w:rFonts w:ascii="Trebuchet MS" w:hAnsi="Trebuchet MS"/>
          <w:sz w:val="22"/>
          <w:szCs w:val="22"/>
        </w:rPr>
        <w:t xml:space="preserve"> punkte (valstybės narės ar trečiosios šalies atitinkami dokumentai) gali būti pateikiami anglų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2"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2"/>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6" w:name="_Toc126333938"/>
      <w:bookmarkEnd w:id="6"/>
      <w:r w:rsidRPr="00A25475">
        <w:rPr>
          <w:rFonts w:ascii="Trebuchet MS" w:hAnsi="Trebuchet MS" w:cstheme="minorHAnsi"/>
          <w:sz w:val="36"/>
          <w:szCs w:val="36"/>
        </w:rPr>
        <w:t>Kitos sąlygos</w:t>
      </w:r>
      <w:bookmarkEnd w:id="46"/>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0016" w14:textId="43D1AE74" w:rsidR="00D57933" w:rsidRDefault="00D57933" w:rsidP="00BE0AC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D3925"/>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8"/>
  </w:num>
  <w:num w:numId="5">
    <w:abstractNumId w:val="13"/>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0"/>
  </w:num>
  <w:num w:numId="13">
    <w:abstractNumId w:val="12"/>
  </w:num>
  <w:num w:numId="14">
    <w:abstractNumId w:val="19"/>
  </w:num>
  <w:num w:numId="15">
    <w:abstractNumId w:val="4"/>
  </w:num>
  <w:num w:numId="16">
    <w:abstractNumId w:val="5"/>
  </w:num>
  <w:num w:numId="17">
    <w:abstractNumId w:val="11"/>
  </w:num>
  <w:num w:numId="18">
    <w:abstractNumId w:val="0"/>
  </w:num>
  <w:num w:numId="19">
    <w:abstractNumId w:val="6"/>
  </w:num>
  <w:num w:numId="20">
    <w:abstractNumId w:val="16"/>
  </w:num>
  <w:num w:numId="21">
    <w:abstractNumId w:val="8"/>
  </w:num>
  <w:num w:numId="22">
    <w:abstractNumId w:val="9"/>
  </w:num>
  <w:num w:numId="23">
    <w:abstractNumId w:val="2"/>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1E9"/>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8B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D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CF2"/>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A6D"/>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A7"/>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C2"/>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A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B5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790"/>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44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4959"/>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000A7E0-DDF0-41A6-8543-72066008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10452</Words>
  <Characters>5959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