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20DC701B"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w:t>
      </w:r>
      <w:r w:rsidR="00B560C0">
        <w:rPr>
          <w:rFonts w:ascii="Trebuchet MS" w:hAnsi="Trebuchet MS" w:cs="Calibri"/>
          <w:color w:val="0070C0"/>
          <w:sz w:val="20"/>
        </w:rPr>
        <w:t xml:space="preserve">specialiųjų </w:t>
      </w:r>
      <w:r w:rsidRPr="00C70AD1">
        <w:rPr>
          <w:rFonts w:ascii="Trebuchet MS" w:hAnsi="Trebuchet MS"/>
          <w:color w:val="4472C4" w:themeColor="accent5"/>
          <w:sz w:val="20"/>
          <w:szCs w:val="20"/>
        </w:rPr>
        <w:t xml:space="preserve">sąlygų </w:t>
      </w:r>
      <w:r w:rsidR="00991F60" w:rsidRPr="00E8170A">
        <w:rPr>
          <w:rFonts w:ascii="Trebuchet MS" w:hAnsi="Trebuchet MS"/>
          <w:color w:val="4472C4" w:themeColor="accent5"/>
          <w:sz w:val="20"/>
          <w:szCs w:val="20"/>
        </w:rPr>
        <w:t>5</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23EB4B77" w:rsidR="006200F1" w:rsidRPr="008659CA" w:rsidRDefault="00562287" w:rsidP="001D2A2F">
      <w:pPr>
        <w:ind w:firstLine="567"/>
        <w:jc w:val="center"/>
        <w:rPr>
          <w:rFonts w:ascii="Trebuchet MS" w:hAnsi="Trebuchet MS"/>
          <w:b/>
          <w:bCs/>
          <w:caps/>
          <w:sz w:val="22"/>
          <w:szCs w:val="22"/>
          <w:lang w:eastAsia="en-GB"/>
        </w:rPr>
      </w:pPr>
      <w:bookmarkStart w:id="0" w:name="_Hlk182485991"/>
      <w:r w:rsidRPr="00562287">
        <w:rPr>
          <w:rFonts w:ascii="Trebuchet MS" w:hAnsi="Trebuchet MS"/>
          <w:b/>
          <w:bCs/>
          <w:caps/>
          <w:sz w:val="22"/>
          <w:szCs w:val="22"/>
          <w:lang w:eastAsia="en-GB"/>
        </w:rPr>
        <w:t>SAUGUMO INFORMACIJOS IR ĮVYKIŲ VALDYMO SISTEMOS GAMINTOJO GARANTIJOS IR GARANTINĖS PRIEŽIŪROS PRATĘSIMO PASLAUGŲ</w:t>
      </w:r>
      <w:r w:rsidR="00B26955" w:rsidRPr="00B26955">
        <w:rPr>
          <w:rFonts w:ascii="Trebuchet MS" w:hAnsi="Trebuchet MS"/>
          <w:b/>
          <w:bCs/>
          <w:caps/>
          <w:sz w:val="22"/>
          <w:szCs w:val="22"/>
          <w:lang w:eastAsia="en-GB"/>
        </w:rPr>
        <w:t xml:space="preserve">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38055E2"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 SUBJEKTUS, SUBTIEKĖJUS IR KVAZISUBTIEKĖJUS</w:t>
      </w:r>
    </w:p>
    <w:p w14:paraId="713ACBF7" w14:textId="62F7AC00"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125C0B">
        <w:rPr>
          <w:rFonts w:cstheme="minorHAnsi"/>
          <w:b/>
          <w:u w:val="single"/>
        </w:rPr>
        <w:t>T</w:t>
      </w:r>
      <w:r w:rsidRPr="00580E5F">
        <w:rPr>
          <w:rFonts w:cstheme="minorHAnsi"/>
          <w:b/>
          <w:u w:val="single"/>
        </w:rPr>
        <w: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3C48CAB4"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125C0B">
        <w:rPr>
          <w:rFonts w:cstheme="minorHAnsi"/>
          <w:b/>
          <w:bCs/>
          <w:u w:val="single"/>
        </w:rPr>
        <w:t>T</w:t>
      </w:r>
      <w:r w:rsidRPr="00580E5F">
        <w:rPr>
          <w:rFonts w:cstheme="minorHAnsi"/>
          <w:b/>
          <w:bCs/>
          <w:u w:val="single"/>
        </w:rPr>
        <w:t>iekėjas 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2C279316"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125C0B">
        <w:rPr>
          <w:rFonts w:cstheme="minorHAnsi"/>
          <w:b/>
          <w:u w:val="single"/>
        </w:rPr>
        <w:t>T</w:t>
      </w:r>
      <w:r w:rsidRPr="00580E5F">
        <w:rPr>
          <w:rFonts w:cstheme="minorHAnsi"/>
          <w:b/>
          <w:u w:val="single"/>
        </w:rPr>
        <w: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lastRenderedPageBreak/>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t xml:space="preserve">Teikdami savo pasiūlymą, pažymime, kad sutinkame su </w:t>
      </w:r>
      <w:bookmarkStart w:id="1" w:name="_Hlk204156116"/>
      <w:r w:rsidRPr="008659CA">
        <w:rPr>
          <w:rFonts w:cs="Calibri"/>
        </w:rPr>
        <w:t xml:space="preserve">Pirkimo sąlygomis </w:t>
      </w:r>
      <w:bookmarkEnd w:id="1"/>
      <w:r w:rsidRPr="008659CA">
        <w:rPr>
          <w:rFonts w:cs="Calibri"/>
        </w:rPr>
        <w:t>ir jose (kaip jos apibrėžtos Bendrosiose pirkimo sąlygose) nustatytomis tolesnėmis Pirkimo procedūromis ir būsimos Sutarties sąlygomis</w:t>
      </w:r>
      <w:r w:rsidR="009B5D8E" w:rsidRPr="009B371E">
        <w:t>.</w:t>
      </w:r>
    </w:p>
    <w:p w14:paraId="4E2EA6F9" w14:textId="77777777"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6B26E421"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Pr="008659CA">
        <w:rPr>
          <w:b/>
          <w:bCs/>
        </w:rPr>
        <w:t xml:space="preserve"> 4.4.3. ir 4.4.4.1.</w:t>
      </w:r>
      <w:r w:rsidRPr="008659CA">
        <w:t xml:space="preserve"> papunkčiuose nurodytus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4A9BAF8A"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3" w:name="_Hlk204156157"/>
      <w:r w:rsidR="008659CA" w:rsidRPr="00E8170A">
        <w:rPr>
          <w:rFonts w:ascii="Trebuchet MS" w:hAnsi="Trebuchet MS"/>
          <w:b w:val="0"/>
          <w:sz w:val="22"/>
          <w:szCs w:val="22"/>
        </w:rPr>
        <w:t>Pirkimo</w:t>
      </w:r>
      <w:bookmarkEnd w:id="3"/>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114"/>
        <w:gridCol w:w="1843"/>
        <w:gridCol w:w="5238"/>
      </w:tblGrid>
      <w:tr w:rsidR="002469FB" w14:paraId="7E0809EE" w14:textId="77777777" w:rsidTr="00B26955">
        <w:tc>
          <w:tcPr>
            <w:tcW w:w="1527"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90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569"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125C0B">
        <w:trPr>
          <w:trHeight w:val="382"/>
        </w:trPr>
        <w:tc>
          <w:tcPr>
            <w:tcW w:w="1527" w:type="pct"/>
          </w:tcPr>
          <w:p w14:paraId="1571E3D4" w14:textId="02DCE0F6"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 xml:space="preserve">kaina EUR </w:t>
            </w:r>
            <w:r w:rsidR="00904843">
              <w:rPr>
                <w:rFonts w:ascii="Trebuchet MS" w:hAnsi="Trebuchet MS"/>
                <w:sz w:val="22"/>
              </w:rPr>
              <w:t>(PVM netaikomas)</w:t>
            </w:r>
          </w:p>
        </w:tc>
        <w:tc>
          <w:tcPr>
            <w:tcW w:w="904" w:type="pct"/>
          </w:tcPr>
          <w:p w14:paraId="4D3DF2F0" w14:textId="77777777" w:rsidR="002469FB" w:rsidRDefault="002469FB" w:rsidP="006164C5">
            <w:pPr>
              <w:jc w:val="both"/>
              <w:rPr>
                <w:rFonts w:ascii="Trebuchet MS" w:hAnsi="Trebuchet MS"/>
                <w:sz w:val="22"/>
              </w:rPr>
            </w:pPr>
          </w:p>
        </w:tc>
        <w:tc>
          <w:tcPr>
            <w:tcW w:w="2569" w:type="pct"/>
          </w:tcPr>
          <w:p w14:paraId="5C9DC07F"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4304F435" w14:textId="77777777" w:rsidR="006E796E" w:rsidRDefault="006E796E" w:rsidP="00CA2681">
      <w:pPr>
        <w:ind w:firstLine="567"/>
        <w:jc w:val="both"/>
        <w:rPr>
          <w:rFonts w:ascii="Trebuchet MS" w:hAnsi="Trebuchet MS"/>
          <w:sz w:val="22"/>
          <w:szCs w:val="22"/>
        </w:rPr>
      </w:pPr>
    </w:p>
    <w:p w14:paraId="1341FD6D" w14:textId="77777777" w:rsidR="00B560C0" w:rsidRDefault="002469FB" w:rsidP="00B560C0">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4233"/>
        <w:gridCol w:w="1190"/>
        <w:gridCol w:w="825"/>
        <w:gridCol w:w="2120"/>
        <w:gridCol w:w="1046"/>
      </w:tblGrid>
      <w:tr w:rsidR="00381275" w:rsidRPr="00027E59" w14:paraId="369B8425" w14:textId="77777777" w:rsidTr="00ED636E">
        <w:trPr>
          <w:cantSplit/>
          <w:trHeight w:val="481"/>
          <w:tblHeader/>
          <w:jc w:val="center"/>
        </w:trPr>
        <w:tc>
          <w:tcPr>
            <w:tcW w:w="0" w:type="auto"/>
            <w:tcMar>
              <w:left w:w="28" w:type="dxa"/>
              <w:right w:w="28" w:type="dxa"/>
            </w:tcMar>
            <w:vAlign w:val="center"/>
          </w:tcPr>
          <w:p w14:paraId="632E9396" w14:textId="77777777" w:rsidR="00381275" w:rsidRPr="00027E59" w:rsidRDefault="00381275" w:rsidP="00381275">
            <w:pPr>
              <w:jc w:val="center"/>
              <w:rPr>
                <w:rFonts w:ascii="Trebuchet MS" w:hAnsi="Trebuchet MS"/>
                <w:b/>
                <w:sz w:val="22"/>
                <w:szCs w:val="22"/>
              </w:rPr>
            </w:pPr>
            <w:r w:rsidRPr="00027E59">
              <w:rPr>
                <w:rFonts w:ascii="Trebuchet MS" w:hAnsi="Trebuchet MS"/>
                <w:b/>
                <w:sz w:val="22"/>
                <w:szCs w:val="22"/>
              </w:rPr>
              <w:t>Eil. Nr.</w:t>
            </w:r>
          </w:p>
        </w:tc>
        <w:tc>
          <w:tcPr>
            <w:tcW w:w="0" w:type="auto"/>
            <w:tcMar>
              <w:left w:w="28" w:type="dxa"/>
              <w:right w:w="28" w:type="dxa"/>
            </w:tcMar>
            <w:vAlign w:val="center"/>
          </w:tcPr>
          <w:p w14:paraId="0CE0D051" w14:textId="77777777" w:rsidR="00381275" w:rsidRPr="00027E59" w:rsidRDefault="00381275" w:rsidP="00381275">
            <w:pPr>
              <w:jc w:val="center"/>
              <w:rPr>
                <w:rFonts w:ascii="Trebuchet MS" w:hAnsi="Trebuchet MS"/>
                <w:b/>
                <w:sz w:val="22"/>
                <w:szCs w:val="22"/>
              </w:rPr>
            </w:pPr>
            <w:r w:rsidRPr="00027E59">
              <w:rPr>
                <w:rFonts w:ascii="Trebuchet MS" w:hAnsi="Trebuchet MS"/>
                <w:b/>
                <w:sz w:val="22"/>
                <w:szCs w:val="22"/>
              </w:rPr>
              <w:t>Pavadinimas</w:t>
            </w:r>
          </w:p>
        </w:tc>
        <w:tc>
          <w:tcPr>
            <w:tcW w:w="0" w:type="auto"/>
            <w:vAlign w:val="center"/>
          </w:tcPr>
          <w:p w14:paraId="4A31DB13" w14:textId="77777777" w:rsidR="00381275" w:rsidRPr="00027E59" w:rsidRDefault="00381275" w:rsidP="00381275">
            <w:pPr>
              <w:jc w:val="center"/>
              <w:rPr>
                <w:rFonts w:ascii="Trebuchet MS" w:hAnsi="Trebuchet MS"/>
                <w:b/>
                <w:sz w:val="22"/>
                <w:szCs w:val="22"/>
              </w:rPr>
            </w:pPr>
            <w:r w:rsidRPr="00027E59">
              <w:rPr>
                <w:rFonts w:ascii="Trebuchet MS" w:hAnsi="Trebuchet MS"/>
                <w:b/>
                <w:sz w:val="22"/>
                <w:szCs w:val="22"/>
              </w:rPr>
              <w:t>Mato vnt.</w:t>
            </w:r>
          </w:p>
          <w:p w14:paraId="4284F8ED" w14:textId="77777777" w:rsidR="00381275" w:rsidRPr="00027E59" w:rsidRDefault="00381275" w:rsidP="00381275">
            <w:pPr>
              <w:jc w:val="center"/>
              <w:rPr>
                <w:rFonts w:ascii="Trebuchet MS" w:hAnsi="Trebuchet MS"/>
                <w:b/>
                <w:color w:val="000000"/>
                <w:sz w:val="22"/>
                <w:szCs w:val="22"/>
              </w:rPr>
            </w:pPr>
          </w:p>
        </w:tc>
        <w:tc>
          <w:tcPr>
            <w:tcW w:w="0" w:type="auto"/>
            <w:vAlign w:val="center"/>
          </w:tcPr>
          <w:p w14:paraId="75AE33BA" w14:textId="77777777" w:rsidR="00381275" w:rsidRPr="00027E59" w:rsidRDefault="00381275" w:rsidP="00381275">
            <w:pPr>
              <w:jc w:val="center"/>
              <w:rPr>
                <w:rFonts w:ascii="Trebuchet MS" w:hAnsi="Trebuchet MS"/>
                <w:b/>
                <w:sz w:val="22"/>
                <w:szCs w:val="22"/>
              </w:rPr>
            </w:pPr>
            <w:r w:rsidRPr="00027E59">
              <w:rPr>
                <w:rFonts w:ascii="Trebuchet MS" w:hAnsi="Trebuchet MS"/>
                <w:b/>
                <w:sz w:val="22"/>
                <w:szCs w:val="22"/>
              </w:rPr>
              <w:t>Kiekis</w:t>
            </w:r>
          </w:p>
          <w:p w14:paraId="4661B000" w14:textId="77777777" w:rsidR="00381275" w:rsidRPr="00027E59" w:rsidRDefault="00381275" w:rsidP="00381275">
            <w:pPr>
              <w:jc w:val="center"/>
              <w:rPr>
                <w:rFonts w:ascii="Trebuchet MS" w:hAnsi="Trebuchet MS"/>
                <w:b/>
                <w:color w:val="000000"/>
                <w:sz w:val="22"/>
                <w:szCs w:val="22"/>
              </w:rPr>
            </w:pPr>
          </w:p>
        </w:tc>
        <w:tc>
          <w:tcPr>
            <w:tcW w:w="0" w:type="auto"/>
            <w:tcMar>
              <w:left w:w="28" w:type="dxa"/>
              <w:right w:w="28" w:type="dxa"/>
            </w:tcMar>
            <w:vAlign w:val="center"/>
          </w:tcPr>
          <w:p w14:paraId="6B9AFC7F" w14:textId="01E196C5" w:rsidR="00381275" w:rsidRPr="00027E59" w:rsidRDefault="00381275" w:rsidP="00381275">
            <w:pPr>
              <w:jc w:val="center"/>
              <w:rPr>
                <w:rFonts w:ascii="Trebuchet MS" w:hAnsi="Trebuchet MS"/>
                <w:b/>
                <w:sz w:val="22"/>
                <w:szCs w:val="22"/>
              </w:rPr>
            </w:pPr>
            <w:r w:rsidRPr="00027E59">
              <w:rPr>
                <w:rFonts w:ascii="Trebuchet MS" w:hAnsi="Trebuchet MS"/>
                <w:b/>
                <w:color w:val="000000"/>
                <w:sz w:val="22"/>
                <w:szCs w:val="22"/>
              </w:rPr>
              <w:t>Gamintojo garantijos ir garantinės priežiūros pratęsimo paslaugų trukmė</w:t>
            </w:r>
          </w:p>
        </w:tc>
        <w:tc>
          <w:tcPr>
            <w:tcW w:w="0" w:type="auto"/>
            <w:vAlign w:val="center"/>
          </w:tcPr>
          <w:p w14:paraId="33D58ECC" w14:textId="2B0C45C9" w:rsidR="00381275" w:rsidRPr="00027E59" w:rsidRDefault="00381275" w:rsidP="00381275">
            <w:pPr>
              <w:jc w:val="center"/>
              <w:rPr>
                <w:rFonts w:ascii="Trebuchet MS" w:eastAsia="MS Mincho" w:hAnsi="Trebuchet MS"/>
                <w:b/>
                <w:color w:val="000000"/>
                <w:sz w:val="22"/>
                <w:szCs w:val="22"/>
                <w:lang w:eastAsia="ja-JP"/>
              </w:rPr>
            </w:pPr>
            <w:r>
              <w:rPr>
                <w:rFonts w:ascii="Trebuchet MS" w:eastAsia="MS Mincho" w:hAnsi="Trebuchet MS"/>
                <w:b/>
                <w:color w:val="000000"/>
                <w:sz w:val="22"/>
                <w:szCs w:val="22"/>
                <w:lang w:eastAsia="ja-JP"/>
              </w:rPr>
              <w:t xml:space="preserve">vnt. Kaina </w:t>
            </w:r>
            <w:proofErr w:type="spellStart"/>
            <w:r>
              <w:rPr>
                <w:rFonts w:ascii="Trebuchet MS" w:eastAsia="MS Mincho" w:hAnsi="Trebuchet MS"/>
                <w:b/>
                <w:color w:val="000000"/>
                <w:sz w:val="22"/>
                <w:szCs w:val="22"/>
                <w:lang w:eastAsia="ja-JP"/>
              </w:rPr>
              <w:t>Eur</w:t>
            </w:r>
            <w:proofErr w:type="spellEnd"/>
            <w:r>
              <w:rPr>
                <w:rFonts w:ascii="Trebuchet MS" w:eastAsia="MS Mincho" w:hAnsi="Trebuchet MS"/>
                <w:b/>
                <w:color w:val="000000"/>
                <w:sz w:val="22"/>
                <w:szCs w:val="22"/>
                <w:lang w:eastAsia="ja-JP"/>
              </w:rPr>
              <w:t xml:space="preserve"> be PVM</w:t>
            </w:r>
          </w:p>
          <w:p w14:paraId="22D3E8ED" w14:textId="77777777" w:rsidR="00381275" w:rsidRPr="00027E59" w:rsidRDefault="00381275" w:rsidP="00381275">
            <w:pPr>
              <w:jc w:val="center"/>
              <w:rPr>
                <w:rFonts w:ascii="Trebuchet MS" w:hAnsi="Trebuchet MS"/>
                <w:b/>
                <w:color w:val="000000"/>
                <w:sz w:val="22"/>
                <w:szCs w:val="22"/>
              </w:rPr>
            </w:pPr>
          </w:p>
        </w:tc>
      </w:tr>
      <w:tr w:rsidR="00381275" w:rsidRPr="00027E59" w14:paraId="084C35C7" w14:textId="77777777" w:rsidTr="00ED636E">
        <w:trPr>
          <w:cantSplit/>
          <w:trHeight w:val="436"/>
          <w:jc w:val="center"/>
        </w:trPr>
        <w:tc>
          <w:tcPr>
            <w:tcW w:w="0" w:type="auto"/>
            <w:tcMar>
              <w:left w:w="28" w:type="dxa"/>
              <w:right w:w="28" w:type="dxa"/>
            </w:tcMar>
          </w:tcPr>
          <w:p w14:paraId="07295430" w14:textId="77777777" w:rsidR="00381275" w:rsidRPr="00027E59" w:rsidRDefault="00381275" w:rsidP="00381275">
            <w:pPr>
              <w:widowControl w:val="0"/>
              <w:numPr>
                <w:ilvl w:val="0"/>
                <w:numId w:val="8"/>
              </w:numPr>
              <w:autoSpaceDE w:val="0"/>
              <w:autoSpaceDN w:val="0"/>
              <w:adjustRightInd w:val="0"/>
              <w:contextualSpacing/>
              <w:rPr>
                <w:rFonts w:ascii="Trebuchet MS" w:hAnsi="Trebuchet MS"/>
              </w:rPr>
            </w:pPr>
          </w:p>
        </w:tc>
        <w:tc>
          <w:tcPr>
            <w:tcW w:w="0" w:type="auto"/>
            <w:shd w:val="clear" w:color="auto" w:fill="FFFFFF"/>
            <w:tcMar>
              <w:left w:w="28" w:type="dxa"/>
              <w:right w:w="28" w:type="dxa"/>
            </w:tcMar>
          </w:tcPr>
          <w:p w14:paraId="578F799F" w14:textId="77777777" w:rsidR="00381275" w:rsidRPr="00027E59" w:rsidRDefault="00381275" w:rsidP="00381275">
            <w:pPr>
              <w:tabs>
                <w:tab w:val="left" w:pos="567"/>
                <w:tab w:val="left" w:pos="851"/>
              </w:tabs>
              <w:rPr>
                <w:rFonts w:ascii="Trebuchet MS" w:hAnsi="Trebuchet MS"/>
                <w:sz w:val="22"/>
                <w:szCs w:val="22"/>
                <w:lang w:eastAsia="en-GB"/>
              </w:rPr>
            </w:pPr>
            <w:proofErr w:type="spellStart"/>
            <w:r w:rsidRPr="00BF38B7">
              <w:rPr>
                <w:rFonts w:ascii="Trebuchet MS" w:hAnsi="Trebuchet MS"/>
                <w:sz w:val="22"/>
                <w:szCs w:val="22"/>
                <w:lang w:eastAsia="en-GB"/>
              </w:rPr>
              <w:t>Trellix</w:t>
            </w:r>
            <w:proofErr w:type="spellEnd"/>
            <w:r w:rsidRPr="00BF38B7">
              <w:rPr>
                <w:rFonts w:ascii="Trebuchet MS" w:hAnsi="Trebuchet MS"/>
                <w:sz w:val="22"/>
                <w:szCs w:val="22"/>
                <w:lang w:eastAsia="en-GB"/>
              </w:rPr>
              <w:t xml:space="preserve"> </w:t>
            </w:r>
            <w:proofErr w:type="spellStart"/>
            <w:r w:rsidRPr="00BF38B7">
              <w:rPr>
                <w:rFonts w:ascii="Trebuchet MS" w:hAnsi="Trebuchet MS"/>
                <w:sz w:val="22"/>
                <w:szCs w:val="22"/>
                <w:lang w:eastAsia="en-GB"/>
              </w:rPr>
              <w:t>Enterprise</w:t>
            </w:r>
            <w:proofErr w:type="spellEnd"/>
            <w:r w:rsidRPr="00BF38B7">
              <w:rPr>
                <w:rFonts w:ascii="Trebuchet MS" w:hAnsi="Trebuchet MS"/>
                <w:sz w:val="22"/>
                <w:szCs w:val="22"/>
                <w:lang w:eastAsia="en-GB"/>
              </w:rPr>
              <w:t xml:space="preserve"> </w:t>
            </w:r>
            <w:proofErr w:type="spellStart"/>
            <w:r w:rsidRPr="00BF38B7">
              <w:rPr>
                <w:rFonts w:ascii="Trebuchet MS" w:hAnsi="Trebuchet MS"/>
                <w:sz w:val="22"/>
                <w:szCs w:val="22"/>
                <w:lang w:eastAsia="en-GB"/>
              </w:rPr>
              <w:t>Security</w:t>
            </w:r>
            <w:proofErr w:type="spellEnd"/>
            <w:r w:rsidRPr="00BF38B7">
              <w:rPr>
                <w:rFonts w:ascii="Trebuchet MS" w:hAnsi="Trebuchet MS"/>
                <w:sz w:val="22"/>
                <w:szCs w:val="22"/>
                <w:lang w:eastAsia="en-GB"/>
              </w:rPr>
              <w:t xml:space="preserve"> Manager, </w:t>
            </w:r>
            <w:proofErr w:type="spellStart"/>
            <w:r w:rsidRPr="00BF38B7">
              <w:rPr>
                <w:rFonts w:ascii="Trebuchet MS" w:hAnsi="Trebuchet MS"/>
                <w:sz w:val="22"/>
                <w:szCs w:val="22"/>
                <w:lang w:eastAsia="en-GB"/>
              </w:rPr>
              <w:t>Log</w:t>
            </w:r>
            <w:proofErr w:type="spellEnd"/>
            <w:r w:rsidRPr="00BF38B7">
              <w:rPr>
                <w:rFonts w:ascii="Trebuchet MS" w:hAnsi="Trebuchet MS"/>
                <w:sz w:val="22"/>
                <w:szCs w:val="22"/>
                <w:lang w:eastAsia="en-GB"/>
              </w:rPr>
              <w:t xml:space="preserve"> Manager </w:t>
            </w:r>
            <w:proofErr w:type="spellStart"/>
            <w:r w:rsidRPr="00BF38B7">
              <w:rPr>
                <w:rFonts w:ascii="Trebuchet MS" w:hAnsi="Trebuchet MS"/>
                <w:sz w:val="22"/>
                <w:szCs w:val="22"/>
                <w:lang w:eastAsia="en-GB"/>
              </w:rPr>
              <w:t>and</w:t>
            </w:r>
            <w:proofErr w:type="spellEnd"/>
            <w:r w:rsidRPr="00BF38B7">
              <w:rPr>
                <w:rFonts w:ascii="Trebuchet MS" w:hAnsi="Trebuchet MS"/>
                <w:sz w:val="22"/>
                <w:szCs w:val="22"/>
                <w:lang w:eastAsia="en-GB"/>
              </w:rPr>
              <w:t xml:space="preserve"> </w:t>
            </w:r>
            <w:proofErr w:type="spellStart"/>
            <w:r w:rsidRPr="00BF38B7">
              <w:rPr>
                <w:rFonts w:ascii="Trebuchet MS" w:hAnsi="Trebuchet MS"/>
                <w:sz w:val="22"/>
                <w:szCs w:val="22"/>
                <w:lang w:eastAsia="en-GB"/>
              </w:rPr>
              <w:t>Event</w:t>
            </w:r>
            <w:proofErr w:type="spellEnd"/>
            <w:r w:rsidRPr="00BF38B7">
              <w:rPr>
                <w:rFonts w:ascii="Trebuchet MS" w:hAnsi="Trebuchet MS"/>
                <w:sz w:val="22"/>
                <w:szCs w:val="22"/>
                <w:lang w:eastAsia="en-GB"/>
              </w:rPr>
              <w:t xml:space="preserve"> </w:t>
            </w:r>
            <w:proofErr w:type="spellStart"/>
            <w:r w:rsidRPr="00BF38B7">
              <w:rPr>
                <w:rFonts w:ascii="Trebuchet MS" w:hAnsi="Trebuchet MS"/>
                <w:sz w:val="22"/>
                <w:szCs w:val="22"/>
                <w:lang w:eastAsia="en-GB"/>
              </w:rPr>
              <w:t>Receiver</w:t>
            </w:r>
            <w:proofErr w:type="spellEnd"/>
            <w:r w:rsidRPr="00BF38B7">
              <w:rPr>
                <w:rFonts w:ascii="Trebuchet MS" w:hAnsi="Trebuchet MS"/>
                <w:sz w:val="22"/>
                <w:szCs w:val="22"/>
                <w:lang w:eastAsia="en-GB"/>
              </w:rPr>
              <w:t xml:space="preserve"> </w:t>
            </w:r>
            <w:proofErr w:type="spellStart"/>
            <w:r w:rsidRPr="00BF38B7">
              <w:rPr>
                <w:rFonts w:ascii="Trebuchet MS" w:hAnsi="Trebuchet MS"/>
                <w:sz w:val="22"/>
                <w:szCs w:val="22"/>
                <w:lang w:eastAsia="en-GB"/>
              </w:rPr>
              <w:t>Combination</w:t>
            </w:r>
            <w:proofErr w:type="spellEnd"/>
            <w:r w:rsidRPr="00BF38B7">
              <w:rPr>
                <w:rFonts w:ascii="Trebuchet MS" w:hAnsi="Trebuchet MS"/>
                <w:sz w:val="22"/>
                <w:szCs w:val="22"/>
                <w:lang w:eastAsia="en-GB"/>
              </w:rPr>
              <w:t xml:space="preserve"> 6100 </w:t>
            </w:r>
            <w:r>
              <w:rPr>
                <w:rFonts w:ascii="Trebuchet MS" w:hAnsi="Trebuchet MS"/>
                <w:sz w:val="22"/>
                <w:szCs w:val="22"/>
                <w:lang w:eastAsia="en-GB"/>
              </w:rPr>
              <w:t>(</w:t>
            </w:r>
            <w:r w:rsidRPr="000A71E9">
              <w:rPr>
                <w:rFonts w:ascii="Trebuchet MS" w:hAnsi="Trebuchet MS"/>
                <w:sz w:val="22"/>
                <w:szCs w:val="22"/>
                <w:lang w:eastAsia="en-GB"/>
              </w:rPr>
              <w:t>ENMELM-6100</w:t>
            </w:r>
            <w:r>
              <w:rPr>
                <w:rFonts w:ascii="Trebuchet MS" w:hAnsi="Trebuchet MS"/>
                <w:sz w:val="22"/>
                <w:szCs w:val="22"/>
                <w:lang w:eastAsia="en-GB"/>
              </w:rPr>
              <w:t>)</w:t>
            </w:r>
            <w:r w:rsidRPr="00027E59">
              <w:rPr>
                <w:rFonts w:ascii="Trebuchet MS" w:hAnsi="Trebuchet MS"/>
                <w:sz w:val="22"/>
                <w:szCs w:val="22"/>
                <w:lang w:eastAsia="en-GB"/>
              </w:rPr>
              <w:t xml:space="preserve"> aparatinės ir programinės įrangos g</w:t>
            </w:r>
            <w:r w:rsidRPr="00027E59">
              <w:rPr>
                <w:rFonts w:ascii="Trebuchet MS" w:hAnsi="Trebuchet MS"/>
                <w:color w:val="000000"/>
                <w:sz w:val="22"/>
                <w:szCs w:val="22"/>
              </w:rPr>
              <w:t>amintojo garantijos ir garantinės priežiūros pratęsimo paslaugos</w:t>
            </w:r>
          </w:p>
        </w:tc>
        <w:tc>
          <w:tcPr>
            <w:tcW w:w="0" w:type="auto"/>
            <w:shd w:val="clear" w:color="auto" w:fill="FFFFFF"/>
            <w:vAlign w:val="center"/>
          </w:tcPr>
          <w:p w14:paraId="14380A95" w14:textId="37035FE1" w:rsidR="00381275" w:rsidRPr="00024ED7" w:rsidRDefault="00381275" w:rsidP="00381275">
            <w:pPr>
              <w:rPr>
                <w:rFonts w:ascii="Trebuchet MS" w:hAnsi="Trebuchet MS"/>
                <w:sz w:val="22"/>
                <w:szCs w:val="22"/>
              </w:rPr>
            </w:pPr>
            <w:r w:rsidRPr="00027E59">
              <w:rPr>
                <w:rFonts w:ascii="Trebuchet MS" w:hAnsi="Trebuchet MS"/>
                <w:sz w:val="22"/>
                <w:szCs w:val="22"/>
              </w:rPr>
              <w:t>vnt.</w:t>
            </w:r>
          </w:p>
        </w:tc>
        <w:tc>
          <w:tcPr>
            <w:tcW w:w="0" w:type="auto"/>
            <w:shd w:val="clear" w:color="auto" w:fill="FFFFFF"/>
            <w:vAlign w:val="center"/>
          </w:tcPr>
          <w:p w14:paraId="070A98CC" w14:textId="17821794" w:rsidR="00381275" w:rsidRPr="00024ED7" w:rsidRDefault="00381275" w:rsidP="00381275">
            <w:pPr>
              <w:rPr>
                <w:rFonts w:ascii="Trebuchet MS" w:hAnsi="Trebuchet MS"/>
                <w:sz w:val="22"/>
                <w:szCs w:val="22"/>
              </w:rPr>
            </w:pPr>
            <w:r w:rsidRPr="00027E59">
              <w:rPr>
                <w:rFonts w:ascii="Trebuchet MS" w:hAnsi="Trebuchet MS"/>
                <w:sz w:val="22"/>
                <w:szCs w:val="22"/>
              </w:rPr>
              <w:t>1</w:t>
            </w:r>
          </w:p>
        </w:tc>
        <w:tc>
          <w:tcPr>
            <w:tcW w:w="0" w:type="auto"/>
            <w:shd w:val="clear" w:color="auto" w:fill="FFFFFF"/>
            <w:tcMar>
              <w:left w:w="28" w:type="dxa"/>
              <w:right w:w="28" w:type="dxa"/>
            </w:tcMar>
            <w:vAlign w:val="center"/>
          </w:tcPr>
          <w:p w14:paraId="6648F563" w14:textId="2CA9BED4" w:rsidR="00381275" w:rsidRPr="00027E59" w:rsidRDefault="00381275" w:rsidP="00381275">
            <w:pPr>
              <w:rPr>
                <w:rFonts w:ascii="Trebuchet MS" w:hAnsi="Trebuchet MS"/>
                <w:sz w:val="22"/>
                <w:szCs w:val="22"/>
              </w:rPr>
            </w:pPr>
            <w:r w:rsidRPr="00024ED7">
              <w:rPr>
                <w:rFonts w:ascii="Trebuchet MS" w:hAnsi="Trebuchet MS"/>
                <w:sz w:val="22"/>
                <w:szCs w:val="22"/>
              </w:rPr>
              <w:t>36 mėnesiai</w:t>
            </w:r>
          </w:p>
        </w:tc>
        <w:tc>
          <w:tcPr>
            <w:tcW w:w="0" w:type="auto"/>
            <w:shd w:val="clear" w:color="auto" w:fill="FFFFFF"/>
          </w:tcPr>
          <w:p w14:paraId="17FAB707" w14:textId="77777777" w:rsidR="00381275" w:rsidRPr="00027E59" w:rsidRDefault="00381275" w:rsidP="00381275">
            <w:pPr>
              <w:rPr>
                <w:rFonts w:ascii="Trebuchet MS" w:hAnsi="Trebuchet MS"/>
                <w:sz w:val="22"/>
                <w:szCs w:val="22"/>
              </w:rPr>
            </w:pPr>
          </w:p>
        </w:tc>
      </w:tr>
      <w:tr w:rsidR="00381275" w:rsidRPr="00027E59" w14:paraId="5E3F1E91" w14:textId="77777777" w:rsidTr="00ED636E">
        <w:trPr>
          <w:cantSplit/>
          <w:trHeight w:val="240"/>
          <w:jc w:val="center"/>
        </w:trPr>
        <w:tc>
          <w:tcPr>
            <w:tcW w:w="0" w:type="auto"/>
            <w:tcMar>
              <w:left w:w="28" w:type="dxa"/>
              <w:right w:w="28" w:type="dxa"/>
            </w:tcMar>
          </w:tcPr>
          <w:p w14:paraId="6EB7C98A" w14:textId="77777777" w:rsidR="00381275" w:rsidRPr="00027E59" w:rsidRDefault="00381275" w:rsidP="00381275">
            <w:pPr>
              <w:widowControl w:val="0"/>
              <w:numPr>
                <w:ilvl w:val="0"/>
                <w:numId w:val="8"/>
              </w:numPr>
              <w:autoSpaceDE w:val="0"/>
              <w:autoSpaceDN w:val="0"/>
              <w:adjustRightInd w:val="0"/>
              <w:contextualSpacing/>
              <w:jc w:val="both"/>
              <w:rPr>
                <w:rFonts w:ascii="Trebuchet MS" w:hAnsi="Trebuchet MS"/>
              </w:rPr>
            </w:pPr>
          </w:p>
        </w:tc>
        <w:tc>
          <w:tcPr>
            <w:tcW w:w="0" w:type="auto"/>
            <w:shd w:val="clear" w:color="auto" w:fill="FFFFFF"/>
            <w:tcMar>
              <w:left w:w="28" w:type="dxa"/>
              <w:right w:w="28" w:type="dxa"/>
            </w:tcMar>
          </w:tcPr>
          <w:p w14:paraId="1BBBA075" w14:textId="77777777" w:rsidR="00381275" w:rsidRPr="00027E59" w:rsidRDefault="00381275" w:rsidP="00381275">
            <w:pPr>
              <w:tabs>
                <w:tab w:val="left" w:pos="567"/>
                <w:tab w:val="left" w:pos="851"/>
              </w:tabs>
              <w:rPr>
                <w:rFonts w:ascii="Trebuchet MS" w:hAnsi="Trebuchet MS"/>
                <w:sz w:val="22"/>
                <w:szCs w:val="22"/>
                <w:lang w:eastAsia="en-GB"/>
              </w:rPr>
            </w:pPr>
            <w:proofErr w:type="spellStart"/>
            <w:r w:rsidRPr="00324155">
              <w:rPr>
                <w:rFonts w:ascii="Trebuchet MS" w:hAnsi="Trebuchet MS"/>
                <w:sz w:val="22"/>
                <w:szCs w:val="22"/>
                <w:lang w:eastAsia="en-GB"/>
              </w:rPr>
              <w:t>Trellix</w:t>
            </w:r>
            <w:proofErr w:type="spellEnd"/>
            <w:r w:rsidRPr="00324155">
              <w:rPr>
                <w:rFonts w:ascii="Trebuchet MS" w:hAnsi="Trebuchet MS"/>
                <w:sz w:val="22"/>
                <w:szCs w:val="22"/>
                <w:lang w:eastAsia="en-GB"/>
              </w:rPr>
              <w:t xml:space="preserve"> </w:t>
            </w:r>
            <w:proofErr w:type="spellStart"/>
            <w:r w:rsidRPr="00324155">
              <w:rPr>
                <w:rFonts w:ascii="Trebuchet MS" w:hAnsi="Trebuchet MS"/>
                <w:sz w:val="22"/>
                <w:szCs w:val="22"/>
                <w:lang w:eastAsia="en-GB"/>
              </w:rPr>
              <w:t>Advanced</w:t>
            </w:r>
            <w:proofErr w:type="spellEnd"/>
            <w:r w:rsidRPr="00324155">
              <w:rPr>
                <w:rFonts w:ascii="Trebuchet MS" w:hAnsi="Trebuchet MS"/>
                <w:sz w:val="22"/>
                <w:szCs w:val="22"/>
                <w:lang w:eastAsia="en-GB"/>
              </w:rPr>
              <w:t xml:space="preserve"> </w:t>
            </w:r>
            <w:proofErr w:type="spellStart"/>
            <w:r w:rsidRPr="00324155">
              <w:rPr>
                <w:rFonts w:ascii="Trebuchet MS" w:hAnsi="Trebuchet MS"/>
                <w:sz w:val="22"/>
                <w:szCs w:val="22"/>
                <w:lang w:eastAsia="en-GB"/>
              </w:rPr>
              <w:t>Correlation</w:t>
            </w:r>
            <w:proofErr w:type="spellEnd"/>
            <w:r w:rsidRPr="00324155">
              <w:rPr>
                <w:rFonts w:ascii="Trebuchet MS" w:hAnsi="Trebuchet MS"/>
                <w:sz w:val="22"/>
                <w:szCs w:val="22"/>
                <w:lang w:eastAsia="en-GB"/>
              </w:rPr>
              <w:t xml:space="preserve"> </w:t>
            </w:r>
            <w:proofErr w:type="spellStart"/>
            <w:r w:rsidRPr="00324155">
              <w:rPr>
                <w:rFonts w:ascii="Trebuchet MS" w:hAnsi="Trebuchet MS"/>
                <w:sz w:val="22"/>
                <w:szCs w:val="22"/>
                <w:lang w:eastAsia="en-GB"/>
              </w:rPr>
              <w:t>Engine</w:t>
            </w:r>
            <w:proofErr w:type="spellEnd"/>
            <w:r w:rsidRPr="00324155">
              <w:rPr>
                <w:rFonts w:ascii="Trebuchet MS" w:hAnsi="Trebuchet MS"/>
                <w:sz w:val="22"/>
                <w:szCs w:val="22"/>
                <w:lang w:eastAsia="en-GB"/>
              </w:rPr>
              <w:t xml:space="preserve"> 3600 </w:t>
            </w:r>
            <w:r>
              <w:rPr>
                <w:rFonts w:ascii="Trebuchet MS" w:hAnsi="Trebuchet MS"/>
                <w:sz w:val="22"/>
                <w:szCs w:val="22"/>
                <w:lang w:eastAsia="en-GB"/>
              </w:rPr>
              <w:t>(</w:t>
            </w:r>
            <w:r w:rsidRPr="00B05FCE">
              <w:rPr>
                <w:rFonts w:ascii="Trebuchet MS" w:hAnsi="Trebuchet MS"/>
                <w:sz w:val="22"/>
                <w:szCs w:val="22"/>
                <w:lang w:eastAsia="en-GB"/>
              </w:rPr>
              <w:t>ACE-3600</w:t>
            </w:r>
            <w:r>
              <w:rPr>
                <w:rFonts w:ascii="Trebuchet MS" w:hAnsi="Trebuchet MS"/>
                <w:sz w:val="22"/>
                <w:szCs w:val="22"/>
                <w:lang w:eastAsia="en-GB"/>
              </w:rPr>
              <w:t>)</w:t>
            </w:r>
            <w:r w:rsidRPr="00027E59">
              <w:rPr>
                <w:rFonts w:ascii="Trebuchet MS" w:hAnsi="Trebuchet MS"/>
                <w:sz w:val="22"/>
                <w:szCs w:val="22"/>
                <w:lang w:eastAsia="en-GB"/>
              </w:rPr>
              <w:t xml:space="preserve"> aparatinės ir programinės įrangos </w:t>
            </w:r>
            <w:r w:rsidRPr="00027E59">
              <w:rPr>
                <w:rFonts w:ascii="Trebuchet MS" w:hAnsi="Trebuchet MS"/>
                <w:color w:val="000000"/>
                <w:sz w:val="22"/>
                <w:szCs w:val="22"/>
              </w:rPr>
              <w:t>gamintojo garantijos ir garantinės priežiūros pratęsimo paslaugos</w:t>
            </w:r>
          </w:p>
        </w:tc>
        <w:tc>
          <w:tcPr>
            <w:tcW w:w="0" w:type="auto"/>
            <w:shd w:val="clear" w:color="auto" w:fill="FFFFFF"/>
            <w:vAlign w:val="center"/>
          </w:tcPr>
          <w:p w14:paraId="603DDCFD" w14:textId="74CF3E43" w:rsidR="00381275" w:rsidRPr="00024ED7" w:rsidRDefault="00381275" w:rsidP="00381275">
            <w:pPr>
              <w:rPr>
                <w:rFonts w:ascii="Trebuchet MS" w:hAnsi="Trebuchet MS"/>
                <w:sz w:val="22"/>
                <w:szCs w:val="22"/>
              </w:rPr>
            </w:pPr>
            <w:r w:rsidRPr="00027E59">
              <w:rPr>
                <w:rFonts w:ascii="Trebuchet MS" w:hAnsi="Trebuchet MS"/>
                <w:sz w:val="22"/>
                <w:szCs w:val="22"/>
              </w:rPr>
              <w:t>vnt.</w:t>
            </w:r>
          </w:p>
        </w:tc>
        <w:tc>
          <w:tcPr>
            <w:tcW w:w="0" w:type="auto"/>
            <w:shd w:val="clear" w:color="auto" w:fill="FFFFFF"/>
            <w:vAlign w:val="center"/>
          </w:tcPr>
          <w:p w14:paraId="2502136E" w14:textId="4D9484B4" w:rsidR="00381275" w:rsidRPr="00024ED7" w:rsidRDefault="00381275" w:rsidP="00381275">
            <w:pPr>
              <w:rPr>
                <w:rFonts w:ascii="Trebuchet MS" w:hAnsi="Trebuchet MS"/>
                <w:sz w:val="22"/>
                <w:szCs w:val="22"/>
              </w:rPr>
            </w:pPr>
            <w:r w:rsidRPr="00027E59">
              <w:rPr>
                <w:rFonts w:ascii="Trebuchet MS" w:hAnsi="Trebuchet MS"/>
                <w:sz w:val="22"/>
                <w:szCs w:val="22"/>
              </w:rPr>
              <w:t>1</w:t>
            </w:r>
          </w:p>
        </w:tc>
        <w:tc>
          <w:tcPr>
            <w:tcW w:w="0" w:type="auto"/>
            <w:shd w:val="clear" w:color="auto" w:fill="FFFFFF"/>
            <w:tcMar>
              <w:left w:w="28" w:type="dxa"/>
              <w:right w:w="28" w:type="dxa"/>
            </w:tcMar>
            <w:vAlign w:val="center"/>
          </w:tcPr>
          <w:p w14:paraId="0BFC6314" w14:textId="3C946C0D" w:rsidR="00381275" w:rsidRPr="00027E59" w:rsidRDefault="00381275" w:rsidP="00381275">
            <w:pPr>
              <w:rPr>
                <w:rFonts w:ascii="Trebuchet MS" w:hAnsi="Trebuchet MS"/>
                <w:sz w:val="22"/>
                <w:szCs w:val="22"/>
              </w:rPr>
            </w:pPr>
            <w:r w:rsidRPr="00024ED7">
              <w:rPr>
                <w:rFonts w:ascii="Trebuchet MS" w:hAnsi="Trebuchet MS"/>
                <w:sz w:val="22"/>
                <w:szCs w:val="22"/>
              </w:rPr>
              <w:t>36 mėnesiai</w:t>
            </w:r>
          </w:p>
        </w:tc>
        <w:tc>
          <w:tcPr>
            <w:tcW w:w="0" w:type="auto"/>
            <w:shd w:val="clear" w:color="auto" w:fill="FFFFFF"/>
          </w:tcPr>
          <w:p w14:paraId="6C71A11F" w14:textId="77777777" w:rsidR="00381275" w:rsidRPr="00027E59" w:rsidRDefault="00381275" w:rsidP="00381275">
            <w:pPr>
              <w:rPr>
                <w:rFonts w:ascii="Trebuchet MS" w:hAnsi="Trebuchet MS"/>
                <w:sz w:val="22"/>
                <w:szCs w:val="22"/>
              </w:rPr>
            </w:pPr>
          </w:p>
        </w:tc>
      </w:tr>
      <w:tr w:rsidR="00381275" w:rsidRPr="00027E59" w14:paraId="4EF9BAB9" w14:textId="77777777" w:rsidTr="00681C70">
        <w:trPr>
          <w:cantSplit/>
          <w:trHeight w:val="240"/>
          <w:jc w:val="center"/>
        </w:trPr>
        <w:tc>
          <w:tcPr>
            <w:tcW w:w="0" w:type="auto"/>
            <w:gridSpan w:val="5"/>
          </w:tcPr>
          <w:p w14:paraId="66198EF4" w14:textId="5BB01B3B" w:rsidR="00381275" w:rsidRPr="00024ED7" w:rsidRDefault="00381275" w:rsidP="00B560C0">
            <w:pPr>
              <w:jc w:val="right"/>
              <w:rPr>
                <w:rFonts w:ascii="Trebuchet MS" w:hAnsi="Trebuchet MS"/>
                <w:sz w:val="22"/>
                <w:szCs w:val="22"/>
              </w:rPr>
            </w:pPr>
            <w:bookmarkStart w:id="4" w:name="_GoBack" w:colFirst="0" w:colLast="0"/>
            <w:r w:rsidRPr="00027E59">
              <w:rPr>
                <w:rFonts w:ascii="Trebuchet MS" w:eastAsia="MS Mincho" w:hAnsi="Trebuchet MS"/>
                <w:sz w:val="22"/>
                <w:szCs w:val="22"/>
                <w:lang w:eastAsia="ja-JP"/>
              </w:rPr>
              <w:t>KONKURSO pasiūlymo kaina: eil. Nr.</w:t>
            </w:r>
            <w:r w:rsidRPr="00027E59">
              <w:rPr>
                <w:rFonts w:ascii="Trebuchet MS" w:eastAsia="MS Mincho" w:hAnsi="Trebuchet MS"/>
                <w:sz w:val="22"/>
                <w:szCs w:val="22"/>
                <w:lang w:val="en-US" w:eastAsia="ja-JP"/>
              </w:rPr>
              <w:t xml:space="preserve">1 ir 2 </w:t>
            </w:r>
            <w:proofErr w:type="spellStart"/>
            <w:r>
              <w:rPr>
                <w:rFonts w:ascii="Trebuchet MS" w:eastAsia="MS Mincho" w:hAnsi="Trebuchet MS"/>
                <w:sz w:val="22"/>
                <w:szCs w:val="22"/>
                <w:lang w:val="en-US" w:eastAsia="ja-JP"/>
              </w:rPr>
              <w:t>suma</w:t>
            </w:r>
            <w:proofErr w:type="spellEnd"/>
            <w:r>
              <w:rPr>
                <w:rFonts w:ascii="Trebuchet MS" w:eastAsia="MS Mincho" w:hAnsi="Trebuchet MS"/>
                <w:sz w:val="22"/>
                <w:szCs w:val="22"/>
                <w:lang w:val="en-US" w:eastAsia="ja-JP"/>
              </w:rPr>
              <w:t xml:space="preserve"> </w:t>
            </w:r>
            <w:proofErr w:type="spellStart"/>
            <w:r>
              <w:rPr>
                <w:rFonts w:ascii="Trebuchet MS" w:eastAsia="MS Mincho" w:hAnsi="Trebuchet MS"/>
                <w:sz w:val="22"/>
                <w:szCs w:val="22"/>
                <w:lang w:val="en-US" w:eastAsia="ja-JP"/>
              </w:rPr>
              <w:t>eurais</w:t>
            </w:r>
            <w:proofErr w:type="spellEnd"/>
            <w:r w:rsidRPr="00027E59">
              <w:rPr>
                <w:rFonts w:ascii="Trebuchet MS" w:eastAsia="MS Mincho" w:hAnsi="Trebuchet MS"/>
                <w:sz w:val="22"/>
                <w:szCs w:val="22"/>
                <w:lang w:eastAsia="ja-JP"/>
              </w:rPr>
              <w:t xml:space="preserve"> (PVM netaikomas):</w:t>
            </w:r>
          </w:p>
        </w:tc>
        <w:tc>
          <w:tcPr>
            <w:tcW w:w="0" w:type="auto"/>
            <w:shd w:val="clear" w:color="auto" w:fill="FFFFFF"/>
          </w:tcPr>
          <w:p w14:paraId="7D8E1648" w14:textId="77777777" w:rsidR="00381275" w:rsidRPr="00027E59" w:rsidRDefault="00381275" w:rsidP="00E55CB3">
            <w:pPr>
              <w:rPr>
                <w:rFonts w:ascii="Trebuchet MS" w:hAnsi="Trebuchet MS"/>
                <w:sz w:val="22"/>
                <w:szCs w:val="22"/>
              </w:rPr>
            </w:pPr>
          </w:p>
        </w:tc>
      </w:tr>
      <w:bookmarkEnd w:id="4"/>
    </w:tbl>
    <w:p w14:paraId="7B1FACEE" w14:textId="77777777" w:rsidR="00B560C0" w:rsidRDefault="00B560C0" w:rsidP="00B560C0">
      <w:pPr>
        <w:ind w:firstLine="567"/>
        <w:jc w:val="both"/>
        <w:rPr>
          <w:rFonts w:ascii="Trebuchet MS" w:hAnsi="Trebuchet MS"/>
          <w:color w:val="000000"/>
          <w:sz w:val="22"/>
          <w:szCs w:val="22"/>
        </w:rPr>
      </w:pPr>
    </w:p>
    <w:p w14:paraId="3B5DCA80" w14:textId="53FE24CD" w:rsidR="00C04C43" w:rsidRPr="00C04C43" w:rsidRDefault="00C04C43" w:rsidP="00B560C0">
      <w:pPr>
        <w:ind w:firstLine="567"/>
        <w:jc w:val="both"/>
        <w:rPr>
          <w:rFonts w:ascii="Trebuchet MS" w:hAnsi="Trebuchet MS"/>
          <w:i/>
          <w:sz w:val="22"/>
          <w:szCs w:val="22"/>
        </w:rPr>
      </w:pPr>
      <w:r w:rsidRPr="00C04C43">
        <w:rPr>
          <w:rFonts w:ascii="Trebuchet MS" w:hAnsi="Trebuchet MS"/>
          <w:i/>
          <w:sz w:val="22"/>
          <w:szCs w:val="22"/>
        </w:rPr>
        <w:t xml:space="preserve">PASTABA: </w:t>
      </w:r>
      <w:r w:rsidR="00B560C0" w:rsidRPr="00B560C0">
        <w:rPr>
          <w:rFonts w:ascii="Trebuchet MS" w:hAnsi="Trebuchet MS"/>
          <w:i/>
          <w:sz w:val="22"/>
          <w:szCs w:val="22"/>
        </w:rPr>
        <w:t>Bendra pasiūlymo kaina turi būti nurodoma dviejų skaičių po kablelio tikslumu. Šią kainą sudarančios kainos sudedamosios dalys gali būti išreikštos neribojant skaičių po kablelio kiekio.</w:t>
      </w:r>
    </w:p>
    <w:p w14:paraId="08C84437" w14:textId="77777777" w:rsidR="00015CD6" w:rsidRPr="00CD734B" w:rsidRDefault="00015CD6" w:rsidP="00015CD6">
      <w:pPr>
        <w:jc w:val="both"/>
        <w:rPr>
          <w:sz w:val="20"/>
          <w:szCs w:val="20"/>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116F46E4"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t xml:space="preserve">Tuo atveju, jeigu mūsų pasiūlymas būtų priimtas, </w:t>
      </w:r>
      <w:r w:rsidR="0082518F" w:rsidRPr="0082518F">
        <w:t>Pirkėjui</w:t>
      </w:r>
      <w:r w:rsidRPr="0082518F">
        <w:t xml:space="preserve"> pareikalavus įsipareigojame kuo greičiau pasirašyti </w:t>
      </w:r>
      <w:r w:rsidR="00B560C0">
        <w:t>S</w:t>
      </w:r>
      <w:r w:rsidRPr="0082518F">
        <w:t xml:space="preserve">utartį atitinkančią </w:t>
      </w:r>
      <w:r w:rsidR="0082518F" w:rsidRPr="0082518F">
        <w:t xml:space="preserve">Pirkimo sąlygų </w:t>
      </w:r>
      <w:r w:rsidRPr="0082518F">
        <w:t xml:space="preserve">reikalavimus, ir pradėti </w:t>
      </w:r>
      <w:r w:rsidR="00955297" w:rsidRPr="00E8170A">
        <w:t>P</w:t>
      </w:r>
      <w:r w:rsidR="00E8170A" w:rsidRPr="00E8170A">
        <w:t>aslaugų</w:t>
      </w:r>
      <w:r w:rsidR="00955297" w:rsidRPr="00E8170A">
        <w:t xml:space="preserve"> te</w:t>
      </w:r>
      <w:r w:rsidR="00E8170A" w:rsidRPr="00E8170A">
        <w:t>i</w:t>
      </w:r>
      <w:r w:rsidR="00955297" w:rsidRPr="00E8170A">
        <w:t>kimą</w:t>
      </w:r>
      <w:r w:rsidRPr="00E8170A">
        <w:t>.</w:t>
      </w: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ar bet kokio jo elemento atžvilgiu nėra jokių neįvykdytų trečiųjų šalių teisių, įskaitant, bet</w:t>
      </w:r>
      <w:r w:rsidRPr="0082518F">
        <w:t xml:space="preserve"> neatsiribojant nuoma, panauda ir kt.</w:t>
      </w:r>
    </w:p>
    <w:p w14:paraId="7A650CF4" w14:textId="5BEDB1DC" w:rsidR="009B5D8E" w:rsidRPr="00187998" w:rsidRDefault="009B5D8E" w:rsidP="004326F1">
      <w:pPr>
        <w:pStyle w:val="Sraopastraipa"/>
        <w:numPr>
          <w:ilvl w:val="1"/>
          <w:numId w:val="5"/>
        </w:numPr>
        <w:tabs>
          <w:tab w:val="left" w:pos="1134"/>
        </w:tabs>
        <w:ind w:left="0" w:firstLine="567"/>
        <w:contextualSpacing w:val="0"/>
        <w:jc w:val="both"/>
      </w:pPr>
      <w:r w:rsidRPr="0082518F">
        <w:t xml:space="preserve">Patvirtiname, kad kol bus parengta ir sudaryta oficiali </w:t>
      </w:r>
      <w:r w:rsidR="00B560C0">
        <w:t>S</w:t>
      </w:r>
      <w:r w:rsidRPr="0082518F">
        <w:t xml:space="preserve">utartis, šis pasiūlymas su </w:t>
      </w:r>
      <w:r w:rsidR="0082518F" w:rsidRPr="0082518F">
        <w:t>Pirkėjo</w:t>
      </w:r>
      <w:r w:rsidRPr="0082518F">
        <w:t xml:space="preserve"> raštu pateiktu pasiūlymo akceptavimu galioja kaip įpareigojanti </w:t>
      </w:r>
      <w:r w:rsidR="00B560C0" w:rsidRPr="0082518F">
        <w:t>Sutartis</w:t>
      </w:r>
      <w:r w:rsidRPr="0082518F">
        <w:t>.</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381275" w:rsidRPr="00381275">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41C0021"/>
    <w:multiLevelType w:val="hybridMultilevel"/>
    <w:tmpl w:val="88F8F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8"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25C0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A2F"/>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6624"/>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1275"/>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04BE"/>
    <w:rsid w:val="00552DA2"/>
    <w:rsid w:val="00554BDB"/>
    <w:rsid w:val="0055790E"/>
    <w:rsid w:val="00560AA8"/>
    <w:rsid w:val="00562287"/>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4843"/>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6955"/>
    <w:rsid w:val="00B270D8"/>
    <w:rsid w:val="00B27B22"/>
    <w:rsid w:val="00B34610"/>
    <w:rsid w:val="00B35136"/>
    <w:rsid w:val="00B35607"/>
    <w:rsid w:val="00B37B93"/>
    <w:rsid w:val="00B4018F"/>
    <w:rsid w:val="00B437B6"/>
    <w:rsid w:val="00B47B47"/>
    <w:rsid w:val="00B560C0"/>
    <w:rsid w:val="00B5654B"/>
    <w:rsid w:val="00B57E5C"/>
    <w:rsid w:val="00B64E66"/>
    <w:rsid w:val="00B6574B"/>
    <w:rsid w:val="00B70C5F"/>
    <w:rsid w:val="00B71222"/>
    <w:rsid w:val="00B72CE0"/>
    <w:rsid w:val="00B7336A"/>
    <w:rsid w:val="00B772C9"/>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4C43"/>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3AD"/>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683</Words>
  <Characters>4751</Characters>
  <Application>Microsoft Office Word</Application>
  <DocSecurity>0</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5424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Gintaras Kurauskas</cp:lastModifiedBy>
  <cp:revision>26</cp:revision>
  <cp:lastPrinted>2017-10-10T06:03:00Z</cp:lastPrinted>
  <dcterms:created xsi:type="dcterms:W3CDTF">2025-06-21T08:09:00Z</dcterms:created>
  <dcterms:modified xsi:type="dcterms:W3CDTF">2025-11-21T12:32:00Z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