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5578EB77" w:rsidR="003969E1" w:rsidRPr="006C74A2" w:rsidRDefault="007D2C2F" w:rsidP="007D2C2F">
      <w:pPr>
        <w:shd w:val="clear" w:color="auto" w:fill="FFFFFF"/>
        <w:jc w:val="right"/>
        <w:rPr>
          <w:i/>
          <w:sz w:val="20"/>
        </w:rPr>
      </w:pPr>
      <w:r w:rsidRPr="006C74A2">
        <w:rPr>
          <w:bCs/>
          <w:i/>
          <w:color w:val="000000" w:themeColor="text1"/>
          <w:sz w:val="20"/>
        </w:rPr>
        <w:t>2 SPS priedas</w:t>
      </w:r>
    </w:p>
    <w:p w14:paraId="0DF472CB" w14:textId="19EFBC6C"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r w:rsidR="00646D84" w:rsidRPr="006C74A2">
        <w:rPr>
          <w:caps/>
          <w:color w:val="FF0000"/>
          <w:szCs w:val="24"/>
        </w:rPr>
        <w:t>(projektas)</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115"/>
        <w:gridCol w:w="2325"/>
        <w:gridCol w:w="2493"/>
      </w:tblGrid>
      <w:tr w:rsidR="00EE3697" w:rsidRPr="006C74A2" w14:paraId="1A896C4C" w14:textId="77777777" w:rsidTr="00EE3697">
        <w:tc>
          <w:tcPr>
            <w:tcW w:w="244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7110" w:type="dxa"/>
            <w:gridSpan w:val="3"/>
          </w:tcPr>
          <w:p w14:paraId="24AE4128" w14:textId="77777777" w:rsidR="005F6B4C" w:rsidRPr="006C74A2" w:rsidRDefault="005F6B4C" w:rsidP="005F6B4C">
            <w:pPr>
              <w:jc w:val="center"/>
              <w:rPr>
                <w:b/>
                <w:kern w:val="2"/>
                <w:szCs w:val="24"/>
              </w:rPr>
            </w:pPr>
            <w:r w:rsidRPr="006C74A2">
              <w:rPr>
                <w:b/>
                <w:kern w:val="2"/>
                <w:szCs w:val="24"/>
              </w:rPr>
              <w:t>Pirkimo pavadinimas</w:t>
            </w:r>
          </w:p>
          <w:p w14:paraId="6338F12E" w14:textId="1B81D6DF" w:rsidR="00EE3697" w:rsidRPr="006C74A2" w:rsidRDefault="00D20EE8" w:rsidP="00EF2BB2">
            <w:pPr>
              <w:jc w:val="center"/>
              <w:rPr>
                <w:b/>
                <w:kern w:val="2"/>
                <w:szCs w:val="24"/>
              </w:rPr>
            </w:pPr>
            <w:r w:rsidRPr="006C74A2">
              <w:rPr>
                <w:b/>
                <w:kern w:val="2"/>
                <w:szCs w:val="24"/>
              </w:rPr>
              <w:t xml:space="preserve">„Vienkartinės medicinos pagalbos priemonės </w:t>
            </w:r>
            <w:proofErr w:type="spellStart"/>
            <w:r w:rsidRPr="006C74A2">
              <w:rPr>
                <w:b/>
                <w:kern w:val="2"/>
                <w:szCs w:val="24"/>
              </w:rPr>
              <w:t>Anesteziologijos</w:t>
            </w:r>
            <w:proofErr w:type="spellEnd"/>
            <w:r w:rsidRPr="006C74A2">
              <w:rPr>
                <w:b/>
                <w:kern w:val="2"/>
                <w:szCs w:val="24"/>
              </w:rPr>
              <w:t xml:space="preserve"> ir Reanimatologijos centre atliekamoms procedūroms (III d.), 9379” </w:t>
            </w:r>
          </w:p>
        </w:tc>
      </w:tr>
      <w:tr w:rsidR="00EE3697" w:rsidRPr="006C74A2" w14:paraId="7F58A8A7" w14:textId="77777777" w:rsidTr="00EE3697">
        <w:tc>
          <w:tcPr>
            <w:tcW w:w="244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77" w:type="dxa"/>
          </w:tcPr>
          <w:p w14:paraId="65CDB9CC" w14:textId="77777777" w:rsidR="00EE3697" w:rsidRPr="006C74A2" w:rsidRDefault="00EE3697" w:rsidP="00EE3697">
            <w:pPr>
              <w:jc w:val="both"/>
              <w:rPr>
                <w:kern w:val="2"/>
                <w:szCs w:val="24"/>
              </w:rPr>
            </w:pPr>
          </w:p>
        </w:tc>
        <w:tc>
          <w:tcPr>
            <w:tcW w:w="2362"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571"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4D7DCC5F" w:rsidR="00EE3697" w:rsidRPr="006C74A2" w:rsidRDefault="00EE3697" w:rsidP="00EE3697">
            <w:pPr>
              <w:jc w:val="center"/>
              <w:rPr>
                <w:kern w:val="2"/>
                <w:szCs w:val="24"/>
              </w:rPr>
            </w:pPr>
            <w:r w:rsidRPr="006C74A2">
              <w:rPr>
                <w:szCs w:val="24"/>
              </w:rPr>
              <w:t>Santariškių g. 2, LT-</w:t>
            </w:r>
            <w:r w:rsidR="006C0EBF" w:rsidRPr="006C0EBF">
              <w:rPr>
                <w:szCs w:val="24"/>
              </w:rPr>
              <w:t>08406</w:t>
            </w:r>
            <w:bookmarkStart w:id="0" w:name="_GoBack"/>
            <w:bookmarkEnd w:id="0"/>
            <w:r w:rsidRPr="006C74A2">
              <w:rPr>
                <w:szCs w:val="24"/>
              </w:rPr>
              <w:t xml:space="preserve"> 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274B0516" w:rsidR="00EE3697" w:rsidRPr="006C74A2" w:rsidRDefault="00EE3697" w:rsidP="00EE3697">
            <w:pPr>
              <w:jc w:val="center"/>
              <w:rPr>
                <w:kern w:val="2"/>
                <w:szCs w:val="24"/>
              </w:rPr>
            </w:pPr>
            <w:r w:rsidRPr="006C74A2">
              <w:rPr>
                <w:szCs w:val="24"/>
              </w:rPr>
              <w:t>(8 5) 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401327" w:rsidRPr="006C74A2" w14:paraId="2B72571A" w14:textId="77777777" w:rsidTr="00401327">
        <w:tc>
          <w:tcPr>
            <w:tcW w:w="2775" w:type="dxa"/>
            <w:vMerge w:val="restart"/>
            <w:tcBorders>
              <w:right w:val="single" w:sz="4" w:space="0" w:color="auto"/>
            </w:tcBorders>
          </w:tcPr>
          <w:p w14:paraId="7370AF42" w14:textId="77777777" w:rsidR="00401327" w:rsidRPr="006C74A2" w:rsidRDefault="00401327" w:rsidP="00401327">
            <w:pPr>
              <w:rPr>
                <w:b/>
                <w:bCs/>
                <w:kern w:val="2"/>
                <w:szCs w:val="24"/>
              </w:rPr>
            </w:pPr>
          </w:p>
          <w:p w14:paraId="450071B6" w14:textId="77777777" w:rsidR="00401327" w:rsidRPr="006C74A2" w:rsidRDefault="00401327" w:rsidP="00401327">
            <w:pPr>
              <w:rPr>
                <w:b/>
                <w:bCs/>
                <w:kern w:val="2"/>
                <w:szCs w:val="24"/>
              </w:rPr>
            </w:pPr>
          </w:p>
          <w:p w14:paraId="3D171AF9" w14:textId="77777777" w:rsidR="00401327" w:rsidRPr="006C74A2" w:rsidRDefault="00401327" w:rsidP="00401327">
            <w:pPr>
              <w:rPr>
                <w:b/>
                <w:bCs/>
                <w:kern w:val="2"/>
                <w:szCs w:val="24"/>
              </w:rPr>
            </w:pPr>
          </w:p>
          <w:p w14:paraId="3A72A3B7" w14:textId="77777777" w:rsidR="00401327" w:rsidRPr="006C74A2" w:rsidRDefault="00401327" w:rsidP="00401327">
            <w:pPr>
              <w:rPr>
                <w:b/>
                <w:bCs/>
                <w:kern w:val="2"/>
                <w:szCs w:val="24"/>
              </w:rPr>
            </w:pPr>
            <w:r w:rsidRPr="006C74A2">
              <w:rPr>
                <w:b/>
                <w:bCs/>
                <w:kern w:val="2"/>
                <w:szCs w:val="24"/>
              </w:rPr>
              <w:t>1.2. Tiekėjas</w:t>
            </w:r>
          </w:p>
          <w:p w14:paraId="152453B9"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6C74A2" w:rsidRDefault="00401327" w:rsidP="00401327">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6C74A2" w:rsidRDefault="00401327" w:rsidP="00401327">
            <w:pPr>
              <w:jc w:val="center"/>
              <w:rPr>
                <w:kern w:val="2"/>
                <w:szCs w:val="24"/>
              </w:rPr>
            </w:pPr>
            <w:r w:rsidRPr="006C74A2">
              <w:rPr>
                <w:color w:val="C00000"/>
                <w:szCs w:val="24"/>
              </w:rPr>
              <w:t>[įrašyti]</w:t>
            </w:r>
          </w:p>
        </w:tc>
      </w:tr>
      <w:tr w:rsidR="00401327" w:rsidRPr="006C74A2" w14:paraId="7F25D8D9" w14:textId="77777777" w:rsidTr="00401327">
        <w:tc>
          <w:tcPr>
            <w:tcW w:w="2775" w:type="dxa"/>
            <w:vMerge/>
            <w:tcBorders>
              <w:right w:val="single" w:sz="4" w:space="0" w:color="auto"/>
            </w:tcBorders>
          </w:tcPr>
          <w:p w14:paraId="5C845AF5"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6C74A2" w:rsidRDefault="00401327" w:rsidP="00401327">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6C74A2" w:rsidRDefault="00401327" w:rsidP="00401327">
            <w:pPr>
              <w:jc w:val="center"/>
              <w:rPr>
                <w:kern w:val="2"/>
                <w:szCs w:val="24"/>
              </w:rPr>
            </w:pPr>
            <w:r w:rsidRPr="006C74A2">
              <w:rPr>
                <w:color w:val="C00000"/>
                <w:szCs w:val="24"/>
              </w:rPr>
              <w:t>[įrašyti]</w:t>
            </w:r>
          </w:p>
        </w:tc>
      </w:tr>
      <w:tr w:rsidR="00401327" w:rsidRPr="006C74A2" w14:paraId="41B530B4" w14:textId="77777777" w:rsidTr="00401327">
        <w:tc>
          <w:tcPr>
            <w:tcW w:w="2775" w:type="dxa"/>
            <w:vMerge/>
            <w:tcBorders>
              <w:right w:val="single" w:sz="4" w:space="0" w:color="auto"/>
            </w:tcBorders>
          </w:tcPr>
          <w:p w14:paraId="69FCF59D"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6C74A2" w:rsidRDefault="00401327" w:rsidP="00401327">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6C74A2" w:rsidRDefault="00401327" w:rsidP="00401327">
            <w:pPr>
              <w:jc w:val="center"/>
              <w:rPr>
                <w:kern w:val="2"/>
                <w:szCs w:val="24"/>
              </w:rPr>
            </w:pPr>
            <w:r w:rsidRPr="006C74A2">
              <w:rPr>
                <w:color w:val="C00000"/>
                <w:szCs w:val="24"/>
              </w:rPr>
              <w:t>[įrašyti]</w:t>
            </w:r>
          </w:p>
        </w:tc>
      </w:tr>
      <w:tr w:rsidR="00401327" w:rsidRPr="006C74A2" w14:paraId="0C36D6C3" w14:textId="77777777" w:rsidTr="00401327">
        <w:tc>
          <w:tcPr>
            <w:tcW w:w="2775" w:type="dxa"/>
            <w:vMerge/>
            <w:tcBorders>
              <w:right w:val="single" w:sz="4" w:space="0" w:color="auto"/>
            </w:tcBorders>
          </w:tcPr>
          <w:p w14:paraId="5F1A3883"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6C74A2" w:rsidRDefault="00401327" w:rsidP="00401327">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6C74A2" w:rsidRDefault="00401327" w:rsidP="00401327">
            <w:pPr>
              <w:jc w:val="center"/>
              <w:rPr>
                <w:kern w:val="2"/>
                <w:szCs w:val="24"/>
              </w:rPr>
            </w:pPr>
            <w:r w:rsidRPr="006C74A2">
              <w:rPr>
                <w:color w:val="C00000"/>
                <w:szCs w:val="24"/>
              </w:rPr>
              <w:t>[įrašyti]</w:t>
            </w:r>
          </w:p>
        </w:tc>
      </w:tr>
      <w:tr w:rsidR="00401327" w:rsidRPr="006C74A2" w14:paraId="64954E64" w14:textId="77777777" w:rsidTr="00401327">
        <w:tc>
          <w:tcPr>
            <w:tcW w:w="2775" w:type="dxa"/>
            <w:vMerge/>
            <w:tcBorders>
              <w:right w:val="single" w:sz="4" w:space="0" w:color="auto"/>
            </w:tcBorders>
          </w:tcPr>
          <w:p w14:paraId="2ED9A11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6C74A2" w:rsidRDefault="00401327" w:rsidP="00401327">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6C74A2" w:rsidRDefault="00401327" w:rsidP="00401327">
            <w:pPr>
              <w:jc w:val="center"/>
              <w:rPr>
                <w:kern w:val="2"/>
                <w:szCs w:val="24"/>
              </w:rPr>
            </w:pPr>
            <w:r w:rsidRPr="006C74A2">
              <w:rPr>
                <w:color w:val="C00000"/>
                <w:szCs w:val="24"/>
              </w:rPr>
              <w:t>[įrašyti]</w:t>
            </w:r>
          </w:p>
        </w:tc>
      </w:tr>
      <w:tr w:rsidR="00401327" w:rsidRPr="006C74A2" w14:paraId="7EE00E85" w14:textId="77777777" w:rsidTr="00401327">
        <w:tc>
          <w:tcPr>
            <w:tcW w:w="2775" w:type="dxa"/>
            <w:vMerge/>
            <w:tcBorders>
              <w:right w:val="single" w:sz="4" w:space="0" w:color="auto"/>
            </w:tcBorders>
          </w:tcPr>
          <w:p w14:paraId="4EED3742"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6C74A2" w:rsidRDefault="00401327" w:rsidP="00401327">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6C74A2" w:rsidRDefault="00401327" w:rsidP="00401327">
            <w:pPr>
              <w:jc w:val="center"/>
              <w:rPr>
                <w:kern w:val="2"/>
                <w:szCs w:val="24"/>
              </w:rPr>
            </w:pPr>
            <w:r w:rsidRPr="006C74A2">
              <w:rPr>
                <w:color w:val="C00000"/>
                <w:szCs w:val="24"/>
              </w:rPr>
              <w:t>[įrašyti]</w:t>
            </w:r>
          </w:p>
        </w:tc>
      </w:tr>
      <w:tr w:rsidR="00401327" w:rsidRPr="006C74A2" w14:paraId="59CC7BE2" w14:textId="77777777" w:rsidTr="00401327">
        <w:tc>
          <w:tcPr>
            <w:tcW w:w="2775" w:type="dxa"/>
            <w:vMerge/>
            <w:tcBorders>
              <w:right w:val="single" w:sz="4" w:space="0" w:color="auto"/>
            </w:tcBorders>
          </w:tcPr>
          <w:p w14:paraId="749A0D5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6C74A2" w:rsidRDefault="00401327" w:rsidP="00401327">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6C74A2" w:rsidRDefault="00401327" w:rsidP="00401327">
            <w:pPr>
              <w:jc w:val="center"/>
              <w:rPr>
                <w:kern w:val="2"/>
                <w:szCs w:val="24"/>
              </w:rPr>
            </w:pPr>
            <w:r w:rsidRPr="006C74A2">
              <w:rPr>
                <w:color w:val="C00000"/>
                <w:szCs w:val="24"/>
              </w:rPr>
              <w:t>[įrašyti]</w:t>
            </w:r>
          </w:p>
        </w:tc>
      </w:tr>
      <w:tr w:rsidR="00401327" w:rsidRPr="006C74A2" w14:paraId="5E2C4F4D" w14:textId="77777777" w:rsidTr="00401327">
        <w:tc>
          <w:tcPr>
            <w:tcW w:w="2775" w:type="dxa"/>
            <w:vMerge/>
            <w:tcBorders>
              <w:right w:val="single" w:sz="4" w:space="0" w:color="auto"/>
            </w:tcBorders>
          </w:tcPr>
          <w:p w14:paraId="14B981E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6C74A2" w:rsidRDefault="00401327" w:rsidP="00401327">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6C74A2" w:rsidRDefault="00401327" w:rsidP="00401327">
            <w:pPr>
              <w:jc w:val="center"/>
              <w:rPr>
                <w:kern w:val="2"/>
                <w:szCs w:val="24"/>
              </w:rPr>
            </w:pPr>
            <w:r w:rsidRPr="006C74A2">
              <w:rPr>
                <w:color w:val="C00000"/>
                <w:szCs w:val="24"/>
              </w:rPr>
              <w:t>[įrašyti]</w:t>
            </w:r>
          </w:p>
        </w:tc>
      </w:tr>
      <w:tr w:rsidR="00401327" w:rsidRPr="006C74A2" w14:paraId="63752A7E" w14:textId="77777777" w:rsidTr="00401327">
        <w:tc>
          <w:tcPr>
            <w:tcW w:w="2775" w:type="dxa"/>
            <w:vMerge/>
            <w:tcBorders>
              <w:right w:val="single" w:sz="4" w:space="0" w:color="auto"/>
            </w:tcBorders>
          </w:tcPr>
          <w:p w14:paraId="64EB2D4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6C74A2" w:rsidRDefault="00401327" w:rsidP="00401327">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6C74A2" w:rsidRDefault="00401327" w:rsidP="00401327">
            <w:pPr>
              <w:jc w:val="center"/>
              <w:rPr>
                <w:kern w:val="2"/>
                <w:szCs w:val="24"/>
              </w:rPr>
            </w:pPr>
            <w:r w:rsidRPr="006C74A2">
              <w:rPr>
                <w:color w:val="C00000"/>
                <w:szCs w:val="24"/>
              </w:rPr>
              <w:t>[įrašyti]</w:t>
            </w:r>
          </w:p>
        </w:tc>
      </w:tr>
      <w:tr w:rsidR="00401327" w:rsidRPr="006C74A2" w14:paraId="5BA1E166" w14:textId="77777777" w:rsidTr="00401327">
        <w:tc>
          <w:tcPr>
            <w:tcW w:w="2775" w:type="dxa"/>
            <w:vMerge/>
            <w:tcBorders>
              <w:right w:val="single" w:sz="4" w:space="0" w:color="auto"/>
            </w:tcBorders>
          </w:tcPr>
          <w:p w14:paraId="20EC0136"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6C74A2" w:rsidRDefault="00401327" w:rsidP="00401327">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6C74A2" w:rsidRDefault="00401327" w:rsidP="00401327">
            <w:pPr>
              <w:jc w:val="center"/>
              <w:rPr>
                <w:kern w:val="2"/>
                <w:szCs w:val="24"/>
              </w:rPr>
            </w:pPr>
            <w:r w:rsidRPr="006C74A2">
              <w:rPr>
                <w:color w:val="C00000"/>
                <w:szCs w:val="24"/>
              </w:rPr>
              <w:t>[įrašyti]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6B3CF865" w:rsidR="00E02AE0" w:rsidRPr="006C74A2" w:rsidRDefault="00E02AE0" w:rsidP="00E02AE0">
            <w:pPr>
              <w:rPr>
                <w:b/>
                <w:bCs/>
                <w:kern w:val="2"/>
                <w:szCs w:val="24"/>
              </w:rPr>
            </w:pPr>
            <w:r w:rsidRPr="006C74A2">
              <w:rPr>
                <w:b/>
                <w:bCs/>
                <w:kern w:val="2"/>
                <w:szCs w:val="24"/>
              </w:rPr>
              <w:t>2.1. Pirkėjo kontaktiniai asmenys, atsakingi už Sutarties vykdymą, Prekių priėmimą, Sąskaitų per informacinę sistemą „E. sąskaita“ priėmimą</w:t>
            </w:r>
          </w:p>
        </w:tc>
        <w:tc>
          <w:tcPr>
            <w:tcW w:w="6831" w:type="dxa"/>
            <w:gridSpan w:val="2"/>
            <w:vAlign w:val="center"/>
          </w:tcPr>
          <w:p w14:paraId="35BE17D7" w14:textId="019907B0" w:rsidR="00E02AE0" w:rsidRPr="006C74A2" w:rsidRDefault="00E02AE0" w:rsidP="00E02AE0">
            <w:pPr>
              <w:pStyle w:val="a"/>
              <w:numPr>
                <w:ilvl w:val="0"/>
                <w:numId w:val="0"/>
              </w:numPr>
              <w:tabs>
                <w:tab w:val="left" w:pos="426"/>
              </w:tabs>
              <w:ind w:right="423"/>
              <w:rPr>
                <w:rStyle w:val="Hyperlink"/>
                <w:color w:val="auto"/>
                <w:kern w:val="2"/>
                <w:u w:val="none"/>
              </w:rPr>
            </w:pPr>
            <w:r w:rsidRPr="006C74A2">
              <w:rPr>
                <w:kern w:val="2"/>
              </w:rPr>
              <w:t>2.1.1. Už sutarties vykdymą ir prekių priėmimą atsakingas asmuo – Farmacinės veiklos skyriaus vyr. specialistė Dalė Vėžauskienė</w:t>
            </w:r>
            <w:r w:rsidRPr="006C74A2">
              <w:rPr>
                <w:iCs/>
              </w:rPr>
              <w:t xml:space="preserve">, tel. +370 69771760, </w:t>
            </w:r>
            <w:proofErr w:type="spellStart"/>
            <w:r w:rsidRPr="006C74A2">
              <w:rPr>
                <w:iCs/>
              </w:rPr>
              <w:t>dale.vezauskiene</w:t>
            </w:r>
            <w:proofErr w:type="spellEnd"/>
            <w:r w:rsidRPr="006C74A2">
              <w:fldChar w:fldCharType="begin"/>
            </w:r>
            <w:r w:rsidRPr="006C74A2">
              <w:instrText xml:space="preserve"> HYPERLINK "mailto:zbignevas.martiševskis@santa.lt" </w:instrText>
            </w:r>
            <w:r w:rsidRPr="006C74A2">
              <w:fldChar w:fldCharType="separate"/>
            </w:r>
            <w:r w:rsidRPr="006C74A2">
              <w:rPr>
                <w:rStyle w:val="Hyperlink"/>
                <w:iCs/>
                <w:lang w:val="en-US"/>
              </w:rPr>
              <w:t>@</w:t>
            </w:r>
            <w:proofErr w:type="spellStart"/>
            <w:r w:rsidRPr="006C74A2">
              <w:rPr>
                <w:rStyle w:val="Hyperlink"/>
                <w:iCs/>
                <w:lang w:val="en-US"/>
              </w:rPr>
              <w:t>santa.lt</w:t>
            </w:r>
            <w:proofErr w:type="spellEnd"/>
            <w:r w:rsidRPr="006C74A2">
              <w:rPr>
                <w:rStyle w:val="Hyperlink"/>
                <w:iCs/>
                <w:lang w:val="en-US"/>
              </w:rPr>
              <w:fldChar w:fldCharType="end"/>
            </w:r>
          </w:p>
          <w:p w14:paraId="58A57616" w14:textId="77777777" w:rsidR="00E02AE0" w:rsidRPr="006C74A2" w:rsidRDefault="00E02AE0" w:rsidP="00E02AE0">
            <w:pPr>
              <w:pStyle w:val="a"/>
              <w:numPr>
                <w:ilvl w:val="0"/>
                <w:numId w:val="0"/>
              </w:numPr>
              <w:tabs>
                <w:tab w:val="left" w:pos="426"/>
              </w:tabs>
              <w:ind w:right="423"/>
              <w:rPr>
                <w:rStyle w:val="Hyperlink"/>
                <w:color w:val="auto"/>
                <w:lang w:val="en-US"/>
              </w:rPr>
            </w:pPr>
          </w:p>
          <w:p w14:paraId="5D01861C" w14:textId="5EB001CE" w:rsidR="00E02AE0" w:rsidRPr="006C74A2" w:rsidRDefault="00E02AE0" w:rsidP="00E02AE0">
            <w:pPr>
              <w:jc w:val="both"/>
              <w:rPr>
                <w:color w:val="4472C4"/>
                <w:kern w:val="2"/>
                <w:szCs w:val="24"/>
              </w:rPr>
            </w:pPr>
            <w:r w:rsidRPr="006C74A2">
              <w:rPr>
                <w:kern w:val="2"/>
                <w:szCs w:val="24"/>
              </w:rPr>
              <w:t>2.1.2. Sąskaitų priėmimas: Finansinės apskaitos skyrius, tel. +370 5 236 5007.</w:t>
            </w:r>
          </w:p>
        </w:tc>
      </w:tr>
      <w:tr w:rsidR="00E02AE0" w:rsidRPr="006C74A2" w14:paraId="2415AF36" w14:textId="77777777" w:rsidTr="00EE3697">
        <w:trPr>
          <w:trHeight w:val="300"/>
        </w:trPr>
        <w:tc>
          <w:tcPr>
            <w:tcW w:w="2704" w:type="dxa"/>
            <w:gridSpan w:val="2"/>
          </w:tcPr>
          <w:p w14:paraId="19910678" w14:textId="77777777" w:rsidR="00E02AE0" w:rsidRPr="006C74A2" w:rsidRDefault="00E02AE0" w:rsidP="00E02AE0">
            <w:pPr>
              <w:rPr>
                <w:b/>
                <w:bCs/>
                <w:kern w:val="2"/>
                <w:szCs w:val="24"/>
              </w:rPr>
            </w:pPr>
            <w:r w:rsidRPr="006C74A2">
              <w:rPr>
                <w:b/>
                <w:bCs/>
                <w:kern w:val="2"/>
                <w:szCs w:val="24"/>
              </w:rPr>
              <w:lastRenderedPageBreak/>
              <w:t>2.2. Tiekėjo kontaktiniai asmenys, atsakingi už Sutarties vykdymą</w:t>
            </w:r>
          </w:p>
        </w:tc>
        <w:tc>
          <w:tcPr>
            <w:tcW w:w="6831" w:type="dxa"/>
            <w:gridSpan w:val="2"/>
          </w:tcPr>
          <w:p w14:paraId="6BB1EE73" w14:textId="42DD023F" w:rsidR="00E02AE0" w:rsidRPr="006C74A2" w:rsidRDefault="00E02AE0" w:rsidP="00E02AE0">
            <w:pPr>
              <w:rPr>
                <w:color w:val="4472C4"/>
                <w:kern w:val="2"/>
                <w:szCs w:val="24"/>
              </w:rPr>
            </w:pPr>
            <w:r w:rsidRPr="006C74A2">
              <w:rPr>
                <w:color w:val="C00000"/>
                <w:szCs w:val="24"/>
              </w:rPr>
              <w:t>[įrašyti]</w:t>
            </w: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795D2DEC" w:rsidR="00E02AE0" w:rsidRPr="006C74A2" w:rsidRDefault="00E02AE0" w:rsidP="00E02AE0">
            <w:pPr>
              <w:jc w:val="both"/>
              <w:rPr>
                <w:color w:val="000000"/>
                <w:kern w:val="2"/>
                <w:szCs w:val="24"/>
              </w:rPr>
            </w:pPr>
            <w:r w:rsidRPr="006C74A2">
              <w:rPr>
                <w:kern w:val="2"/>
                <w:szCs w:val="24"/>
              </w:rPr>
              <w:t xml:space="preserve">Tiekėjas įsipareigoja Sutartyje numatytomis sąlygomis perduoti </w:t>
            </w:r>
            <w:r w:rsidR="009E589E" w:rsidRPr="006C74A2">
              <w:rPr>
                <w:kern w:val="2"/>
                <w:szCs w:val="24"/>
              </w:rPr>
              <w:t xml:space="preserve">vienkartines medicinos pagalbos priemones </w:t>
            </w:r>
            <w:proofErr w:type="spellStart"/>
            <w:r w:rsidR="009E589E" w:rsidRPr="006C74A2">
              <w:rPr>
                <w:kern w:val="2"/>
                <w:szCs w:val="24"/>
              </w:rPr>
              <w:t>anesteziologijos</w:t>
            </w:r>
            <w:proofErr w:type="spellEnd"/>
            <w:r w:rsidR="009E589E" w:rsidRPr="006C74A2">
              <w:rPr>
                <w:kern w:val="2"/>
                <w:szCs w:val="24"/>
              </w:rPr>
              <w:t xml:space="preserve"> ir reanimatologijos centre atliekamoms procedūroms </w:t>
            </w:r>
            <w:r w:rsidRPr="006C74A2">
              <w:rPr>
                <w:kern w:val="2"/>
                <w:szCs w:val="24"/>
              </w:rPr>
              <w:t>(toliau – Prekės). Išsamus Prekių aprašymas ir kiti reikalavimai tiekiamoms Prekėms nustatyti Sutarties priede Nr. 1 „Techninė specifikacija ir įkainiai“ (toliau – Techninė specifikacija).</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13E25187" w:rsidR="00E02AE0" w:rsidRPr="006C74A2" w:rsidRDefault="00E02AE0" w:rsidP="00E02AE0">
            <w:pPr>
              <w:rPr>
                <w:kern w:val="2"/>
                <w:szCs w:val="24"/>
              </w:rPr>
            </w:pPr>
            <w:r w:rsidRPr="006C74A2">
              <w:rPr>
                <w:color w:val="000000"/>
                <w:szCs w:val="24"/>
              </w:rPr>
              <w:t xml:space="preserve">CVP IS Nr. </w:t>
            </w:r>
            <w:r w:rsidRPr="006C74A2">
              <w:rPr>
                <w:color w:val="C00000"/>
                <w:szCs w:val="24"/>
              </w:rPr>
              <w:t>[įrašyti]</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65C8E167" w14:textId="14FAD7C9" w:rsidR="002E3A58" w:rsidRPr="006C74A2" w:rsidRDefault="002E3A58" w:rsidP="002E3A58">
            <w:pPr>
              <w:rPr>
                <w:kern w:val="2"/>
                <w:szCs w:val="24"/>
              </w:rPr>
            </w:pPr>
            <w:r w:rsidRPr="006C74A2">
              <w:rPr>
                <w:kern w:val="2"/>
                <w:szCs w:val="24"/>
              </w:rPr>
              <w:t>Tiekėjas pagal atskirą užsakymą įsipareigoja pristatyti Prekes ne vėliau nei per 14 darbo dienų, o esant ypatingiems atvejams – per 5 darbo dienas. nuo užsakymo pateikimo dienos šiuo adresu</w:t>
            </w:r>
            <w:r w:rsidR="00E02AE0" w:rsidRPr="006C74A2">
              <w:rPr>
                <w:kern w:val="2"/>
                <w:szCs w:val="24"/>
              </w:rPr>
              <w:t>: VšĮ Vilniaus universiteto ligoninė Santaros klinikos, Santariškių g. 2, LT-08406 Vilnius.</w:t>
            </w: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4C649BA6" w14:textId="77777777" w:rsidR="00E02AE0" w:rsidRPr="006C74A2" w:rsidRDefault="00E02AE0" w:rsidP="00E02AE0">
            <w:pPr>
              <w:rPr>
                <w:kern w:val="2"/>
                <w:szCs w:val="24"/>
              </w:rPr>
            </w:pPr>
            <w:r w:rsidRPr="006C74A2">
              <w:rPr>
                <w:kern w:val="2"/>
                <w:szCs w:val="24"/>
              </w:rPr>
              <w:t>Netaikoma</w:t>
            </w:r>
          </w:p>
          <w:p w14:paraId="6EC0E56A" w14:textId="33D02F96" w:rsidR="00E02AE0" w:rsidRPr="006C74A2" w:rsidRDefault="00E02AE0" w:rsidP="00E02AE0">
            <w:pPr>
              <w:rPr>
                <w:kern w:val="2"/>
                <w:szCs w:val="24"/>
              </w:rPr>
            </w:pP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6C74A2" w:rsidRDefault="00E02AE0" w:rsidP="00E02AE0">
            <w:pPr>
              <w:rPr>
                <w:kern w:val="2"/>
                <w:szCs w:val="24"/>
              </w:rPr>
            </w:pPr>
            <w:r w:rsidRPr="006C74A2">
              <w:rPr>
                <w:kern w:val="2"/>
                <w:szCs w:val="24"/>
              </w:rPr>
              <w:t>Užsakymai teikiami Tiekėjo žemiau nurodytu elektroniniu paštu ir laikomi gautais po 24 (dvidešimt keturių valandų) nuo užsakymo pateikimo.</w:t>
            </w:r>
          </w:p>
          <w:p w14:paraId="524E13DF" w14:textId="46B000BF" w:rsidR="00E02AE0" w:rsidRPr="006C74A2" w:rsidRDefault="00E02AE0" w:rsidP="00E02AE0">
            <w:pPr>
              <w:rPr>
                <w:kern w:val="2"/>
                <w:szCs w:val="24"/>
              </w:rPr>
            </w:pPr>
            <w:r w:rsidRPr="006C74A2">
              <w:rPr>
                <w:kern w:val="2"/>
                <w:szCs w:val="24"/>
              </w:rPr>
              <w:t xml:space="preserve">Elektroninis paštas užsakymams: </w:t>
            </w:r>
            <w:r w:rsidRPr="006C74A2">
              <w:rPr>
                <w:color w:val="C00000"/>
                <w:szCs w:val="24"/>
              </w:rPr>
              <w:t>[įrašyti]</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6C74A2" w:rsidRDefault="00E02AE0" w:rsidP="00E02AE0">
            <w:pPr>
              <w:rPr>
                <w:kern w:val="2"/>
                <w:szCs w:val="24"/>
              </w:rPr>
            </w:pPr>
            <w:r w:rsidRPr="006C74A2">
              <w:rPr>
                <w:kern w:val="2"/>
                <w:szCs w:val="24"/>
              </w:rPr>
              <w:t>Netaikoma</w:t>
            </w:r>
          </w:p>
          <w:p w14:paraId="7EF3AFBD" w14:textId="77777777" w:rsidR="00E02AE0" w:rsidRPr="006C74A2" w:rsidRDefault="00E02AE0" w:rsidP="00E02AE0">
            <w:pPr>
              <w:rPr>
                <w:kern w:val="2"/>
                <w:szCs w:val="24"/>
              </w:rPr>
            </w:pPr>
          </w:p>
          <w:p w14:paraId="6CBC1F37" w14:textId="69197BFF" w:rsidR="00E02AE0" w:rsidRPr="006C74A2"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23355670" w14:textId="77777777" w:rsidR="00E02AE0" w:rsidRPr="006C74A2" w:rsidRDefault="00E02AE0" w:rsidP="00E02AE0">
            <w:pPr>
              <w:jc w:val="both"/>
              <w:rPr>
                <w:kern w:val="2"/>
                <w:szCs w:val="24"/>
              </w:rPr>
            </w:pPr>
            <w:r w:rsidRPr="006C74A2">
              <w:rPr>
                <w:kern w:val="2"/>
                <w:szCs w:val="24"/>
              </w:rPr>
              <w:t>4.5.1. Prekių perdavimo-priėmimo aktas ar kitas Prekių pristatymą patvirtinantis dokumentas (krovinio važtaraštis, sąskaita faktūra, pakavimo lapas).</w:t>
            </w:r>
          </w:p>
          <w:p w14:paraId="5041B91D" w14:textId="77777777" w:rsidR="00E02AE0" w:rsidRPr="006C74A2" w:rsidRDefault="00E02AE0" w:rsidP="00E02AE0">
            <w:pPr>
              <w:jc w:val="both"/>
              <w:rPr>
                <w:kern w:val="2"/>
                <w:szCs w:val="24"/>
              </w:rPr>
            </w:pPr>
            <w:r w:rsidRPr="006C74A2">
              <w:rPr>
                <w:kern w:val="2"/>
                <w:szCs w:val="24"/>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6F908DED" w14:textId="046770BF" w:rsidR="00E02AE0" w:rsidRPr="006C74A2" w:rsidRDefault="00E02AE0" w:rsidP="00E02AE0">
            <w:pPr>
              <w:jc w:val="both"/>
              <w:rPr>
                <w:kern w:val="2"/>
                <w:szCs w:val="24"/>
              </w:rPr>
            </w:pPr>
            <w:r w:rsidRPr="006C74A2">
              <w:rPr>
                <w:kern w:val="2"/>
                <w:szCs w:val="24"/>
              </w:rPr>
              <w:t>4.5.3. Tiekėjui nepateikus nurodytų dokumentų, laikoma, kad Prekės neatitinka Sutartyje nustatytų reikalavimų.</w:t>
            </w: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lastRenderedPageBreak/>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3242A935" w14:textId="77777777" w:rsidR="001608C2" w:rsidRPr="006C74A2" w:rsidRDefault="001608C2" w:rsidP="001608C2">
            <w:pPr>
              <w:jc w:val="both"/>
              <w:rPr>
                <w:kern w:val="2"/>
                <w:szCs w:val="24"/>
              </w:rPr>
            </w:pPr>
            <w:r w:rsidRPr="006C74A2">
              <w:rPr>
                <w:kern w:val="2"/>
                <w:szCs w:val="24"/>
              </w:rPr>
              <w:t xml:space="preserve">5.2.1. Pradinės Sutarties vertė yra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be PVM. </w:t>
            </w:r>
          </w:p>
          <w:p w14:paraId="426232A4" w14:textId="77777777" w:rsidR="001608C2" w:rsidRPr="006C74A2" w:rsidRDefault="001608C2" w:rsidP="001608C2">
            <w:pPr>
              <w:jc w:val="both"/>
              <w:rPr>
                <w:kern w:val="2"/>
                <w:szCs w:val="24"/>
              </w:rPr>
            </w:pPr>
            <w:r w:rsidRPr="006C74A2">
              <w:rPr>
                <w:kern w:val="2"/>
                <w:szCs w:val="24"/>
              </w:rPr>
              <w:t xml:space="preserve">PVM sudaro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w:t>
            </w:r>
          </w:p>
          <w:p w14:paraId="4C3D95FE" w14:textId="77777777" w:rsidR="001608C2" w:rsidRPr="006C74A2" w:rsidRDefault="001608C2" w:rsidP="001608C2">
            <w:pPr>
              <w:jc w:val="both"/>
              <w:rPr>
                <w:kern w:val="2"/>
                <w:szCs w:val="24"/>
              </w:rPr>
            </w:pPr>
            <w:r w:rsidRPr="006C74A2">
              <w:rPr>
                <w:kern w:val="2"/>
                <w:szCs w:val="24"/>
              </w:rPr>
              <w:t>Sutarties kaina yra [</w:t>
            </w:r>
            <w:r w:rsidRPr="006C74A2">
              <w:rPr>
                <w:color w:val="4472C4" w:themeColor="accent1"/>
                <w:kern w:val="2"/>
                <w:szCs w:val="24"/>
              </w:rPr>
              <w:t>nurodyti sumą skaičiais</w:t>
            </w:r>
            <w:r w:rsidRPr="006C74A2">
              <w:rPr>
                <w:kern w:val="2"/>
                <w:szCs w:val="24"/>
              </w:rPr>
              <w:t>] Eur, [</w:t>
            </w:r>
            <w:r w:rsidRPr="006C74A2">
              <w:rPr>
                <w:color w:val="4472C4" w:themeColor="accent1"/>
                <w:kern w:val="2"/>
                <w:szCs w:val="24"/>
              </w:rPr>
              <w:t>nurodyti sumą žodžiais</w:t>
            </w:r>
            <w:r w:rsidRPr="006C74A2">
              <w:rPr>
                <w:kern w:val="2"/>
                <w:szCs w:val="24"/>
              </w:rPr>
              <w:t>] Eur su PVM (planuojama skirti pirkimui lėšų suma).</w:t>
            </w:r>
          </w:p>
          <w:p w14:paraId="2AD1F9BE" w14:textId="77777777" w:rsidR="00E02AE0" w:rsidRPr="006C74A2" w:rsidRDefault="00E02AE0" w:rsidP="00E02AE0">
            <w:pPr>
              <w:jc w:val="both"/>
              <w:rPr>
                <w:kern w:val="2"/>
                <w:szCs w:val="24"/>
              </w:rPr>
            </w:pPr>
            <w:r w:rsidRPr="006C74A2">
              <w:rPr>
                <w:kern w:val="2"/>
                <w:szCs w:val="24"/>
              </w:rPr>
              <w:t xml:space="preserve">5.2.2. </w:t>
            </w:r>
            <w:r w:rsidRPr="006C74A2">
              <w:rPr>
                <w:color w:val="000000"/>
                <w:kern w:val="2"/>
                <w:szCs w:val="24"/>
              </w:rPr>
              <w:t>Šioje Sutartyje Pradinės Sutarties vertė yra lygi </w:t>
            </w:r>
            <w:r w:rsidRPr="006C74A2">
              <w:rPr>
                <w:b/>
                <w:bCs/>
                <w:color w:val="000000"/>
                <w:kern w:val="2"/>
                <w:szCs w:val="24"/>
              </w:rPr>
              <w:t>maksimaliai pirkimui skirtai lėšų sumai be PVM</w:t>
            </w:r>
            <w:r w:rsidRPr="006C74A2">
              <w:rPr>
                <w:color w:val="000000"/>
                <w:kern w:val="2"/>
                <w:szCs w:val="24"/>
              </w:rPr>
              <w:t> pirkimo dokumentuose ir Sutartyje nurodytų Prekių įsigijimui Tiekėjo pasiūlyme nurodytais įkainiais be PVM.</w:t>
            </w:r>
            <w:r w:rsidRPr="006C74A2">
              <w:rPr>
                <w:kern w:val="2"/>
                <w:szCs w:val="24"/>
              </w:rPr>
              <w:t xml:space="preserve"> Pirkėjas perka Prekes pagal poreikį Sutartyje arba jos priede Nr. 1 nurodytais įkainiais, neviršijant bendros Sutarties kainos. </w:t>
            </w:r>
          </w:p>
          <w:p w14:paraId="5466A4CC" w14:textId="77777777" w:rsidR="00E02AE0" w:rsidRPr="006C74A2" w:rsidRDefault="00E02AE0" w:rsidP="00E02AE0">
            <w:pPr>
              <w:jc w:val="both"/>
              <w:rPr>
                <w:kern w:val="2"/>
                <w:szCs w:val="24"/>
              </w:rPr>
            </w:pPr>
            <w:r w:rsidRPr="006C74A2">
              <w:rPr>
                <w:kern w:val="2"/>
                <w:szCs w:val="24"/>
              </w:rPr>
              <w:t xml:space="preserve">5.2.3. </w:t>
            </w:r>
            <w:r w:rsidRPr="006C74A2">
              <w:rPr>
                <w:color w:val="000000"/>
                <w:kern w:val="2"/>
                <w:szCs w:val="24"/>
              </w:rPr>
              <w:t xml:space="preserve">Sutartyje arba jos priede Nr. </w:t>
            </w:r>
            <w:r w:rsidRPr="006C74A2">
              <w:rPr>
                <w:kern w:val="2"/>
                <w:szCs w:val="24"/>
              </w:rPr>
              <w:t>1</w:t>
            </w:r>
            <w:r w:rsidRPr="006C74A2">
              <w:rPr>
                <w:color w:val="000000"/>
                <w:kern w:val="2"/>
                <w:szCs w:val="24"/>
              </w:rPr>
              <w:t xml:space="preserve"> atskirose eilutėse nurodytas Prekių kiekis gali būti keičiamas (didėti ar mažėti). </w:t>
            </w:r>
            <w:r w:rsidRPr="006C74A2">
              <w:rPr>
                <w:kern w:val="2"/>
                <w:szCs w:val="24"/>
              </w:rPr>
              <w:t xml:space="preserve">Pirkėjas neįsipareigoja išpirkti preliminaraus Prekių kiekio ar bet kokios jo dalies. </w:t>
            </w:r>
          </w:p>
          <w:p w14:paraId="4BBEC627" w14:textId="57FAD6A0" w:rsidR="00E02AE0" w:rsidRPr="006C74A2" w:rsidRDefault="00E02AE0" w:rsidP="00E02AE0">
            <w:pPr>
              <w:jc w:val="both"/>
              <w:rPr>
                <w:kern w:val="2"/>
                <w:szCs w:val="24"/>
                <w:highlight w:val="yellow"/>
              </w:rPr>
            </w:pPr>
            <w:r w:rsidRPr="006C74A2">
              <w:rPr>
                <w:kern w:val="2"/>
                <w:szCs w:val="24"/>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07AE8A4A" w:rsidR="00E02AE0" w:rsidRPr="006C74A2" w:rsidRDefault="00E02AE0" w:rsidP="00E02AE0">
            <w:pPr>
              <w:jc w:val="both"/>
              <w:rPr>
                <w:kern w:val="2"/>
                <w:szCs w:val="24"/>
              </w:rPr>
            </w:pPr>
            <w:r w:rsidRPr="006C74A2">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6C74A2" w:rsidRDefault="00E02AE0" w:rsidP="00E02AE0">
            <w:pPr>
              <w:rPr>
                <w:b/>
                <w:bCs/>
                <w:kern w:val="2"/>
                <w:szCs w:val="24"/>
                <w:lang w:val="en-US"/>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w:t>
            </w:r>
            <w:r w:rsidRPr="006C74A2">
              <w:rPr>
                <w:iCs/>
                <w:szCs w:val="24"/>
              </w:rPr>
              <w:t>jeigu perskaičiavimas jau buvo atliktas – nuo paskutinio perskaičiavimo pagal šį punktą dienos</w:t>
            </w:r>
            <w:r w:rsidRPr="006C74A2">
              <w:rPr>
                <w:szCs w:val="24"/>
              </w:rPr>
              <w:t xml:space="preserve">), jeigu Vartojimo prekių ir paslaugų kainų pokytis (k), apskaičiuotas kaip nustatyta 5.3.3.4 punkte, viršija 5%. Atlikdamos perskaičiavimą Šalys vadovaujasi </w:t>
            </w:r>
            <w:r w:rsidRPr="006C74A2">
              <w:rPr>
                <w:szCs w:val="24"/>
              </w:rPr>
              <w:lastRenderedPageBreak/>
              <w:t>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6C0EBF"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77777777"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77777777" w:rsidR="00E02AE0" w:rsidRPr="006C74A2" w:rsidRDefault="00E02AE0" w:rsidP="00E02AE0">
            <w:pPr>
              <w:ind w:left="56"/>
              <w:jc w:val="both"/>
              <w:rPr>
                <w:szCs w:val="24"/>
              </w:rPr>
            </w:pPr>
            <w:proofErr w:type="spellStart"/>
            <w:r w:rsidRPr="006C74A2">
              <w:rPr>
                <w:szCs w:val="24"/>
              </w:rPr>
              <w:t>Ind</w:t>
            </w:r>
            <w:r w:rsidRPr="006C74A2">
              <w:rPr>
                <w:szCs w:val="24"/>
                <w:vertAlign w:val="subscript"/>
              </w:rPr>
              <w:t>naujausias</w:t>
            </w:r>
            <w:proofErr w:type="spellEnd"/>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w:t>
            </w:r>
          </w:p>
          <w:p w14:paraId="4A3B6A06" w14:textId="77777777" w:rsidR="00E02AE0" w:rsidRPr="006C74A2" w:rsidRDefault="00E02AE0" w:rsidP="00E02AE0">
            <w:pPr>
              <w:ind w:left="56"/>
              <w:jc w:val="both"/>
              <w:rPr>
                <w:szCs w:val="24"/>
              </w:rPr>
            </w:pPr>
            <w:proofErr w:type="spellStart"/>
            <w:r w:rsidRPr="006C74A2">
              <w:rPr>
                <w:szCs w:val="24"/>
              </w:rPr>
              <w:t>Ind</w:t>
            </w:r>
            <w:r w:rsidRPr="006C74A2">
              <w:rPr>
                <w:szCs w:val="24"/>
                <w:vertAlign w:val="subscript"/>
              </w:rPr>
              <w:t>pradžia</w:t>
            </w:r>
            <w:proofErr w:type="spellEnd"/>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lastRenderedPageBreak/>
              <w:t>5.3.4. Sutarties kainos / įkainių peržiūra dėl kainų lygio pokyčio 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t xml:space="preserve">5.4. Sutarties kainos / įkainių apskaičiavimas taikant </w:t>
            </w:r>
            <w:r w:rsidRPr="006C74A2">
              <w:rPr>
                <w:b/>
                <w:bCs/>
                <w:kern w:val="2"/>
                <w:szCs w:val="24"/>
                <w:u w:val="single"/>
              </w:rPr>
              <w:t>kiekio (apimties)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lastRenderedPageBreak/>
              <w:t>5.5. Atsiskaitymo su Tiekėju terminas ir tvarka</w:t>
            </w:r>
          </w:p>
        </w:tc>
        <w:tc>
          <w:tcPr>
            <w:tcW w:w="6831" w:type="dxa"/>
            <w:gridSpan w:val="2"/>
          </w:tcPr>
          <w:p w14:paraId="28C59E39" w14:textId="77777777"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 xml:space="preserve">per 30 kalendorinių dienų </w:t>
            </w:r>
            <w:r w:rsidRPr="006C74A2">
              <w:rPr>
                <w:kern w:val="2"/>
                <w:szCs w:val="24"/>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4C55ACC8" w14:textId="2C4E059A" w:rsidR="00E02AE0" w:rsidRPr="006C74A2" w:rsidRDefault="00171060" w:rsidP="00E02AE0">
            <w:pPr>
              <w:jc w:val="both"/>
              <w:rPr>
                <w:kern w:val="2"/>
                <w:szCs w:val="24"/>
              </w:rPr>
            </w:pPr>
            <w:r w:rsidRPr="006C74A2">
              <w:rPr>
                <w:kern w:val="2"/>
                <w:szCs w:val="24"/>
              </w:rPr>
              <w:t>Prekėms nustatomas Tiekėjo pasiūlytas arba Prekių gamintojo taikomas Garantinis terminas. Garantinis terminas, skaičiuojamas nuo Prekių perdavimo–priėmimo akto ar Sąskaitos (kai Prekių perdavimo–priėmimo aktas nėra pasirašomas) pasirašymo dienos, ir bet kokiu atveju turi būti ne trumpesnis nei 70% nuo priemonės galiojimo termino.</w:t>
            </w: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15D3B467" w14:textId="77777777" w:rsidR="007029A5" w:rsidRPr="006C74A2" w:rsidRDefault="007029A5" w:rsidP="007029A5">
            <w:pPr>
              <w:jc w:val="both"/>
              <w:rPr>
                <w:color w:val="FF0000"/>
                <w:kern w:val="2"/>
                <w:szCs w:val="24"/>
              </w:rPr>
            </w:pPr>
            <w:r w:rsidRPr="006C74A2">
              <w:rPr>
                <w:color w:val="FF0000"/>
                <w:kern w:val="2"/>
                <w:szCs w:val="24"/>
              </w:rPr>
              <w:t>arba</w:t>
            </w:r>
          </w:p>
          <w:p w14:paraId="75BC9D85" w14:textId="77777777" w:rsidR="007029A5" w:rsidRPr="006C74A2" w:rsidRDefault="007029A5" w:rsidP="007029A5">
            <w:pPr>
              <w:jc w:val="both"/>
              <w:rPr>
                <w:i/>
                <w:kern w:val="2"/>
                <w:szCs w:val="24"/>
              </w:rPr>
            </w:pPr>
            <w:r w:rsidRPr="006C74A2">
              <w:rPr>
                <w:kern w:val="2"/>
                <w:szCs w:val="24"/>
              </w:rPr>
              <w:t xml:space="preserve">Sutarties vykdymui pasitelkiami šie subtiekėjai ir (ar) specialistai: </w:t>
            </w:r>
            <w:r w:rsidRPr="006C74A2">
              <w:rPr>
                <w:i/>
                <w:kern w:val="2"/>
                <w:szCs w:val="24"/>
              </w:rPr>
              <w:t>išvardinti</w:t>
            </w:r>
          </w:p>
          <w:p w14:paraId="08C389BD" w14:textId="5FF3E9CE" w:rsidR="007029A5" w:rsidRPr="006C74A2" w:rsidRDefault="007029A5" w:rsidP="007029A5">
            <w:pPr>
              <w:jc w:val="both"/>
              <w:rPr>
                <w:b/>
                <w:bCs/>
                <w:kern w:val="2"/>
                <w:szCs w:val="24"/>
              </w:rPr>
            </w:pPr>
            <w:r w:rsidRPr="006C74A2">
              <w:rPr>
                <w:rFonts w:asciiTheme="minorHAnsi" w:eastAsiaTheme="minorHAnsi" w:hAnsiTheme="minorHAnsi" w:cstheme="minorBidi"/>
                <w:color w:val="FF0000"/>
                <w:kern w:val="2"/>
                <w:szCs w:val="24"/>
                <w:lang w:val="en-US"/>
                <w14:ligatures w14:val="standardContextual"/>
              </w:rPr>
              <w:t>(</w:t>
            </w:r>
            <w:r w:rsidRPr="006C74A2">
              <w:rPr>
                <w:color w:val="FF0000"/>
                <w:kern w:val="2"/>
                <w:szCs w:val="24"/>
              </w:rPr>
              <w:t>pasirenkamas vienas iš nurodytų variantų)</w:t>
            </w: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6C74A2">
              <w:rPr>
                <w:color w:val="000000"/>
                <w:kern w:val="2"/>
                <w:szCs w:val="24"/>
                <w:lang w:val="en-US"/>
              </w:rPr>
              <w:t xml:space="preserve">.2.1. </w:t>
            </w:r>
            <w:r w:rsidRPr="006C74A2">
              <w:rPr>
                <w:color w:val="000000"/>
                <w:kern w:val="2"/>
                <w:szCs w:val="24"/>
              </w:rPr>
              <w:t xml:space="preserve">Jeigu Tiekėjas vėluoja vykdyti užsakymą, tiekti Prekes ar ištaisyti jų trūkumus, Pirkėjas nuo kitos nei nustatytas terminas dienos 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w:t>
            </w:r>
            <w:r w:rsidRPr="006C74A2">
              <w:rPr>
                <w:color w:val="000000"/>
                <w:kern w:val="2"/>
                <w:szCs w:val="24"/>
              </w:rPr>
              <w:lastRenderedPageBreak/>
              <w:t xml:space="preserve">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t>9.2.2.</w:t>
            </w:r>
            <w:r w:rsidRPr="006C74A2">
              <w:rPr>
                <w:color w:val="000000"/>
                <w:kern w:val="2"/>
                <w:szCs w:val="24"/>
                <w:lang w:val="en-US"/>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lastRenderedPageBreak/>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 xml:space="preserve">9.7. Tiekėjui taikomos netesybos dėl pirkimo dokumentuose nustatytų kokybinių kriterijų </w:t>
            </w:r>
            <w:proofErr w:type="spellStart"/>
            <w:r w:rsidRPr="006C74A2">
              <w:rPr>
                <w:b/>
                <w:bCs/>
                <w:kern w:val="2"/>
                <w:szCs w:val="24"/>
              </w:rPr>
              <w:t>nepasiekimo</w:t>
            </w:r>
            <w:proofErr w:type="spellEnd"/>
            <w:r w:rsidRPr="006C74A2">
              <w:rPr>
                <w:b/>
                <w:bCs/>
                <w:kern w:val="2"/>
                <w:szCs w:val="24"/>
              </w:rPr>
              <w:t xml:space="preserve">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6C74A2" w:rsidRDefault="007029A5" w:rsidP="007029A5">
            <w:pPr>
              <w:rPr>
                <w:b/>
                <w:bCs/>
                <w:kern w:val="2"/>
                <w:szCs w:val="24"/>
                <w:lang w:val="en-US"/>
              </w:rPr>
            </w:pPr>
            <w:r w:rsidRPr="006C74A2">
              <w:rPr>
                <w:b/>
                <w:bCs/>
                <w:kern w:val="2"/>
                <w:szCs w:val="24"/>
                <w:lang w:val="en-US"/>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w:t>
            </w:r>
            <w:r w:rsidRPr="006C74A2">
              <w:rPr>
                <w:kern w:val="2"/>
                <w:szCs w:val="24"/>
              </w:rPr>
              <w:lastRenderedPageBreak/>
              <w:t>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lastRenderedPageBreak/>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474E0B45"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Pr="006C74A2">
              <w:rPr>
                <w:b/>
                <w:szCs w:val="24"/>
              </w:rPr>
              <w:t xml:space="preserve">26 (dvidešimt šeši) mėnesiai </w:t>
            </w:r>
            <w:r w:rsidRPr="006C74A2">
              <w:rPr>
                <w:szCs w:val="24"/>
              </w:rPr>
              <w:t>(sutarties vykdymo trukmė (prekių tiekimo terminas) – 24 (dvidešimt keturi) mėnesiai, atsiskaitymo terminas – 2 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EE3697">
        <w:trPr>
          <w:trHeight w:val="300"/>
        </w:trPr>
        <w:tc>
          <w:tcPr>
            <w:tcW w:w="2532"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7003"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EE3697">
        <w:trPr>
          <w:trHeight w:val="300"/>
        </w:trPr>
        <w:tc>
          <w:tcPr>
            <w:tcW w:w="2532"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7003"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EE3697">
        <w:trPr>
          <w:trHeight w:val="300"/>
        </w:trPr>
        <w:tc>
          <w:tcPr>
            <w:tcW w:w="2532" w:type="dxa"/>
          </w:tcPr>
          <w:p w14:paraId="63073B65" w14:textId="77777777" w:rsidR="007029A5" w:rsidRPr="006C74A2" w:rsidRDefault="007029A5" w:rsidP="007029A5">
            <w:pPr>
              <w:rPr>
                <w:b/>
                <w:bCs/>
                <w:kern w:val="2"/>
                <w:szCs w:val="24"/>
              </w:rPr>
            </w:pPr>
            <w:r w:rsidRPr="006C74A2">
              <w:rPr>
                <w:b/>
                <w:bCs/>
                <w:kern w:val="2"/>
                <w:szCs w:val="24"/>
              </w:rPr>
              <w:t>12.1. Aplinkosauginių kriterijų nustatymo teisinis pagrindas</w:t>
            </w:r>
          </w:p>
        </w:tc>
        <w:tc>
          <w:tcPr>
            <w:tcW w:w="7003" w:type="dxa"/>
            <w:gridSpan w:val="3"/>
          </w:tcPr>
          <w:p w14:paraId="277E8DB3" w14:textId="6CDB71AD" w:rsidR="007029A5" w:rsidRPr="006C74A2" w:rsidRDefault="007029A5" w:rsidP="007029A5">
            <w:pPr>
              <w:jc w:val="both"/>
              <w:rPr>
                <w:b/>
                <w:bCs/>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6C74A2">
              <w:rPr>
                <w:color w:val="000000"/>
                <w:kern w:val="2"/>
                <w:szCs w:val="24"/>
                <w:lang w:val="en-US"/>
              </w:rPr>
              <w:t>D1-508</w:t>
            </w:r>
            <w:r w:rsidRPr="006C74A2">
              <w:rPr>
                <w:color w:val="000000"/>
                <w:kern w:val="2"/>
                <w:szCs w:val="24"/>
                <w:shd w:val="clear" w:color="auto" w:fill="FFFFFF"/>
              </w:rPr>
              <w:t xml:space="preserve"> „Dėl Aplinkos apsaugos kriterijų taikymo, vykdant žaliuosius pirkimus, tvarkos aprašo patvirtinimo“ (toliau – Tvarkos aprašas) </w:t>
            </w:r>
            <w:r w:rsidRPr="006C74A2">
              <w:rPr>
                <w:kern w:val="2"/>
                <w:szCs w:val="24"/>
                <w:shd w:val="clear" w:color="auto" w:fill="FFFFFF"/>
              </w:rPr>
              <w:t>4.4.4. papunkčiu.</w:t>
            </w:r>
            <w:r w:rsidRPr="006C74A2">
              <w:rPr>
                <w:kern w:val="2"/>
                <w:szCs w:val="24"/>
              </w:rPr>
              <w:t> </w:t>
            </w:r>
          </w:p>
        </w:tc>
      </w:tr>
      <w:tr w:rsidR="007029A5" w:rsidRPr="006C74A2" w14:paraId="2EA56D89" w14:textId="77777777" w:rsidTr="00C516DE">
        <w:trPr>
          <w:trHeight w:val="416"/>
        </w:trPr>
        <w:tc>
          <w:tcPr>
            <w:tcW w:w="2532" w:type="dxa"/>
          </w:tcPr>
          <w:p w14:paraId="7D5F00CB" w14:textId="77777777" w:rsidR="007029A5" w:rsidRPr="006C74A2" w:rsidRDefault="007029A5" w:rsidP="007029A5">
            <w:pPr>
              <w:rPr>
                <w:b/>
                <w:bCs/>
                <w:kern w:val="2"/>
                <w:szCs w:val="24"/>
              </w:rPr>
            </w:pPr>
            <w:r w:rsidRPr="006C74A2">
              <w:rPr>
                <w:b/>
                <w:bCs/>
                <w:kern w:val="2"/>
                <w:szCs w:val="24"/>
              </w:rPr>
              <w:lastRenderedPageBreak/>
              <w:t xml:space="preserve">12.2. </w:t>
            </w:r>
            <w:r w:rsidRPr="006C74A2">
              <w:rPr>
                <w:b/>
                <w:bCs/>
                <w:color w:val="000000"/>
                <w:kern w:val="2"/>
                <w:szCs w:val="24"/>
                <w:shd w:val="clear" w:color="auto" w:fill="FFFFFF"/>
              </w:rPr>
              <w:t>Su Prekių pakuotėmis susiję aplinkosauginiai kriterijai</w:t>
            </w:r>
            <w:r w:rsidRPr="006C74A2">
              <w:rPr>
                <w:b/>
                <w:bCs/>
                <w:kern w:val="2"/>
                <w:szCs w:val="24"/>
              </w:rPr>
              <w:t xml:space="preserve"> </w:t>
            </w:r>
          </w:p>
        </w:tc>
        <w:tc>
          <w:tcPr>
            <w:tcW w:w="7003" w:type="dxa"/>
            <w:gridSpan w:val="3"/>
          </w:tcPr>
          <w:p w14:paraId="07D3CE88" w14:textId="77777777" w:rsidR="007029A5" w:rsidRPr="006C74A2" w:rsidRDefault="007029A5" w:rsidP="007029A5">
            <w:pPr>
              <w:pStyle w:val="NormalWeb"/>
              <w:shd w:val="clear" w:color="auto" w:fill="FFFFFF"/>
              <w:spacing w:before="0" w:beforeAutospacing="0" w:after="0" w:afterAutospacing="0"/>
              <w:jc w:val="both"/>
              <w:rPr>
                <w:rFonts w:ascii="Calibri" w:hAnsi="Calibri" w:cs="Calibri"/>
                <w:color w:val="242424"/>
              </w:rPr>
            </w:pPr>
            <w:r w:rsidRPr="006C74A2">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150AA63" w14:textId="55F0EEE8" w:rsidR="007029A5" w:rsidRPr="006C74A2" w:rsidRDefault="007029A5" w:rsidP="007029A5">
            <w:pPr>
              <w:pStyle w:val="NormalWeb"/>
              <w:shd w:val="clear" w:color="auto" w:fill="FFFFFF"/>
              <w:spacing w:before="0" w:beforeAutospacing="0" w:after="0" w:afterAutospacing="0"/>
              <w:ind w:firstLine="53"/>
              <w:jc w:val="both"/>
              <w:rPr>
                <w:shd w:val="clear" w:color="auto" w:fill="FFFFFF"/>
              </w:rPr>
            </w:pPr>
            <w:r w:rsidRPr="006C74A2">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C74A2">
              <w:rPr>
                <w:color w:val="000000"/>
                <w:bdr w:val="none" w:sz="0" w:space="0" w:color="auto" w:frame="1"/>
              </w:rPr>
              <w:t>Voluntary</w:t>
            </w:r>
            <w:proofErr w:type="spellEnd"/>
            <w:r w:rsidRPr="006C74A2">
              <w:rPr>
                <w:color w:val="000000"/>
                <w:bdr w:val="none" w:sz="0" w:space="0" w:color="auto" w:frame="1"/>
              </w:rPr>
              <w:t xml:space="preserve"> Standard </w:t>
            </w:r>
            <w:proofErr w:type="spellStart"/>
            <w:r w:rsidRPr="006C74A2">
              <w:rPr>
                <w:color w:val="000000"/>
                <w:bdr w:val="none" w:sz="0" w:space="0" w:color="auto" w:frame="1"/>
              </w:rPr>
              <w:t>for</w:t>
            </w:r>
            <w:proofErr w:type="spellEnd"/>
            <w:r w:rsidRPr="006C74A2">
              <w:rPr>
                <w:color w:val="000000"/>
                <w:bdr w:val="none" w:sz="0" w:space="0" w:color="auto" w:frame="1"/>
              </w:rPr>
              <w:t xml:space="preserve"> </w:t>
            </w:r>
            <w:proofErr w:type="spellStart"/>
            <w:r w:rsidRPr="006C74A2">
              <w:rPr>
                <w:color w:val="000000"/>
                <w:bdr w:val="none" w:sz="0" w:space="0" w:color="auto" w:frame="1"/>
              </w:rPr>
              <w:t>Repulping</w:t>
            </w:r>
            <w:proofErr w:type="spellEnd"/>
            <w:r w:rsidRPr="006C74A2">
              <w:rPr>
                <w:color w:val="000000"/>
                <w:bdr w:val="none" w:sz="0" w:space="0" w:color="auto" w:frame="1"/>
              </w:rPr>
              <w:t xml:space="preserve"> </w:t>
            </w:r>
            <w:proofErr w:type="spellStart"/>
            <w:r w:rsidRPr="006C74A2">
              <w:rPr>
                <w:color w:val="000000"/>
                <w:bdr w:val="none" w:sz="0" w:space="0" w:color="auto" w:frame="1"/>
              </w:rPr>
              <w:t>and</w:t>
            </w:r>
            <w:proofErr w:type="spellEnd"/>
            <w:r w:rsidRPr="006C74A2">
              <w:rPr>
                <w:color w:val="000000"/>
                <w:bdr w:val="none" w:sz="0" w:space="0" w:color="auto" w:frame="1"/>
              </w:rPr>
              <w:t xml:space="preserve"> </w:t>
            </w:r>
            <w:proofErr w:type="spellStart"/>
            <w:r w:rsidRPr="006C74A2">
              <w:rPr>
                <w:color w:val="000000"/>
                <w:bdr w:val="none" w:sz="0" w:space="0" w:color="auto" w:frame="1"/>
              </w:rPr>
              <w:t>Recycling</w:t>
            </w:r>
            <w:proofErr w:type="spellEnd"/>
            <w:r w:rsidRPr="006C74A2">
              <w:rPr>
                <w:color w:val="000000"/>
                <w:bdr w:val="none" w:sz="0" w:space="0" w:color="auto" w:frame="1"/>
              </w:rPr>
              <w:t xml:space="preserve"> </w:t>
            </w:r>
            <w:proofErr w:type="spellStart"/>
            <w:r w:rsidRPr="006C74A2">
              <w:rPr>
                <w:color w:val="000000"/>
                <w:bdr w:val="none" w:sz="0" w:space="0" w:color="auto" w:frame="1"/>
              </w:rPr>
              <w:t>Corrugated</w:t>
            </w:r>
            <w:proofErr w:type="spellEnd"/>
            <w:r w:rsidRPr="006C74A2">
              <w:rPr>
                <w:color w:val="000000"/>
                <w:bdr w:val="none" w:sz="0" w:space="0" w:color="auto" w:frame="1"/>
              </w:rPr>
              <w:t xml:space="preserve"> </w:t>
            </w:r>
            <w:proofErr w:type="spellStart"/>
            <w:r w:rsidRPr="006C74A2">
              <w:rPr>
                <w:color w:val="000000"/>
                <w:bdr w:val="none" w:sz="0" w:space="0" w:color="auto" w:frame="1"/>
              </w:rPr>
              <w:t>Fiberboard</w:t>
            </w:r>
            <w:proofErr w:type="spellEnd"/>
            <w:r w:rsidRPr="006C74A2">
              <w:rPr>
                <w:color w:val="000000"/>
                <w:bdr w:val="none" w:sz="0" w:space="0" w:color="auto" w:frame="1"/>
              </w:rPr>
              <w:t xml:space="preserve"> </w:t>
            </w:r>
            <w:proofErr w:type="spellStart"/>
            <w:r w:rsidRPr="006C74A2">
              <w:rPr>
                <w:color w:val="000000"/>
                <w:bdr w:val="none" w:sz="0" w:space="0" w:color="auto" w:frame="1"/>
              </w:rPr>
              <w:t>Treated</w:t>
            </w:r>
            <w:proofErr w:type="spellEnd"/>
            <w:r w:rsidRPr="006C74A2">
              <w:rPr>
                <w:color w:val="000000"/>
                <w:bdr w:val="none" w:sz="0" w:space="0" w:color="auto" w:frame="1"/>
              </w:rPr>
              <w:t xml:space="preserve"> to </w:t>
            </w:r>
            <w:proofErr w:type="spellStart"/>
            <w:r w:rsidRPr="006C74A2">
              <w:rPr>
                <w:color w:val="000000"/>
                <w:bdr w:val="none" w:sz="0" w:space="0" w:color="auto" w:frame="1"/>
              </w:rPr>
              <w:t>Improve</w:t>
            </w:r>
            <w:proofErr w:type="spellEnd"/>
            <w:r w:rsidRPr="006C74A2">
              <w:rPr>
                <w:color w:val="000000"/>
                <w:bdr w:val="none" w:sz="0" w:space="0" w:color="auto" w:frame="1"/>
              </w:rPr>
              <w:t xml:space="preserve"> </w:t>
            </w:r>
            <w:proofErr w:type="spellStart"/>
            <w:r w:rsidRPr="006C74A2">
              <w:rPr>
                <w:color w:val="000000"/>
                <w:bdr w:val="none" w:sz="0" w:space="0" w:color="auto" w:frame="1"/>
              </w:rPr>
              <w:t>Its</w:t>
            </w:r>
            <w:proofErr w:type="spellEnd"/>
            <w:r w:rsidRPr="006C74A2">
              <w:rPr>
                <w:color w:val="000000"/>
                <w:bdr w:val="none" w:sz="0" w:space="0" w:color="auto" w:frame="1"/>
              </w:rPr>
              <w:t xml:space="preserve"> </w:t>
            </w:r>
            <w:proofErr w:type="spellStart"/>
            <w:r w:rsidRPr="006C74A2">
              <w:rPr>
                <w:color w:val="000000"/>
                <w:bdr w:val="none" w:sz="0" w:space="0" w:color="auto" w:frame="1"/>
              </w:rPr>
              <w:t>Performance</w:t>
            </w:r>
            <w:proofErr w:type="spellEnd"/>
            <w:r w:rsidRPr="006C74A2">
              <w:rPr>
                <w:color w:val="000000"/>
                <w:bdr w:val="none" w:sz="0" w:space="0" w:color="auto" w:frame="1"/>
              </w:rPr>
              <w:t xml:space="preserve"> </w:t>
            </w:r>
            <w:proofErr w:type="spellStart"/>
            <w:r w:rsidRPr="006C74A2">
              <w:rPr>
                <w:color w:val="000000"/>
                <w:bdr w:val="none" w:sz="0" w:space="0" w:color="auto" w:frame="1"/>
              </w:rPr>
              <w:t>in</w:t>
            </w:r>
            <w:proofErr w:type="spellEnd"/>
            <w:r w:rsidRPr="006C74A2">
              <w:rPr>
                <w:color w:val="000000"/>
                <w:bdr w:val="none" w:sz="0" w:space="0" w:color="auto" w:frame="1"/>
              </w:rPr>
              <w:t xml:space="preserve"> </w:t>
            </w:r>
            <w:proofErr w:type="spellStart"/>
            <w:r w:rsidRPr="006C74A2">
              <w:rPr>
                <w:color w:val="000000"/>
                <w:bdr w:val="none" w:sz="0" w:space="0" w:color="auto" w:frame="1"/>
              </w:rPr>
              <w:t>the</w:t>
            </w:r>
            <w:proofErr w:type="spellEnd"/>
            <w:r w:rsidRPr="006C74A2">
              <w:rPr>
                <w:color w:val="000000"/>
                <w:bdr w:val="none" w:sz="0" w:space="0" w:color="auto" w:frame="1"/>
              </w:rPr>
              <w:t xml:space="preserve"> </w:t>
            </w:r>
            <w:proofErr w:type="spellStart"/>
            <w:r w:rsidRPr="006C74A2">
              <w:rPr>
                <w:color w:val="000000"/>
                <w:bdr w:val="none" w:sz="0" w:space="0" w:color="auto" w:frame="1"/>
              </w:rPr>
              <w:t>Presence</w:t>
            </w:r>
            <w:proofErr w:type="spellEnd"/>
            <w:r w:rsidRPr="006C74A2">
              <w:rPr>
                <w:color w:val="000000"/>
                <w:bdr w:val="none" w:sz="0" w:space="0" w:color="auto" w:frame="1"/>
              </w:rPr>
              <w:t xml:space="preserve"> </w:t>
            </w:r>
            <w:proofErr w:type="spellStart"/>
            <w:r w:rsidRPr="006C74A2">
              <w:rPr>
                <w:color w:val="000000"/>
                <w:bdr w:val="none" w:sz="0" w:space="0" w:color="auto" w:frame="1"/>
              </w:rPr>
              <w:t>of</w:t>
            </w:r>
            <w:proofErr w:type="spellEnd"/>
            <w:r w:rsidRPr="006C74A2">
              <w:rPr>
                <w:color w:val="000000"/>
                <w:bdr w:val="none" w:sz="0" w:space="0" w:color="auto" w:frame="1"/>
              </w:rPr>
              <w:t xml:space="preserve"> </w:t>
            </w:r>
            <w:proofErr w:type="spellStart"/>
            <w:r w:rsidRPr="006C74A2">
              <w:rPr>
                <w:color w:val="000000"/>
                <w:bdr w:val="none" w:sz="0" w:space="0" w:color="auto" w:frame="1"/>
              </w:rPr>
              <w:t>Water</w:t>
            </w:r>
            <w:proofErr w:type="spellEnd"/>
            <w:r w:rsidRPr="006C74A2">
              <w:rPr>
                <w:color w:val="000000"/>
                <w:bdr w:val="none" w:sz="0" w:space="0" w:color="auto" w:frame="1"/>
              </w:rPr>
              <w:t xml:space="preserve"> </w:t>
            </w:r>
            <w:proofErr w:type="spellStart"/>
            <w:r w:rsidRPr="006C74A2">
              <w:rPr>
                <w:color w:val="000000"/>
                <w:bdr w:val="none" w:sz="0" w:space="0" w:color="auto" w:frame="1"/>
              </w:rPr>
              <w:t>and</w:t>
            </w:r>
            <w:proofErr w:type="spellEnd"/>
            <w:r w:rsidRPr="006C74A2">
              <w:rPr>
                <w:color w:val="000000"/>
                <w:bdr w:val="none" w:sz="0" w:space="0" w:color="auto" w:frame="1"/>
              </w:rPr>
              <w:t xml:space="preserve"> </w:t>
            </w:r>
            <w:proofErr w:type="spellStart"/>
            <w:r w:rsidRPr="006C74A2">
              <w:rPr>
                <w:color w:val="000000"/>
                <w:bdr w:val="none" w:sz="0" w:space="0" w:color="auto" w:frame="1"/>
              </w:rPr>
              <w:t>Water</w:t>
            </w:r>
            <w:proofErr w:type="spellEnd"/>
            <w:r w:rsidRPr="006C74A2">
              <w:rPr>
                <w:color w:val="000000"/>
                <w:bdr w:val="none" w:sz="0" w:space="0" w:color="auto" w:frame="1"/>
              </w:rPr>
              <w:t xml:space="preserve"> </w:t>
            </w:r>
            <w:proofErr w:type="spellStart"/>
            <w:r w:rsidRPr="006C74A2">
              <w:rPr>
                <w:color w:val="000000"/>
                <w:bdr w:val="none" w:sz="0" w:space="0" w:color="auto" w:frame="1"/>
              </w:rPr>
              <w:t>Vapor</w:t>
            </w:r>
            <w:proofErr w:type="spellEnd"/>
            <w:r w:rsidRPr="006C74A2">
              <w:rPr>
                <w:color w:val="000000"/>
                <w:bdr w:val="none" w:sz="0" w:space="0" w:color="auto" w:frame="1"/>
              </w:rPr>
              <w:t xml:space="preserve">, standartas </w:t>
            </w:r>
            <w:proofErr w:type="spellStart"/>
            <w:r w:rsidRPr="006C74A2">
              <w:rPr>
                <w:color w:val="000000"/>
                <w:bdr w:val="none" w:sz="0" w:space="0" w:color="auto" w:frame="1"/>
              </w:rPr>
              <w:t>RecyClass</w:t>
            </w:r>
            <w:proofErr w:type="spellEnd"/>
            <w:r w:rsidRPr="006C74A2">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029A5" w:rsidRPr="006C74A2" w14:paraId="1429440B" w14:textId="77777777" w:rsidTr="00EE3697">
        <w:trPr>
          <w:trHeight w:val="300"/>
        </w:trPr>
        <w:tc>
          <w:tcPr>
            <w:tcW w:w="2532" w:type="dxa"/>
          </w:tcPr>
          <w:p w14:paraId="1B67E4E2" w14:textId="77777777" w:rsidR="007029A5" w:rsidRPr="006C74A2" w:rsidRDefault="007029A5" w:rsidP="007029A5">
            <w:pPr>
              <w:rPr>
                <w:b/>
                <w:bCs/>
                <w:kern w:val="2"/>
                <w:szCs w:val="24"/>
              </w:rPr>
            </w:pPr>
            <w:r w:rsidRPr="006C74A2">
              <w:rPr>
                <w:b/>
                <w:bCs/>
                <w:kern w:val="2"/>
                <w:szCs w:val="24"/>
              </w:rPr>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7003" w:type="dxa"/>
            <w:gridSpan w:val="3"/>
          </w:tcPr>
          <w:p w14:paraId="3D2025EC" w14:textId="77777777" w:rsidR="007029A5" w:rsidRPr="006C74A2" w:rsidRDefault="007029A5" w:rsidP="007029A5">
            <w:pPr>
              <w:rPr>
                <w:kern w:val="2"/>
                <w:szCs w:val="24"/>
              </w:rPr>
            </w:pPr>
            <w:r w:rsidRPr="006C74A2">
              <w:rPr>
                <w:kern w:val="2"/>
                <w:szCs w:val="24"/>
              </w:rPr>
              <w:t>Netaikoma</w:t>
            </w:r>
          </w:p>
          <w:p w14:paraId="155B92EC" w14:textId="77777777" w:rsidR="007029A5" w:rsidRPr="006C74A2" w:rsidRDefault="007029A5" w:rsidP="007029A5">
            <w:pPr>
              <w:rPr>
                <w:kern w:val="2"/>
                <w:szCs w:val="24"/>
              </w:rPr>
            </w:pPr>
          </w:p>
          <w:p w14:paraId="52800414" w14:textId="4951B3FF" w:rsidR="007029A5" w:rsidRPr="006C74A2" w:rsidRDefault="007029A5" w:rsidP="007029A5">
            <w:pPr>
              <w:rPr>
                <w:szCs w:val="24"/>
              </w:rPr>
            </w:pPr>
          </w:p>
        </w:tc>
      </w:tr>
      <w:tr w:rsidR="007029A5" w:rsidRPr="006C74A2" w14:paraId="227E918F" w14:textId="77777777" w:rsidTr="00EE3697">
        <w:trPr>
          <w:trHeight w:val="300"/>
        </w:trPr>
        <w:tc>
          <w:tcPr>
            <w:tcW w:w="2532" w:type="dxa"/>
          </w:tcPr>
          <w:p w14:paraId="0E240622" w14:textId="77777777" w:rsidR="007029A5" w:rsidRPr="006C74A2" w:rsidRDefault="007029A5" w:rsidP="007029A5">
            <w:pPr>
              <w:rPr>
                <w:b/>
                <w:bCs/>
                <w:kern w:val="2"/>
                <w:szCs w:val="24"/>
              </w:rPr>
            </w:pPr>
            <w:r w:rsidRPr="006C74A2">
              <w:rPr>
                <w:b/>
                <w:bCs/>
                <w:kern w:val="2"/>
                <w:szCs w:val="24"/>
              </w:rPr>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7003"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EE3697">
        <w:trPr>
          <w:trHeight w:val="300"/>
        </w:trPr>
        <w:tc>
          <w:tcPr>
            <w:tcW w:w="2532"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7003"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EE3697">
        <w:trPr>
          <w:trHeight w:val="300"/>
        </w:trPr>
        <w:tc>
          <w:tcPr>
            <w:tcW w:w="2532" w:type="dxa"/>
          </w:tcPr>
          <w:p w14:paraId="40B07571" w14:textId="35583F33" w:rsidR="007029A5" w:rsidRPr="006C74A2" w:rsidRDefault="007029A5" w:rsidP="007029A5">
            <w:pPr>
              <w:rPr>
                <w:b/>
                <w:bCs/>
                <w:kern w:val="2"/>
                <w:szCs w:val="24"/>
              </w:rPr>
            </w:pPr>
            <w:r w:rsidRPr="006C74A2">
              <w:rPr>
                <w:b/>
                <w:bCs/>
                <w:kern w:val="2"/>
                <w:szCs w:val="24"/>
              </w:rPr>
              <w:t>13.1.</w:t>
            </w:r>
          </w:p>
        </w:tc>
        <w:tc>
          <w:tcPr>
            <w:tcW w:w="7003"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6C74A2"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t xml:space="preserve">12.2.1.1. elektroninę sąskaitą faktūrą, atitinkančią Europos elektroninių sąskaitų faktūrų standartą, kurio nuoroda paskelbta 2017 m. spalio 16 </w:t>
            </w:r>
            <w:r w:rsidRPr="006C74A2">
              <w:rPr>
                <w:rFonts w:ascii="inherit" w:hAnsi="inherit"/>
                <w:color w:val="000000"/>
                <w:szCs w:val="24"/>
                <w:bdr w:val="none" w:sz="0" w:space="0" w:color="auto" w:frame="1"/>
                <w:lang w:eastAsia="lt-LT"/>
              </w:rPr>
              <w:lastRenderedPageBreak/>
              <w:t>d. Komisijos įgyvendinimo sprendime (ES) 2017/1870 dėl nuorodos į Europos elektroninių sąskaitų faktūrų standartą ir sintaksių sąrašo paskelbimo pagal Europos Parlamento ir Tarybos direktyvą </w:t>
            </w:r>
            <w:r w:rsidRPr="006C74A2">
              <w:rPr>
                <w:rFonts w:ascii="inherit" w:hAnsi="inherit"/>
                <w:color w:val="0563C1"/>
                <w:szCs w:val="24"/>
                <w:u w:val="single"/>
                <w:bdr w:val="none" w:sz="0" w:space="0" w:color="auto" w:frame="1"/>
                <w:lang w:eastAsia="lt-LT"/>
              </w:rPr>
              <w:t>2014/55/ES</w:t>
            </w:r>
            <w:r w:rsidRPr="006C74A2">
              <w:rPr>
                <w:rFonts w:ascii="inherit" w:hAnsi="inherit"/>
                <w:color w:val="000000"/>
                <w:szCs w:val="24"/>
                <w:bdr w:val="none" w:sz="0" w:space="0" w:color="auto" w:frame="1"/>
                <w:lang w:eastAsia="lt-LT"/>
              </w:rPr>
              <w:t> (toliau – </w:t>
            </w:r>
            <w:r w:rsidRPr="006C74A2">
              <w:rPr>
                <w:rFonts w:ascii="inherit" w:hAnsi="inherit"/>
                <w:b/>
                <w:bCs/>
                <w:color w:val="000000"/>
                <w:szCs w:val="24"/>
                <w:bdr w:val="none" w:sz="0" w:space="0" w:color="auto" w:frame="1"/>
                <w:lang w:eastAsia="lt-LT"/>
              </w:rPr>
              <w:t>Europos elektroninių sąskaitų faktūrų</w:t>
            </w:r>
            <w:r w:rsidRPr="006C74A2">
              <w:rPr>
                <w:rFonts w:ascii="inherit" w:hAnsi="inherit"/>
                <w:color w:val="000000"/>
                <w:szCs w:val="24"/>
                <w:bdr w:val="none" w:sz="0" w:space="0" w:color="auto" w:frame="1"/>
                <w:lang w:eastAsia="lt-LT"/>
              </w:rPr>
              <w:t> </w:t>
            </w:r>
            <w:r w:rsidRPr="006C74A2">
              <w:rPr>
                <w:rFonts w:ascii="inherit" w:hAnsi="inherit"/>
                <w:b/>
                <w:bCs/>
                <w:color w:val="000000"/>
                <w:szCs w:val="24"/>
                <w:bdr w:val="none" w:sz="0" w:space="0" w:color="auto" w:frame="1"/>
                <w:lang w:eastAsia="lt-LT"/>
              </w:rPr>
              <w:t>standartas</w:t>
            </w:r>
            <w:r w:rsidRPr="006C74A2">
              <w:rPr>
                <w:rFonts w:ascii="inherit" w:hAnsi="inherit"/>
                <w:color w:val="000000"/>
                <w:szCs w:val="24"/>
                <w:bdr w:val="none" w:sz="0" w:space="0" w:color="auto" w:frame="1"/>
                <w:lang w:eastAsia="lt-LT"/>
              </w:rPr>
              <w:t>), Tiekėjas gali pateikti per informacinę sistemą „SABIS“ (</w:t>
            </w:r>
            <w:hyperlink r:id="rId10"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 arba per kitą savo pasirinktą informacinę sistemą;</w:t>
            </w:r>
          </w:p>
          <w:p w14:paraId="662C678C" w14:textId="77777777" w:rsidR="007029A5" w:rsidRPr="006C74A2" w:rsidRDefault="007029A5" w:rsidP="007029A5">
            <w:pPr>
              <w:spacing w:line="257" w:lineRule="atLeast"/>
              <w:jc w:val="both"/>
              <w:rPr>
                <w:szCs w:val="24"/>
                <w:lang w:eastAsia="lt-LT"/>
              </w:rPr>
            </w:pPr>
            <w:bookmarkStart w:id="1" w:name="x_part_0a0da1d5ef5c48389da63acb61f47e3a"/>
            <w:bookmarkEnd w:id="1"/>
            <w:r w:rsidRPr="006C74A2">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1"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2" w:name="x_part_44a1d195b56b4d74a5fb8a833330bbe9"/>
            <w:bookmarkEnd w:id="2"/>
            <w:r w:rsidRPr="006C74A2">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lastRenderedPageBreak/>
              <w:t>14. SUTARTIES PRIEDAI</w:t>
            </w:r>
          </w:p>
        </w:tc>
      </w:tr>
      <w:tr w:rsidR="007029A5" w:rsidRPr="006C74A2" w14:paraId="17C7A2C3" w14:textId="77777777" w:rsidTr="00EE3697">
        <w:trPr>
          <w:trHeight w:val="300"/>
        </w:trPr>
        <w:tc>
          <w:tcPr>
            <w:tcW w:w="2532"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7003"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71246038" w14:textId="5BF12224" w:rsidR="007029A5" w:rsidRPr="006C74A2" w:rsidRDefault="007029A5" w:rsidP="007029A5">
            <w:pPr>
              <w:jc w:val="center"/>
              <w:rPr>
                <w:b/>
                <w:bCs/>
                <w:kern w:val="2"/>
                <w:szCs w:val="24"/>
              </w:rPr>
            </w:pPr>
            <w:r w:rsidRPr="006C74A2">
              <w:rPr>
                <w:color w:val="4472C4" w:themeColor="accent1"/>
                <w:szCs w:val="24"/>
              </w:rPr>
              <w:t>[įrašyti]</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shd w:val="clear" w:color="auto" w:fill="auto"/>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shd w:val="clear" w:color="auto" w:fill="auto"/>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shd w:val="clear" w:color="auto" w:fill="auto"/>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r w:rsidR="00DE1404" w:rsidRPr="006C74A2" w14:paraId="1560E55E" w14:textId="77777777" w:rsidTr="004D1507">
        <w:trPr>
          <w:trHeight w:val="315"/>
        </w:trPr>
        <w:tc>
          <w:tcPr>
            <w:tcW w:w="986" w:type="dxa"/>
            <w:tcBorders>
              <w:top w:val="nil"/>
              <w:left w:val="nil"/>
              <w:bottom w:val="nil"/>
              <w:right w:val="nil"/>
            </w:tcBorders>
            <w:shd w:val="clear" w:color="auto" w:fill="auto"/>
            <w:noWrap/>
            <w:hideMark/>
          </w:tcPr>
          <w:p w14:paraId="620B5D09" w14:textId="77777777" w:rsidR="00DE1404" w:rsidRPr="006C74A2" w:rsidRDefault="00DE1404" w:rsidP="00DE1404">
            <w:pPr>
              <w:jc w:val="center"/>
              <w:rPr>
                <w:b/>
                <w:bCs/>
                <w:szCs w:val="24"/>
                <w:lang w:eastAsia="lt-LT"/>
              </w:rPr>
            </w:pPr>
          </w:p>
        </w:tc>
        <w:tc>
          <w:tcPr>
            <w:tcW w:w="1548" w:type="dxa"/>
            <w:tcBorders>
              <w:top w:val="nil"/>
              <w:left w:val="nil"/>
              <w:bottom w:val="nil"/>
              <w:right w:val="nil"/>
            </w:tcBorders>
            <w:shd w:val="clear" w:color="auto" w:fill="auto"/>
            <w:noWrap/>
            <w:hideMark/>
          </w:tcPr>
          <w:p w14:paraId="68FD1163"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hideMark/>
          </w:tcPr>
          <w:p w14:paraId="4F90EB1D"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hideMark/>
          </w:tcPr>
          <w:p w14:paraId="0598A3CF"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hideMark/>
          </w:tcPr>
          <w:p w14:paraId="4BD101BB"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hideMark/>
          </w:tcPr>
          <w:p w14:paraId="2C3C525A"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hideMark/>
          </w:tcPr>
          <w:p w14:paraId="2130245C"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hideMark/>
          </w:tcPr>
          <w:p w14:paraId="4EEF92D8"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hideMark/>
          </w:tcPr>
          <w:p w14:paraId="57E155DD"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hideMark/>
          </w:tcPr>
          <w:p w14:paraId="7AA7E09D" w14:textId="77777777" w:rsidR="00DE1404" w:rsidRPr="006C74A2" w:rsidRDefault="00DE1404" w:rsidP="00DE1404">
            <w:pPr>
              <w:jc w:val="center"/>
              <w:rPr>
                <w:szCs w:val="24"/>
                <w:lang w:eastAsia="lt-LT"/>
              </w:rPr>
            </w:pP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525"/>
        <w:gridCol w:w="1954"/>
        <w:gridCol w:w="953"/>
        <w:gridCol w:w="797"/>
        <w:gridCol w:w="1561"/>
        <w:gridCol w:w="943"/>
        <w:gridCol w:w="851"/>
        <w:gridCol w:w="617"/>
        <w:gridCol w:w="714"/>
        <w:gridCol w:w="8"/>
        <w:gridCol w:w="1210"/>
        <w:gridCol w:w="1843"/>
      </w:tblGrid>
      <w:tr w:rsidR="00D9186E" w:rsidRPr="006C74A2" w14:paraId="144E06A4" w14:textId="77777777" w:rsidTr="00171060">
        <w:trPr>
          <w:cantSplit/>
          <w:trHeight w:val="2184"/>
        </w:trPr>
        <w:tc>
          <w:tcPr>
            <w:tcW w:w="916" w:type="dxa"/>
            <w:shd w:val="clear" w:color="auto" w:fill="auto"/>
            <w:vAlign w:val="center"/>
            <w:hideMark/>
          </w:tcPr>
          <w:p w14:paraId="7AD5E305" w14:textId="77777777" w:rsidR="00D9186E" w:rsidRPr="006C74A2" w:rsidRDefault="00D9186E" w:rsidP="00171060">
            <w:pPr>
              <w:jc w:val="center"/>
              <w:rPr>
                <w:b/>
                <w:bCs/>
                <w:color w:val="000000"/>
                <w:sz w:val="20"/>
                <w:lang w:eastAsia="lt-LT"/>
              </w:rPr>
            </w:pPr>
            <w:r w:rsidRPr="006C74A2">
              <w:rPr>
                <w:b/>
                <w:bCs/>
                <w:color w:val="000000"/>
                <w:sz w:val="20"/>
                <w:lang w:eastAsia="lt-LT"/>
              </w:rPr>
              <w:t>Pirkimo dalies Nr.</w:t>
            </w:r>
          </w:p>
        </w:tc>
        <w:tc>
          <w:tcPr>
            <w:tcW w:w="1525" w:type="dxa"/>
            <w:shd w:val="clear" w:color="auto" w:fill="auto"/>
            <w:vAlign w:val="center"/>
            <w:hideMark/>
          </w:tcPr>
          <w:p w14:paraId="7A733B96" w14:textId="77777777" w:rsidR="00D9186E" w:rsidRPr="006C74A2" w:rsidRDefault="00D9186E" w:rsidP="00171060">
            <w:pPr>
              <w:jc w:val="center"/>
              <w:rPr>
                <w:b/>
                <w:bCs/>
                <w:color w:val="000000"/>
                <w:sz w:val="20"/>
                <w:lang w:eastAsia="lt-LT"/>
              </w:rPr>
            </w:pPr>
            <w:r w:rsidRPr="006C74A2">
              <w:rPr>
                <w:b/>
                <w:bCs/>
                <w:color w:val="000000"/>
                <w:sz w:val="20"/>
                <w:lang w:eastAsia="lt-LT"/>
              </w:rPr>
              <w:t>Priemonės pavadinimas</w:t>
            </w:r>
          </w:p>
        </w:tc>
        <w:tc>
          <w:tcPr>
            <w:tcW w:w="1954" w:type="dxa"/>
            <w:shd w:val="clear" w:color="auto" w:fill="auto"/>
            <w:vAlign w:val="center"/>
            <w:hideMark/>
          </w:tcPr>
          <w:p w14:paraId="31C1E49A" w14:textId="77777777" w:rsidR="00D9186E" w:rsidRPr="006C74A2" w:rsidRDefault="00D9186E" w:rsidP="00171060">
            <w:pPr>
              <w:jc w:val="center"/>
              <w:rPr>
                <w:b/>
                <w:bCs/>
                <w:color w:val="000000"/>
                <w:sz w:val="20"/>
                <w:lang w:eastAsia="lt-LT"/>
              </w:rPr>
            </w:pPr>
            <w:r w:rsidRPr="006C74A2">
              <w:rPr>
                <w:b/>
                <w:bCs/>
                <w:color w:val="000000"/>
                <w:sz w:val="20"/>
                <w:lang w:eastAsia="lt-LT"/>
              </w:rPr>
              <w:t>Reikalaujami parametrai, charakteristikos</w:t>
            </w:r>
          </w:p>
        </w:tc>
        <w:tc>
          <w:tcPr>
            <w:tcW w:w="953" w:type="dxa"/>
            <w:shd w:val="clear" w:color="auto" w:fill="auto"/>
            <w:textDirection w:val="btLr"/>
            <w:vAlign w:val="center"/>
            <w:hideMark/>
          </w:tcPr>
          <w:p w14:paraId="766BAC34" w14:textId="77777777" w:rsidR="00D9186E" w:rsidRPr="006C74A2" w:rsidRDefault="00D9186E" w:rsidP="00171060">
            <w:pPr>
              <w:jc w:val="center"/>
              <w:rPr>
                <w:b/>
                <w:bCs/>
                <w:color w:val="000000"/>
                <w:sz w:val="20"/>
                <w:lang w:eastAsia="lt-LT"/>
              </w:rPr>
            </w:pPr>
            <w:r w:rsidRPr="006C74A2">
              <w:rPr>
                <w:b/>
                <w:bCs/>
                <w:color w:val="000000"/>
                <w:sz w:val="20"/>
                <w:lang w:eastAsia="lt-LT"/>
              </w:rPr>
              <w:t>Mato vnt.</w:t>
            </w:r>
          </w:p>
        </w:tc>
        <w:tc>
          <w:tcPr>
            <w:tcW w:w="797" w:type="dxa"/>
            <w:shd w:val="clear" w:color="auto" w:fill="auto"/>
            <w:textDirection w:val="btLr"/>
            <w:vAlign w:val="center"/>
            <w:hideMark/>
          </w:tcPr>
          <w:p w14:paraId="1BBA32F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Preliminarus kiekis</w:t>
            </w:r>
          </w:p>
        </w:tc>
        <w:tc>
          <w:tcPr>
            <w:tcW w:w="1561" w:type="dxa"/>
            <w:textDirection w:val="btLr"/>
          </w:tcPr>
          <w:p w14:paraId="5140F854"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Firminis priemonių pavadinimas, gamintojas, priemonės kodas gamintojo kataloge*</w:t>
            </w:r>
          </w:p>
        </w:tc>
        <w:tc>
          <w:tcPr>
            <w:tcW w:w="943" w:type="dxa"/>
            <w:shd w:val="clear" w:color="auto" w:fill="auto"/>
            <w:textDirection w:val="btLr"/>
            <w:vAlign w:val="center"/>
            <w:hideMark/>
          </w:tcPr>
          <w:p w14:paraId="448391D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Mato vnt. įkainis Eur be PVM</w:t>
            </w:r>
          </w:p>
        </w:tc>
        <w:tc>
          <w:tcPr>
            <w:tcW w:w="851" w:type="dxa"/>
            <w:shd w:val="clear" w:color="auto" w:fill="auto"/>
            <w:textDirection w:val="btLr"/>
            <w:vAlign w:val="center"/>
            <w:hideMark/>
          </w:tcPr>
          <w:p w14:paraId="067FEC4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be PVM</w:t>
            </w:r>
          </w:p>
        </w:tc>
        <w:tc>
          <w:tcPr>
            <w:tcW w:w="617" w:type="dxa"/>
            <w:shd w:val="clear" w:color="auto" w:fill="auto"/>
            <w:textDirection w:val="btLr"/>
            <w:vAlign w:val="center"/>
            <w:hideMark/>
          </w:tcPr>
          <w:p w14:paraId="7499536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w:t>
            </w:r>
          </w:p>
        </w:tc>
        <w:tc>
          <w:tcPr>
            <w:tcW w:w="714" w:type="dxa"/>
            <w:shd w:val="clear" w:color="auto" w:fill="auto"/>
            <w:textDirection w:val="btLr"/>
            <w:vAlign w:val="center"/>
            <w:hideMark/>
          </w:tcPr>
          <w:p w14:paraId="3922C72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 suma, Eur</w:t>
            </w:r>
          </w:p>
        </w:tc>
        <w:tc>
          <w:tcPr>
            <w:tcW w:w="1218" w:type="dxa"/>
            <w:gridSpan w:val="2"/>
            <w:shd w:val="clear" w:color="auto" w:fill="auto"/>
            <w:textDirection w:val="btLr"/>
            <w:vAlign w:val="center"/>
            <w:hideMark/>
          </w:tcPr>
          <w:p w14:paraId="063E15E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su PVM</w:t>
            </w:r>
          </w:p>
        </w:tc>
        <w:tc>
          <w:tcPr>
            <w:tcW w:w="1843" w:type="dxa"/>
            <w:shd w:val="clear" w:color="auto" w:fill="auto"/>
            <w:textDirection w:val="btLr"/>
            <w:vAlign w:val="center"/>
            <w:hideMark/>
          </w:tcPr>
          <w:p w14:paraId="16DC163E"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 xml:space="preserve">Siūloma parametro reikšmė </w:t>
            </w:r>
            <w:r w:rsidRPr="006C74A2">
              <w:rPr>
                <w:b/>
                <w:bCs/>
                <w:color w:val="000000"/>
                <w:sz w:val="20"/>
                <w:lang w:eastAsia="lt-LT"/>
              </w:rPr>
              <w:br/>
            </w:r>
          </w:p>
        </w:tc>
      </w:tr>
      <w:tr w:rsidR="00D9186E" w:rsidRPr="006C74A2" w14:paraId="05611D27" w14:textId="77777777" w:rsidTr="00171060">
        <w:trPr>
          <w:trHeight w:val="562"/>
        </w:trPr>
        <w:tc>
          <w:tcPr>
            <w:tcW w:w="916" w:type="dxa"/>
            <w:shd w:val="clear" w:color="auto" w:fill="auto"/>
            <w:noWrap/>
          </w:tcPr>
          <w:p w14:paraId="10618B50" w14:textId="77777777" w:rsidR="00D9186E" w:rsidRPr="006C74A2" w:rsidRDefault="00D9186E" w:rsidP="00171060">
            <w:pPr>
              <w:rPr>
                <w:color w:val="000000"/>
                <w:szCs w:val="24"/>
                <w:lang w:eastAsia="lt-LT"/>
              </w:rPr>
            </w:pPr>
          </w:p>
        </w:tc>
        <w:tc>
          <w:tcPr>
            <w:tcW w:w="1525" w:type="dxa"/>
            <w:shd w:val="clear" w:color="auto" w:fill="auto"/>
          </w:tcPr>
          <w:p w14:paraId="092A255A" w14:textId="77777777" w:rsidR="00D9186E" w:rsidRPr="006C74A2" w:rsidRDefault="00D9186E" w:rsidP="00171060">
            <w:pPr>
              <w:rPr>
                <w:color w:val="000000"/>
                <w:szCs w:val="24"/>
                <w:lang w:eastAsia="lt-LT"/>
              </w:rPr>
            </w:pPr>
          </w:p>
        </w:tc>
        <w:tc>
          <w:tcPr>
            <w:tcW w:w="1954" w:type="dxa"/>
            <w:shd w:val="clear" w:color="auto" w:fill="auto"/>
          </w:tcPr>
          <w:p w14:paraId="30E7A465" w14:textId="77777777" w:rsidR="00D9186E" w:rsidRPr="006C74A2" w:rsidRDefault="00D9186E" w:rsidP="00171060">
            <w:pPr>
              <w:rPr>
                <w:color w:val="000000"/>
                <w:szCs w:val="24"/>
                <w:lang w:eastAsia="lt-LT"/>
              </w:rPr>
            </w:pPr>
          </w:p>
        </w:tc>
        <w:tc>
          <w:tcPr>
            <w:tcW w:w="953" w:type="dxa"/>
            <w:shd w:val="clear" w:color="auto" w:fill="auto"/>
            <w:noWrap/>
            <w:vAlign w:val="center"/>
          </w:tcPr>
          <w:p w14:paraId="419A8118" w14:textId="77777777" w:rsidR="00D9186E" w:rsidRPr="006C74A2" w:rsidRDefault="00D9186E" w:rsidP="00171060">
            <w:pPr>
              <w:jc w:val="center"/>
              <w:rPr>
                <w:color w:val="000000"/>
                <w:szCs w:val="24"/>
                <w:lang w:eastAsia="lt-LT"/>
              </w:rPr>
            </w:pPr>
          </w:p>
        </w:tc>
        <w:tc>
          <w:tcPr>
            <w:tcW w:w="797" w:type="dxa"/>
            <w:shd w:val="clear" w:color="auto" w:fill="auto"/>
            <w:noWrap/>
            <w:vAlign w:val="center"/>
          </w:tcPr>
          <w:p w14:paraId="5F575DB8" w14:textId="77777777" w:rsidR="00D9186E" w:rsidRPr="006C74A2" w:rsidRDefault="00D9186E" w:rsidP="00171060">
            <w:pPr>
              <w:jc w:val="center"/>
              <w:rPr>
                <w:color w:val="000000"/>
                <w:szCs w:val="24"/>
                <w:lang w:eastAsia="lt-LT"/>
              </w:rPr>
            </w:pPr>
          </w:p>
        </w:tc>
        <w:tc>
          <w:tcPr>
            <w:tcW w:w="1561" w:type="dxa"/>
          </w:tcPr>
          <w:p w14:paraId="35B33A2E" w14:textId="77777777" w:rsidR="00D9186E" w:rsidRPr="006C74A2" w:rsidRDefault="00D9186E" w:rsidP="00171060">
            <w:pPr>
              <w:rPr>
                <w:color w:val="000000"/>
                <w:szCs w:val="24"/>
                <w:lang w:eastAsia="lt-LT"/>
              </w:rPr>
            </w:pPr>
          </w:p>
        </w:tc>
        <w:tc>
          <w:tcPr>
            <w:tcW w:w="943" w:type="dxa"/>
            <w:shd w:val="clear" w:color="auto" w:fill="auto"/>
            <w:noWrap/>
            <w:vAlign w:val="center"/>
          </w:tcPr>
          <w:p w14:paraId="37CBC47D" w14:textId="77777777" w:rsidR="00D9186E" w:rsidRPr="006C74A2" w:rsidRDefault="00D9186E" w:rsidP="00171060">
            <w:pPr>
              <w:rPr>
                <w:color w:val="000000"/>
                <w:szCs w:val="24"/>
                <w:lang w:eastAsia="lt-LT"/>
              </w:rPr>
            </w:pPr>
          </w:p>
        </w:tc>
        <w:tc>
          <w:tcPr>
            <w:tcW w:w="851" w:type="dxa"/>
            <w:shd w:val="clear" w:color="auto" w:fill="auto"/>
            <w:noWrap/>
            <w:vAlign w:val="center"/>
          </w:tcPr>
          <w:p w14:paraId="1F3DB7B8" w14:textId="77777777" w:rsidR="00D9186E" w:rsidRPr="006C74A2" w:rsidRDefault="00D9186E" w:rsidP="00171060">
            <w:pPr>
              <w:jc w:val="center"/>
              <w:rPr>
                <w:color w:val="000000"/>
                <w:szCs w:val="24"/>
                <w:lang w:eastAsia="lt-LT"/>
              </w:rPr>
            </w:pPr>
          </w:p>
        </w:tc>
        <w:tc>
          <w:tcPr>
            <w:tcW w:w="617" w:type="dxa"/>
            <w:shd w:val="clear" w:color="auto" w:fill="auto"/>
            <w:noWrap/>
            <w:vAlign w:val="center"/>
          </w:tcPr>
          <w:p w14:paraId="1DBDCC30" w14:textId="77777777" w:rsidR="00D9186E" w:rsidRPr="006C74A2" w:rsidRDefault="00D9186E" w:rsidP="00171060">
            <w:pPr>
              <w:jc w:val="center"/>
              <w:rPr>
                <w:color w:val="000000"/>
                <w:szCs w:val="24"/>
                <w:lang w:eastAsia="lt-LT"/>
              </w:rPr>
            </w:pPr>
          </w:p>
        </w:tc>
        <w:tc>
          <w:tcPr>
            <w:tcW w:w="714" w:type="dxa"/>
            <w:shd w:val="clear" w:color="auto" w:fill="auto"/>
            <w:noWrap/>
            <w:vAlign w:val="center"/>
          </w:tcPr>
          <w:p w14:paraId="154F05B6" w14:textId="77777777" w:rsidR="00D9186E" w:rsidRPr="006C74A2" w:rsidRDefault="00D9186E" w:rsidP="00171060">
            <w:pPr>
              <w:jc w:val="center"/>
              <w:rPr>
                <w:color w:val="000000"/>
                <w:szCs w:val="24"/>
                <w:lang w:eastAsia="lt-LT"/>
              </w:rPr>
            </w:pPr>
          </w:p>
        </w:tc>
        <w:tc>
          <w:tcPr>
            <w:tcW w:w="1218" w:type="dxa"/>
            <w:gridSpan w:val="2"/>
            <w:shd w:val="clear" w:color="auto" w:fill="auto"/>
            <w:noWrap/>
            <w:vAlign w:val="center"/>
          </w:tcPr>
          <w:p w14:paraId="139ADA68" w14:textId="77777777" w:rsidR="00D9186E" w:rsidRPr="006C74A2" w:rsidRDefault="00D9186E" w:rsidP="00171060">
            <w:pPr>
              <w:jc w:val="center"/>
              <w:rPr>
                <w:color w:val="000000"/>
                <w:szCs w:val="24"/>
                <w:lang w:eastAsia="lt-LT"/>
              </w:rPr>
            </w:pPr>
          </w:p>
        </w:tc>
        <w:tc>
          <w:tcPr>
            <w:tcW w:w="1843" w:type="dxa"/>
            <w:tcBorders>
              <w:bottom w:val="single" w:sz="4" w:space="0" w:color="auto"/>
            </w:tcBorders>
            <w:shd w:val="clear" w:color="auto" w:fill="auto"/>
            <w:noWrap/>
            <w:vAlign w:val="bottom"/>
            <w:hideMark/>
          </w:tcPr>
          <w:p w14:paraId="36B97F9B" w14:textId="77777777" w:rsidR="00D9186E" w:rsidRPr="006C74A2" w:rsidRDefault="00D9186E" w:rsidP="00171060">
            <w:pPr>
              <w:rPr>
                <w:color w:val="000000"/>
                <w:szCs w:val="24"/>
                <w:lang w:eastAsia="lt-LT"/>
              </w:rPr>
            </w:pPr>
            <w:r w:rsidRPr="006C74A2">
              <w:rPr>
                <w:color w:val="000000"/>
                <w:szCs w:val="24"/>
                <w:lang w:eastAsia="lt-LT"/>
              </w:rPr>
              <w:t> </w:t>
            </w:r>
          </w:p>
        </w:tc>
      </w:tr>
      <w:tr w:rsidR="00D9186E" w:rsidRPr="006C74A2" w14:paraId="2DA4716C" w14:textId="77777777" w:rsidTr="00171060">
        <w:trPr>
          <w:trHeight w:val="448"/>
        </w:trPr>
        <w:tc>
          <w:tcPr>
            <w:tcW w:w="10839" w:type="dxa"/>
            <w:gridSpan w:val="11"/>
            <w:tcBorders>
              <w:top w:val="single" w:sz="4" w:space="0" w:color="auto"/>
              <w:left w:val="single" w:sz="4" w:space="0" w:color="auto"/>
              <w:bottom w:val="single" w:sz="4" w:space="0" w:color="auto"/>
              <w:right w:val="single" w:sz="4" w:space="0" w:color="auto"/>
            </w:tcBorders>
          </w:tcPr>
          <w:p w14:paraId="79A80B59" w14:textId="77777777" w:rsidR="00D9186E" w:rsidRPr="006C74A2" w:rsidRDefault="00D9186E" w:rsidP="00171060">
            <w:pPr>
              <w:jc w:val="right"/>
              <w:rPr>
                <w:b/>
                <w:szCs w:val="24"/>
              </w:rPr>
            </w:pPr>
            <w:r w:rsidRPr="006C74A2">
              <w:rPr>
                <w:b/>
                <w:bCs/>
                <w:szCs w:val="24"/>
                <w:lang w:eastAsia="lt-LT"/>
              </w:rPr>
              <w:t>Pradinės sutarties vertė EUR be PVM</w:t>
            </w:r>
          </w:p>
        </w:tc>
        <w:tc>
          <w:tcPr>
            <w:tcW w:w="1210" w:type="dxa"/>
            <w:tcBorders>
              <w:right w:val="single" w:sz="4" w:space="0" w:color="auto"/>
            </w:tcBorders>
            <w:shd w:val="clear" w:color="auto" w:fill="auto"/>
            <w:noWrap/>
            <w:vAlign w:val="center"/>
          </w:tcPr>
          <w:p w14:paraId="3EC85FA6" w14:textId="77777777" w:rsidR="00D9186E" w:rsidRPr="006C74A2" w:rsidRDefault="00D9186E" w:rsidP="00171060">
            <w:pPr>
              <w:jc w:val="center"/>
              <w:rPr>
                <w:color w:val="000000"/>
                <w:szCs w:val="24"/>
                <w:lang w:eastAsia="lt-LT"/>
              </w:rPr>
            </w:pPr>
          </w:p>
        </w:tc>
        <w:tc>
          <w:tcPr>
            <w:tcW w:w="1843" w:type="dxa"/>
            <w:tcBorders>
              <w:top w:val="single" w:sz="4" w:space="0" w:color="auto"/>
              <w:left w:val="single" w:sz="4" w:space="0" w:color="auto"/>
              <w:bottom w:val="nil"/>
              <w:right w:val="nil"/>
            </w:tcBorders>
            <w:shd w:val="clear" w:color="auto" w:fill="auto"/>
            <w:noWrap/>
            <w:vAlign w:val="bottom"/>
          </w:tcPr>
          <w:p w14:paraId="280A4922" w14:textId="77777777" w:rsidR="00D9186E" w:rsidRPr="006C74A2" w:rsidRDefault="00D9186E" w:rsidP="00171060">
            <w:pPr>
              <w:rPr>
                <w:color w:val="000000"/>
                <w:szCs w:val="24"/>
                <w:lang w:eastAsia="lt-LT"/>
              </w:rPr>
            </w:pPr>
          </w:p>
        </w:tc>
      </w:tr>
      <w:tr w:rsidR="00D9186E" w:rsidRPr="006C74A2" w14:paraId="27CD8D4A" w14:textId="77777777" w:rsidTr="00171060">
        <w:trPr>
          <w:trHeight w:val="398"/>
        </w:trPr>
        <w:tc>
          <w:tcPr>
            <w:tcW w:w="10839" w:type="dxa"/>
            <w:gridSpan w:val="11"/>
            <w:tcBorders>
              <w:top w:val="single" w:sz="4" w:space="0" w:color="auto"/>
              <w:left w:val="single" w:sz="4" w:space="0" w:color="auto"/>
              <w:bottom w:val="single" w:sz="4" w:space="0" w:color="auto"/>
              <w:right w:val="single" w:sz="4" w:space="0" w:color="auto"/>
            </w:tcBorders>
          </w:tcPr>
          <w:p w14:paraId="18A00E6F" w14:textId="77777777" w:rsidR="00D9186E" w:rsidRPr="006C74A2" w:rsidRDefault="00D9186E" w:rsidP="00171060">
            <w:pPr>
              <w:jc w:val="right"/>
              <w:rPr>
                <w:b/>
                <w:szCs w:val="24"/>
              </w:rPr>
            </w:pPr>
            <w:r w:rsidRPr="006C74A2">
              <w:rPr>
                <w:b/>
                <w:bCs/>
                <w:szCs w:val="24"/>
                <w:lang w:eastAsia="lt-LT"/>
              </w:rPr>
              <w:t>PVM suma, Eur</w:t>
            </w:r>
          </w:p>
        </w:tc>
        <w:tc>
          <w:tcPr>
            <w:tcW w:w="1210" w:type="dxa"/>
            <w:tcBorders>
              <w:right w:val="single" w:sz="4" w:space="0" w:color="auto"/>
            </w:tcBorders>
            <w:shd w:val="clear" w:color="auto" w:fill="auto"/>
            <w:noWrap/>
            <w:vAlign w:val="center"/>
          </w:tcPr>
          <w:p w14:paraId="4F5675C4" w14:textId="77777777" w:rsidR="00D9186E" w:rsidRPr="006C74A2" w:rsidRDefault="00D9186E" w:rsidP="00171060">
            <w:pPr>
              <w:jc w:val="center"/>
              <w:rPr>
                <w:color w:val="000000"/>
                <w:szCs w:val="24"/>
                <w:lang w:eastAsia="lt-LT"/>
              </w:rPr>
            </w:pPr>
          </w:p>
        </w:tc>
        <w:tc>
          <w:tcPr>
            <w:tcW w:w="1843" w:type="dxa"/>
            <w:tcBorders>
              <w:top w:val="nil"/>
              <w:left w:val="single" w:sz="4" w:space="0" w:color="auto"/>
              <w:bottom w:val="nil"/>
              <w:right w:val="nil"/>
            </w:tcBorders>
            <w:shd w:val="clear" w:color="auto" w:fill="auto"/>
            <w:noWrap/>
            <w:vAlign w:val="bottom"/>
          </w:tcPr>
          <w:p w14:paraId="42F0B7F2" w14:textId="77777777" w:rsidR="00D9186E" w:rsidRPr="006C74A2" w:rsidRDefault="00D9186E" w:rsidP="00171060">
            <w:pPr>
              <w:rPr>
                <w:color w:val="000000"/>
                <w:szCs w:val="24"/>
                <w:lang w:eastAsia="lt-LT"/>
              </w:rPr>
            </w:pPr>
          </w:p>
        </w:tc>
      </w:tr>
      <w:tr w:rsidR="00D9186E" w:rsidRPr="006C74A2" w14:paraId="7222F3CE" w14:textId="77777777" w:rsidTr="00171060">
        <w:trPr>
          <w:trHeight w:val="419"/>
        </w:trPr>
        <w:tc>
          <w:tcPr>
            <w:tcW w:w="10839" w:type="dxa"/>
            <w:gridSpan w:val="11"/>
            <w:tcBorders>
              <w:top w:val="single" w:sz="4" w:space="0" w:color="auto"/>
              <w:left w:val="single" w:sz="4" w:space="0" w:color="auto"/>
              <w:bottom w:val="single" w:sz="4" w:space="0" w:color="auto"/>
              <w:right w:val="single" w:sz="4" w:space="0" w:color="auto"/>
            </w:tcBorders>
          </w:tcPr>
          <w:p w14:paraId="13B22993" w14:textId="77777777" w:rsidR="00D9186E" w:rsidRPr="006C74A2" w:rsidRDefault="00D9186E" w:rsidP="00171060">
            <w:pPr>
              <w:jc w:val="right"/>
              <w:rPr>
                <w:b/>
                <w:szCs w:val="24"/>
              </w:rPr>
            </w:pPr>
            <w:r w:rsidRPr="006C74A2">
              <w:rPr>
                <w:b/>
                <w:bCs/>
                <w:szCs w:val="24"/>
                <w:lang w:eastAsia="lt-LT"/>
              </w:rPr>
              <w:t>Sutarties kaina EUR su PVM</w:t>
            </w:r>
          </w:p>
        </w:tc>
        <w:tc>
          <w:tcPr>
            <w:tcW w:w="1210" w:type="dxa"/>
            <w:tcBorders>
              <w:right w:val="single" w:sz="4" w:space="0" w:color="auto"/>
            </w:tcBorders>
            <w:shd w:val="clear" w:color="auto" w:fill="auto"/>
            <w:noWrap/>
            <w:vAlign w:val="center"/>
          </w:tcPr>
          <w:p w14:paraId="34F1B023" w14:textId="77777777" w:rsidR="00D9186E" w:rsidRPr="006C74A2" w:rsidRDefault="00D9186E" w:rsidP="00171060">
            <w:pPr>
              <w:jc w:val="center"/>
              <w:rPr>
                <w:color w:val="000000"/>
                <w:szCs w:val="24"/>
                <w:lang w:eastAsia="lt-LT"/>
              </w:rPr>
            </w:pPr>
          </w:p>
        </w:tc>
        <w:tc>
          <w:tcPr>
            <w:tcW w:w="1843" w:type="dxa"/>
            <w:tcBorders>
              <w:top w:val="nil"/>
              <w:left w:val="single" w:sz="4" w:space="0" w:color="auto"/>
              <w:bottom w:val="nil"/>
              <w:right w:val="nil"/>
            </w:tcBorders>
            <w:shd w:val="clear" w:color="auto" w:fill="auto"/>
            <w:noWrap/>
            <w:vAlign w:val="bottom"/>
          </w:tcPr>
          <w:p w14:paraId="36FF1059" w14:textId="77777777" w:rsidR="00D9186E" w:rsidRPr="006C74A2" w:rsidRDefault="00D9186E" w:rsidP="00171060">
            <w:pPr>
              <w:rPr>
                <w:color w:val="000000"/>
                <w:szCs w:val="24"/>
                <w:lang w:eastAsia="lt-LT"/>
              </w:rPr>
            </w:pPr>
          </w:p>
        </w:tc>
      </w:tr>
    </w:tbl>
    <w:p w14:paraId="41F01EFF" w14:textId="77777777" w:rsidR="00D9186E" w:rsidRPr="006C74A2" w:rsidRDefault="00D9186E" w:rsidP="00D9186E">
      <w:pPr>
        <w:jc w:val="center"/>
        <w:rPr>
          <w:b/>
          <w:bCs/>
          <w:iCs/>
          <w:szCs w:val="24"/>
        </w:rPr>
      </w:pPr>
    </w:p>
    <w:p w14:paraId="661F24C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DFB6A8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26D789EA"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56B4B63" w14:textId="3133AF44"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sectPr w:rsidR="00C516DE" w:rsidRPr="006C74A2" w:rsidSect="00D96FD2">
          <w:pgSz w:w="15840" w:h="12240" w:orient="landscape" w:code="1"/>
          <w:pgMar w:top="1440" w:right="1440" w:bottom="1440" w:left="1276" w:header="709" w:footer="720" w:gutter="0"/>
          <w:pgNumType w:start="1"/>
          <w:cols w:space="720"/>
          <w:titlePg/>
          <w:docGrid w:linePitch="360"/>
        </w:sectPr>
      </w:pP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74A2">
        <w:rPr>
          <w:rFonts w:eastAsia="Cambria"/>
          <w:color w:val="000000"/>
          <w:szCs w:val="24"/>
          <w:shd w:val="clear" w:color="auto" w:fill="FFFFFF"/>
        </w:rPr>
        <w:t>subtiekimo</w:t>
      </w:r>
      <w:proofErr w:type="spellEnd"/>
      <w:r w:rsidRPr="006C74A2">
        <w:rPr>
          <w:rFonts w:eastAsia="Cambria"/>
          <w:color w:val="000000"/>
          <w:szCs w:val="24"/>
          <w:shd w:val="clear" w:color="auto" w:fill="FFFFFF"/>
        </w:rPr>
        <w:t xml:space="preserve">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C74A2">
        <w:rPr>
          <w:szCs w:val="24"/>
        </w:rPr>
        <w:t>sui</w:t>
      </w:r>
      <w:proofErr w:type="spellEnd"/>
      <w:r w:rsidRPr="006C74A2">
        <w:rPr>
          <w:szCs w:val="24"/>
        </w:rPr>
        <w:t xml:space="preserve"> </w:t>
      </w:r>
      <w:proofErr w:type="spellStart"/>
      <w:r w:rsidRPr="006C74A2">
        <w:rPr>
          <w:szCs w:val="24"/>
        </w:rPr>
        <w:t>generis</w:t>
      </w:r>
      <w:proofErr w:type="spellEnd"/>
      <w:r w:rsidRPr="006C74A2">
        <w:rPr>
          <w:szCs w:val="24"/>
        </w:rPr>
        <w:t xml:space="preserve">)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6C74A2" w:rsidRDefault="00551FA8" w:rsidP="00551FA8">
      <w:pPr>
        <w:tabs>
          <w:tab w:val="left" w:pos="567"/>
          <w:tab w:val="left" w:pos="851"/>
          <w:tab w:val="left" w:pos="992"/>
          <w:tab w:val="left" w:pos="1134"/>
        </w:tabs>
        <w:spacing w:line="259" w:lineRule="auto"/>
        <w:jc w:val="both"/>
        <w:rPr>
          <w:rFonts w:eastAsia="Cambria"/>
          <w:b/>
          <w:bCs/>
          <w:szCs w:val="24"/>
          <w:lang w:val="en-US"/>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6C74A2" w:rsidRDefault="00551FA8" w:rsidP="00551FA8">
      <w:pPr>
        <w:tabs>
          <w:tab w:val="left" w:pos="567"/>
          <w:tab w:val="left" w:pos="851"/>
          <w:tab w:val="left" w:pos="992"/>
          <w:tab w:val="left" w:pos="1134"/>
        </w:tabs>
        <w:spacing w:line="259" w:lineRule="auto"/>
        <w:jc w:val="both"/>
        <w:rPr>
          <w:rFonts w:eastAsia="Cambria"/>
          <w:b/>
          <w:bCs/>
          <w:szCs w:val="24"/>
          <w:lang w:val="en-US"/>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E8D594" w16cex:dateUtc="2024-08-13T04:44:00Z"/>
  <w16cex:commentExtensible w16cex:durableId="44A70142" w16cex:dateUtc="2024-08-13T04:47:00Z"/>
  <w16cex:commentExtensible w16cex:durableId="4AEEB7F1" w16cex:dateUtc="2024-08-13T04:58:00Z"/>
  <w16cex:commentExtensible w16cex:durableId="0ADF2BEE" w16cex:dateUtc="2024-08-13T05: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36425" w14:textId="77777777" w:rsidR="00171060" w:rsidRDefault="00171060">
      <w:r>
        <w:separator/>
      </w:r>
    </w:p>
  </w:endnote>
  <w:endnote w:type="continuationSeparator" w:id="0">
    <w:p w14:paraId="382703B6" w14:textId="77777777" w:rsidR="00171060" w:rsidRDefault="0017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171060" w:rsidRDefault="001710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171060" w:rsidRDefault="0017106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171060" w:rsidRDefault="001710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3072C" w14:textId="77777777" w:rsidR="00171060" w:rsidRDefault="00171060">
      <w:r>
        <w:separator/>
      </w:r>
    </w:p>
  </w:footnote>
  <w:footnote w:type="continuationSeparator" w:id="0">
    <w:p w14:paraId="61E6D1D9" w14:textId="77777777" w:rsidR="00171060" w:rsidRDefault="00171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171060" w:rsidRDefault="001710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171060" w:rsidRDefault="00171060">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171060" w:rsidRDefault="001710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19C9"/>
    <w:rsid w:val="000B2476"/>
    <w:rsid w:val="000D52AC"/>
    <w:rsid w:val="000E6307"/>
    <w:rsid w:val="00132B43"/>
    <w:rsid w:val="00142629"/>
    <w:rsid w:val="001608C2"/>
    <w:rsid w:val="001659B6"/>
    <w:rsid w:val="00171060"/>
    <w:rsid w:val="001740E3"/>
    <w:rsid w:val="001A0C2E"/>
    <w:rsid w:val="001F2A74"/>
    <w:rsid w:val="001F3581"/>
    <w:rsid w:val="00242706"/>
    <w:rsid w:val="00271053"/>
    <w:rsid w:val="0028363D"/>
    <w:rsid w:val="002859F6"/>
    <w:rsid w:val="002B362D"/>
    <w:rsid w:val="002D586C"/>
    <w:rsid w:val="002E3A58"/>
    <w:rsid w:val="00324AAC"/>
    <w:rsid w:val="00327C7C"/>
    <w:rsid w:val="003418F0"/>
    <w:rsid w:val="003969E1"/>
    <w:rsid w:val="003C177C"/>
    <w:rsid w:val="003D0A58"/>
    <w:rsid w:val="004012E3"/>
    <w:rsid w:val="00401327"/>
    <w:rsid w:val="004346C8"/>
    <w:rsid w:val="00466E54"/>
    <w:rsid w:val="004A050D"/>
    <w:rsid w:val="004B1A85"/>
    <w:rsid w:val="004D1507"/>
    <w:rsid w:val="00505D38"/>
    <w:rsid w:val="00551FA8"/>
    <w:rsid w:val="005B4EF0"/>
    <w:rsid w:val="005B6381"/>
    <w:rsid w:val="005F65D3"/>
    <w:rsid w:val="005F6B4C"/>
    <w:rsid w:val="00646D84"/>
    <w:rsid w:val="006B5110"/>
    <w:rsid w:val="006C0EBF"/>
    <w:rsid w:val="006C74A2"/>
    <w:rsid w:val="006D57AB"/>
    <w:rsid w:val="006F5BA7"/>
    <w:rsid w:val="007029A5"/>
    <w:rsid w:val="007D2C2F"/>
    <w:rsid w:val="00802B8D"/>
    <w:rsid w:val="00805C9A"/>
    <w:rsid w:val="0083391E"/>
    <w:rsid w:val="008615B9"/>
    <w:rsid w:val="00881857"/>
    <w:rsid w:val="008873A0"/>
    <w:rsid w:val="00887B56"/>
    <w:rsid w:val="00892B93"/>
    <w:rsid w:val="00896D87"/>
    <w:rsid w:val="008A17CD"/>
    <w:rsid w:val="00960ED5"/>
    <w:rsid w:val="009632BE"/>
    <w:rsid w:val="0099654E"/>
    <w:rsid w:val="009A7251"/>
    <w:rsid w:val="009E589E"/>
    <w:rsid w:val="009E65BD"/>
    <w:rsid w:val="00A2147F"/>
    <w:rsid w:val="00A30F41"/>
    <w:rsid w:val="00A61408"/>
    <w:rsid w:val="00AF2D88"/>
    <w:rsid w:val="00B16690"/>
    <w:rsid w:val="00B273D3"/>
    <w:rsid w:val="00B90CB5"/>
    <w:rsid w:val="00BA0145"/>
    <w:rsid w:val="00BA236F"/>
    <w:rsid w:val="00BE497C"/>
    <w:rsid w:val="00C17984"/>
    <w:rsid w:val="00C36C7A"/>
    <w:rsid w:val="00C516DE"/>
    <w:rsid w:val="00C7081A"/>
    <w:rsid w:val="00C735AD"/>
    <w:rsid w:val="00C91E72"/>
    <w:rsid w:val="00CA3901"/>
    <w:rsid w:val="00CD4094"/>
    <w:rsid w:val="00D20EE8"/>
    <w:rsid w:val="00D81341"/>
    <w:rsid w:val="00D9186E"/>
    <w:rsid w:val="00D96FD2"/>
    <w:rsid w:val="00DE1404"/>
    <w:rsid w:val="00E02AE0"/>
    <w:rsid w:val="00E068EA"/>
    <w:rsid w:val="00E24878"/>
    <w:rsid w:val="00E265FD"/>
    <w:rsid w:val="00EA3F9D"/>
    <w:rsid w:val="00EE3697"/>
    <w:rsid w:val="00EF2BB2"/>
    <w:rsid w:val="00F038A5"/>
    <w:rsid w:val="00F130C8"/>
    <w:rsid w:val="00F528BE"/>
    <w:rsid w:val="00F74272"/>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6786A"/>
    <w:rsid w:val="00133535"/>
    <w:rsid w:val="00151BE0"/>
    <w:rsid w:val="001770A8"/>
    <w:rsid w:val="001A46B6"/>
    <w:rsid w:val="0023032B"/>
    <w:rsid w:val="00324AAC"/>
    <w:rsid w:val="004A0F25"/>
    <w:rsid w:val="004F191C"/>
    <w:rsid w:val="00825A10"/>
    <w:rsid w:val="0089742A"/>
    <w:rsid w:val="008B3528"/>
    <w:rsid w:val="00906F92"/>
    <w:rsid w:val="00956454"/>
    <w:rsid w:val="00980C67"/>
    <w:rsid w:val="00B6360D"/>
    <w:rsid w:val="00BC0F15"/>
    <w:rsid w:val="00C1794C"/>
    <w:rsid w:val="00C205B3"/>
    <w:rsid w:val="00CE2A41"/>
    <w:rsid w:val="00CF0B0C"/>
    <w:rsid w:val="00D57B1F"/>
    <w:rsid w:val="00E3744F"/>
    <w:rsid w:val="00E768A4"/>
    <w:rsid w:val="00EE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CAD3B7A0F8104D2DB6066DF328D84975">
    <w:name w:val="CAD3B7A0F8104D2DB6066DF328D84975"/>
    <w:rsid w:val="00980C67"/>
  </w:style>
  <w:style w:type="paragraph" w:customStyle="1" w:styleId="86CF328290CE4B26B4B91C5984C25D95">
    <w:name w:val="86CF328290CE4B26B4B91C5984C25D95"/>
    <w:rsid w:val="00980C67"/>
  </w:style>
  <w:style w:type="paragraph" w:customStyle="1" w:styleId="18388E91BEB34EC2BF227776FACE446A">
    <w:name w:val="18388E91BEB34EC2BF227776FACE446A"/>
    <w:rsid w:val="00980C67"/>
  </w:style>
  <w:style w:type="paragraph" w:customStyle="1" w:styleId="B600F11F46B847C593E4ABF18DB7F1B9">
    <w:name w:val="B600F11F46B847C593E4ABF18DB7F1B9"/>
    <w:rsid w:val="00980C67"/>
  </w:style>
  <w:style w:type="paragraph" w:customStyle="1" w:styleId="83EFFC8CC79541949DF6A29EE5321DB9">
    <w:name w:val="83EFFC8CC79541949DF6A29EE5321DB9"/>
    <w:rsid w:val="00980C67"/>
  </w:style>
  <w:style w:type="paragraph" w:customStyle="1" w:styleId="7E02EF1B3C9F434BA9D9FD663BED0C8C">
    <w:name w:val="7E02EF1B3C9F434BA9D9FD663BED0C8C"/>
    <w:rsid w:val="00C1794C"/>
  </w:style>
  <w:style w:type="paragraph" w:customStyle="1" w:styleId="A2142D9D14D64F508C32A1FB593ED026">
    <w:name w:val="A2142D9D14D64F508C32A1FB593ED026"/>
    <w:rsid w:val="00C1794C"/>
  </w:style>
  <w:style w:type="paragraph" w:customStyle="1" w:styleId="F8861CB6D1D64351813FD0D5B5A93C99">
    <w:name w:val="F8861CB6D1D64351813FD0D5B5A93C99"/>
    <w:rsid w:val="00C1794C"/>
  </w:style>
  <w:style w:type="paragraph" w:customStyle="1" w:styleId="20FA83C3F4A749FC83790F1FD12AB366">
    <w:name w:val="20FA83C3F4A749FC83790F1FD12AB366"/>
    <w:rsid w:val="00C1794C"/>
  </w:style>
  <w:style w:type="paragraph" w:customStyle="1" w:styleId="F4F9EEC2F2A44F21941B313CE394D5D1">
    <w:name w:val="F4F9EEC2F2A44F21941B313CE394D5D1"/>
    <w:rsid w:val="00C1794C"/>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16D13-5AA4-40DC-8AAE-46DABEC4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purl.org/dc/dcmitype/"/>
    <ds:schemaRef ds:uri="http://purl.org/dc/terms/"/>
    <ds:schemaRef ds:uri="http://schemas.microsoft.com/office/2006/documentManagement/types"/>
    <ds:schemaRef ds:uri="5bae7d12-13eb-4134-a1d8-2ddc8d2534e1"/>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64225</Words>
  <Characters>36609</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Rasa Sidaravičienė</cp:lastModifiedBy>
  <cp:revision>15</cp:revision>
  <dcterms:created xsi:type="dcterms:W3CDTF">2024-10-21T11:42:00Z</dcterms:created>
  <dcterms:modified xsi:type="dcterms:W3CDTF">2024-10-28T09:17:00Z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