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4927C" w14:textId="3616B154" w:rsidR="00622AB5" w:rsidRPr="009C7C55" w:rsidRDefault="00622AB5" w:rsidP="00622AB5">
      <w:pPr>
        <w:numPr>
          <w:ilvl w:val="1"/>
          <w:numId w:val="0"/>
        </w:numPr>
        <w:spacing w:after="240"/>
        <w:jc w:val="center"/>
        <w:rPr>
          <w:rFonts w:ascii="Tahoma" w:hAnsi="Tahoma" w:cs="Tahoma"/>
          <w:b/>
          <w:bCs/>
          <w:caps/>
          <w:smallCaps/>
          <w:noProof/>
          <w:spacing w:val="20"/>
          <w:sz w:val="22"/>
          <w:szCs w:val="22"/>
        </w:rPr>
      </w:pPr>
      <w:r w:rsidRPr="009C7C55">
        <w:rPr>
          <w:rFonts w:ascii="Tahoma" w:hAnsi="Tahoma" w:cs="Tahoma"/>
          <w:b/>
          <w:caps/>
          <w:noProof/>
          <w:spacing w:val="20"/>
          <w:sz w:val="22"/>
          <w:szCs w:val="22"/>
        </w:rPr>
        <w:t>PASIŪLYMŲ VERTINIMO KRITERIJAI ir Sąlygos</w:t>
      </w:r>
    </w:p>
    <w:p w14:paraId="562472BE" w14:textId="329DF401" w:rsidR="00622AB5" w:rsidRPr="009C7C55" w:rsidRDefault="00622AB5" w:rsidP="000D50AA">
      <w:pPr>
        <w:pStyle w:val="ListParagraph"/>
        <w:numPr>
          <w:ilvl w:val="0"/>
          <w:numId w:val="2"/>
        </w:numPr>
        <w:tabs>
          <w:tab w:val="left" w:pos="993"/>
        </w:tabs>
        <w:spacing w:after="0" w:line="240" w:lineRule="auto"/>
        <w:ind w:left="0" w:firstLine="567"/>
        <w:jc w:val="both"/>
        <w:rPr>
          <w:rFonts w:cs="Tahoma"/>
          <w:noProof/>
        </w:rPr>
      </w:pPr>
      <w:r w:rsidRPr="009C7C55">
        <w:rPr>
          <w:rFonts w:cs="Tahoma"/>
          <w:noProof/>
        </w:rPr>
        <w:t xml:space="preserve">Perkančioji organizacija ekonomiškai naudingiausią pasiūlymą išrenka pagal kainą ir </w:t>
      </w:r>
      <w:r w:rsidR="00B84DA7" w:rsidRPr="009C7C55">
        <w:rPr>
          <w:rFonts w:cs="Tahoma"/>
          <w:noProof/>
        </w:rPr>
        <w:t>kokybę</w:t>
      </w:r>
      <w:r w:rsidRPr="009C7C55">
        <w:rPr>
          <w:rFonts w:cs="Tahoma"/>
          <w:noProof/>
        </w:rPr>
        <w:t>, vadovaudamasi šiame priede nustatyta vertinimo tvarka.</w:t>
      </w:r>
    </w:p>
    <w:p w14:paraId="3A09D6EE" w14:textId="77777777" w:rsidR="00A43CAB" w:rsidRPr="00A06155" w:rsidRDefault="00A43CAB" w:rsidP="000D50AA">
      <w:pPr>
        <w:pStyle w:val="ListParagraph"/>
        <w:numPr>
          <w:ilvl w:val="0"/>
          <w:numId w:val="2"/>
        </w:numPr>
        <w:tabs>
          <w:tab w:val="left" w:pos="993"/>
        </w:tabs>
        <w:spacing w:after="0" w:line="240" w:lineRule="auto"/>
        <w:ind w:left="0" w:firstLine="567"/>
        <w:jc w:val="both"/>
        <w:rPr>
          <w:rFonts w:cs="Tahoma"/>
          <w:noProof/>
        </w:rPr>
      </w:pPr>
      <w:r w:rsidRPr="00A06155">
        <w:rPr>
          <w:rFonts w:cs="Tahoma"/>
          <w:shd w:val="clear" w:color="auto" w:fill="FFFFFF"/>
        </w:rPr>
        <w:t>Pasiūlyme nurodyta pirkimo objekto kaina visais atvejais laikoma neįprastai maža, jeigu ji</w:t>
      </w:r>
      <w:r w:rsidRPr="00A06155">
        <w:rPr>
          <w:rFonts w:cs="Tahoma"/>
        </w:rPr>
        <w:br/>
      </w:r>
      <w:r w:rsidRPr="00A06155">
        <w:rPr>
          <w:rFonts w:cs="Tahoma"/>
          <w:shd w:val="clear" w:color="auto" w:fill="FFFFFF"/>
        </w:rPr>
        <w:t>yra 30 ir daugiau procentų mažesnė už visų tiekėjų, kurių pasiūlymai neatmesti dėl kitų priežasčių ir</w:t>
      </w:r>
      <w:r w:rsidRPr="00A06155">
        <w:rPr>
          <w:rFonts w:cs="Tahoma"/>
        </w:rPr>
        <w:br/>
      </w:r>
      <w:r w:rsidRPr="00A06155">
        <w:rPr>
          <w:rFonts w:cs="Tahoma"/>
          <w:shd w:val="clear" w:color="auto" w:fill="FFFFFF"/>
        </w:rPr>
        <w:t>kurių pasiūlyta kaina neviršija pirkimui skirtų lėšų, nustatytų ir užfiksuotų perkančiosios organizacijos</w:t>
      </w:r>
      <w:r w:rsidRPr="00A06155">
        <w:rPr>
          <w:rFonts w:cs="Tahoma"/>
        </w:rPr>
        <w:br/>
      </w:r>
      <w:r w:rsidRPr="00A06155">
        <w:rPr>
          <w:rFonts w:cs="Tahoma"/>
          <w:shd w:val="clear" w:color="auto" w:fill="FFFFFF"/>
        </w:rPr>
        <w:t>rengiamuose dokumentuose prieš pradedant pirkimo procedūrą, pasiūlytos kainos aritmetinį vidurk</w:t>
      </w:r>
      <w:r>
        <w:rPr>
          <w:rFonts w:cs="Tahoma"/>
          <w:shd w:val="clear" w:color="auto" w:fill="FFFFFF"/>
        </w:rPr>
        <w:t>į.</w:t>
      </w:r>
    </w:p>
    <w:p w14:paraId="33862312" w14:textId="589DD539" w:rsidR="00622AB5" w:rsidRPr="009C7C55" w:rsidRDefault="00622AB5" w:rsidP="000D50AA">
      <w:pPr>
        <w:pStyle w:val="ListParagraph"/>
        <w:numPr>
          <w:ilvl w:val="0"/>
          <w:numId w:val="2"/>
        </w:numPr>
        <w:tabs>
          <w:tab w:val="left" w:pos="993"/>
        </w:tabs>
        <w:spacing w:after="0" w:line="240" w:lineRule="auto"/>
        <w:ind w:left="0" w:firstLine="567"/>
        <w:jc w:val="both"/>
        <w:rPr>
          <w:rFonts w:cs="Tahoma"/>
          <w:noProof/>
        </w:rPr>
      </w:pPr>
      <w:r w:rsidRPr="009C7C55">
        <w:rPr>
          <w:rFonts w:cs="Tahoma"/>
          <w:noProof/>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3BFC3F68" w14:textId="1917E3BE" w:rsidR="00622AB5" w:rsidRPr="009C7C55" w:rsidRDefault="00B31750" w:rsidP="000D50AA">
      <w:pPr>
        <w:pStyle w:val="ListParagraph"/>
        <w:numPr>
          <w:ilvl w:val="0"/>
          <w:numId w:val="2"/>
        </w:numPr>
        <w:tabs>
          <w:tab w:val="left" w:pos="993"/>
        </w:tabs>
        <w:spacing w:after="0" w:line="240" w:lineRule="auto"/>
        <w:ind w:left="0" w:firstLine="567"/>
        <w:jc w:val="both"/>
        <w:rPr>
          <w:rFonts w:cs="Tahoma"/>
          <w:noProof/>
        </w:rPr>
      </w:pPr>
      <w:r w:rsidRPr="009C7C55">
        <w:rPr>
          <w:rFonts w:cs="Tahoma"/>
          <w:noProof/>
        </w:rPr>
        <w:t>Pasiūlymų vertinimo kriterijai:</w:t>
      </w:r>
    </w:p>
    <w:tbl>
      <w:tblPr>
        <w:tblpPr w:leftFromText="180" w:rightFromText="180" w:vertAnchor="text" w:tblpY="8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0"/>
        <w:gridCol w:w="1984"/>
      </w:tblGrid>
      <w:tr w:rsidR="00622AB5" w:rsidRPr="009C7C55" w14:paraId="6DB6C155" w14:textId="77777777" w:rsidTr="00A8606A">
        <w:trPr>
          <w:cantSplit/>
          <w:trHeight w:val="673"/>
        </w:trPr>
        <w:tc>
          <w:tcPr>
            <w:tcW w:w="6232" w:type="dxa"/>
            <w:vAlign w:val="center"/>
          </w:tcPr>
          <w:p w14:paraId="571958C3" w14:textId="77777777" w:rsidR="00622AB5" w:rsidRPr="009C7C55" w:rsidRDefault="00622AB5" w:rsidP="00A8606A">
            <w:pPr>
              <w:widowControl w:val="0"/>
              <w:tabs>
                <w:tab w:val="left" w:pos="851"/>
              </w:tabs>
              <w:spacing w:line="240" w:lineRule="auto"/>
              <w:jc w:val="center"/>
              <w:rPr>
                <w:rFonts w:ascii="Tahoma" w:eastAsia="Times New Roman" w:hAnsi="Tahoma" w:cs="Tahoma"/>
                <w:b/>
                <w:noProof/>
                <w:sz w:val="22"/>
                <w:szCs w:val="22"/>
              </w:rPr>
            </w:pPr>
            <w:r w:rsidRPr="009C7C55">
              <w:rPr>
                <w:rFonts w:ascii="Tahoma" w:eastAsia="Times New Roman" w:hAnsi="Tahoma" w:cs="Tahoma"/>
                <w:b/>
                <w:noProof/>
                <w:sz w:val="22"/>
                <w:szCs w:val="22"/>
              </w:rPr>
              <w:t>VERTINIMO KRITERIJAI</w:t>
            </w:r>
          </w:p>
        </w:tc>
        <w:tc>
          <w:tcPr>
            <w:tcW w:w="1560" w:type="dxa"/>
            <w:vAlign w:val="center"/>
          </w:tcPr>
          <w:p w14:paraId="026F24D5" w14:textId="77777777" w:rsidR="00622AB5" w:rsidRPr="009C7C55" w:rsidRDefault="00622AB5" w:rsidP="00A8606A">
            <w:pPr>
              <w:widowControl w:val="0"/>
              <w:tabs>
                <w:tab w:val="left" w:pos="851"/>
              </w:tabs>
              <w:spacing w:line="240" w:lineRule="auto"/>
              <w:ind w:right="-108"/>
              <w:jc w:val="center"/>
              <w:rPr>
                <w:rFonts w:ascii="Tahoma" w:eastAsia="Times New Roman" w:hAnsi="Tahoma" w:cs="Tahoma"/>
                <w:b/>
                <w:noProof/>
                <w:sz w:val="22"/>
                <w:szCs w:val="22"/>
              </w:rPr>
            </w:pPr>
            <w:r w:rsidRPr="009C7C55">
              <w:rPr>
                <w:rFonts w:ascii="Tahoma" w:eastAsia="Times New Roman" w:hAnsi="Tahoma" w:cs="Tahoma"/>
                <w:b/>
                <w:noProof/>
                <w:sz w:val="22"/>
                <w:szCs w:val="22"/>
              </w:rPr>
              <w:t>Funkciniam parametrui suteikiami balai</w:t>
            </w:r>
          </w:p>
        </w:tc>
        <w:tc>
          <w:tcPr>
            <w:tcW w:w="1984" w:type="dxa"/>
            <w:vAlign w:val="center"/>
          </w:tcPr>
          <w:p w14:paraId="7CE4B9BF" w14:textId="77777777" w:rsidR="00622AB5" w:rsidRPr="009C7C55" w:rsidRDefault="00622AB5" w:rsidP="00A8606A">
            <w:pPr>
              <w:widowControl w:val="0"/>
              <w:tabs>
                <w:tab w:val="left" w:pos="851"/>
              </w:tabs>
              <w:spacing w:line="240" w:lineRule="auto"/>
              <w:ind w:right="-9"/>
              <w:jc w:val="center"/>
              <w:rPr>
                <w:rFonts w:ascii="Tahoma" w:eastAsia="Times New Roman" w:hAnsi="Tahoma" w:cs="Tahoma"/>
                <w:b/>
                <w:i/>
                <w:iCs/>
                <w:noProof/>
                <w:sz w:val="22"/>
                <w:szCs w:val="22"/>
              </w:rPr>
            </w:pPr>
            <w:r w:rsidRPr="009C7C55">
              <w:rPr>
                <w:rFonts w:ascii="Tahoma" w:eastAsia="Times New Roman" w:hAnsi="Tahoma" w:cs="Tahoma"/>
                <w:b/>
                <w:noProof/>
                <w:sz w:val="22"/>
                <w:szCs w:val="22"/>
              </w:rPr>
              <w:t xml:space="preserve">Lyginamasis svoris ekonominio naudingumo įvertinime </w:t>
            </w:r>
          </w:p>
        </w:tc>
      </w:tr>
      <w:tr w:rsidR="00622AB5" w:rsidRPr="009C7C55" w14:paraId="5785EBC5" w14:textId="77777777" w:rsidTr="00A8606A">
        <w:trPr>
          <w:cantSplit/>
          <w:trHeight w:val="209"/>
        </w:trPr>
        <w:tc>
          <w:tcPr>
            <w:tcW w:w="6232" w:type="dxa"/>
          </w:tcPr>
          <w:p w14:paraId="1723CED8" w14:textId="5B53DFB3" w:rsidR="00622AB5" w:rsidRPr="009C7C55" w:rsidRDefault="009C7C55" w:rsidP="00A8606A">
            <w:pPr>
              <w:tabs>
                <w:tab w:val="left" w:pos="601"/>
              </w:tabs>
              <w:spacing w:after="0" w:line="240" w:lineRule="auto"/>
              <w:ind w:left="22" w:right="1633"/>
              <w:contextualSpacing/>
              <w:rPr>
                <w:rFonts w:ascii="Tahoma" w:eastAsia="Times New Roman" w:hAnsi="Tahoma" w:cs="Tahoma"/>
                <w:b/>
                <w:iCs/>
                <w:noProof/>
                <w:sz w:val="22"/>
                <w:szCs w:val="22"/>
              </w:rPr>
            </w:pPr>
            <w:r>
              <w:rPr>
                <w:rFonts w:ascii="Tahoma" w:eastAsia="Times New Roman" w:hAnsi="Tahoma" w:cs="Tahoma"/>
                <w:b/>
                <w:iCs/>
                <w:noProof/>
                <w:sz w:val="22"/>
                <w:szCs w:val="22"/>
                <w:lang w:val="en-US"/>
              </w:rPr>
              <w:t xml:space="preserve">4.1. </w:t>
            </w:r>
            <w:r w:rsidR="00622AB5" w:rsidRPr="009C7C55">
              <w:rPr>
                <w:rFonts w:ascii="Tahoma" w:eastAsia="Times New Roman" w:hAnsi="Tahoma" w:cs="Tahoma"/>
                <w:b/>
                <w:iCs/>
                <w:noProof/>
                <w:sz w:val="22"/>
                <w:szCs w:val="22"/>
              </w:rPr>
              <w:t>Pirmas kriterijus – kaina (C)</w:t>
            </w:r>
          </w:p>
          <w:p w14:paraId="53C2FCC6" w14:textId="5CE36852" w:rsidR="00622AB5" w:rsidRPr="009C7C55" w:rsidRDefault="00622AB5" w:rsidP="007B1FA4">
            <w:pPr>
              <w:tabs>
                <w:tab w:val="left" w:pos="851"/>
              </w:tabs>
              <w:spacing w:after="0" w:line="240" w:lineRule="auto"/>
              <w:ind w:right="-106"/>
              <w:jc w:val="both"/>
              <w:rPr>
                <w:rFonts w:ascii="Tahoma" w:eastAsia="Times New Roman" w:hAnsi="Tahoma" w:cs="Tahoma"/>
                <w:iCs/>
                <w:noProof/>
                <w:sz w:val="22"/>
                <w:szCs w:val="22"/>
              </w:rPr>
            </w:pPr>
            <w:r w:rsidRPr="009C7C55">
              <w:rPr>
                <w:rFonts w:ascii="Tahoma" w:eastAsia="Times New Roman" w:hAnsi="Tahoma" w:cs="Tahoma"/>
                <w:iCs/>
                <w:noProof/>
                <w:sz w:val="22"/>
                <w:szCs w:val="22"/>
              </w:rPr>
              <w:t>Vertinama pasiūlymo kaina eurais už visą pirkimo objektą, įskaitant visus mokesčius (taip pat ir PVM, jei taikoma) ir visas tiekėjo išlaidas, susijusias su sutarties vykdymu</w:t>
            </w:r>
            <w:r w:rsidR="00E63BD1" w:rsidRPr="009C7C55">
              <w:rPr>
                <w:rFonts w:ascii="Tahoma" w:eastAsia="Times New Roman" w:hAnsi="Tahoma" w:cs="Tahoma"/>
                <w:iCs/>
                <w:noProof/>
                <w:sz w:val="22"/>
                <w:szCs w:val="22"/>
              </w:rPr>
              <w:t>.</w:t>
            </w:r>
          </w:p>
        </w:tc>
        <w:tc>
          <w:tcPr>
            <w:tcW w:w="1560" w:type="dxa"/>
          </w:tcPr>
          <w:p w14:paraId="7A681CA1" w14:textId="77777777" w:rsidR="00622AB5" w:rsidRPr="009C7C55" w:rsidRDefault="00622AB5" w:rsidP="00A8606A">
            <w:pPr>
              <w:widowControl w:val="0"/>
              <w:tabs>
                <w:tab w:val="left" w:pos="851"/>
              </w:tabs>
              <w:spacing w:line="240" w:lineRule="auto"/>
              <w:jc w:val="center"/>
              <w:rPr>
                <w:rFonts w:ascii="Tahoma" w:eastAsia="Times New Roman" w:hAnsi="Tahoma" w:cs="Tahoma"/>
                <w:noProof/>
                <w:sz w:val="22"/>
                <w:szCs w:val="22"/>
              </w:rPr>
            </w:pPr>
          </w:p>
        </w:tc>
        <w:tc>
          <w:tcPr>
            <w:tcW w:w="1984" w:type="dxa"/>
          </w:tcPr>
          <w:p w14:paraId="071F517D" w14:textId="03A71247" w:rsidR="00622AB5" w:rsidRPr="009C7C55" w:rsidRDefault="00622AB5" w:rsidP="001709D9">
            <w:pPr>
              <w:widowControl w:val="0"/>
              <w:tabs>
                <w:tab w:val="left" w:pos="851"/>
              </w:tabs>
              <w:spacing w:line="240" w:lineRule="auto"/>
              <w:jc w:val="center"/>
              <w:rPr>
                <w:rFonts w:ascii="Tahoma" w:eastAsia="Times New Roman" w:hAnsi="Tahoma" w:cs="Tahoma"/>
                <w:noProof/>
                <w:sz w:val="22"/>
                <w:szCs w:val="22"/>
              </w:rPr>
            </w:pPr>
            <w:r w:rsidRPr="009C7C55">
              <w:rPr>
                <w:rFonts w:ascii="Tahoma" w:eastAsia="Times New Roman" w:hAnsi="Tahoma" w:cs="Tahoma"/>
                <w:noProof/>
                <w:sz w:val="22"/>
                <w:szCs w:val="22"/>
              </w:rPr>
              <w:t>X=</w:t>
            </w:r>
            <w:r w:rsidR="003B446D" w:rsidRPr="009C7C55">
              <w:rPr>
                <w:rFonts w:ascii="Tahoma" w:eastAsia="Times New Roman" w:hAnsi="Tahoma" w:cs="Tahoma"/>
                <w:noProof/>
                <w:sz w:val="22"/>
                <w:szCs w:val="22"/>
              </w:rPr>
              <w:t>99</w:t>
            </w:r>
          </w:p>
        </w:tc>
      </w:tr>
      <w:tr w:rsidR="00C02165" w:rsidRPr="009C7C55" w14:paraId="20C2D9A1" w14:textId="77777777" w:rsidTr="0044232E">
        <w:trPr>
          <w:cantSplit/>
          <w:trHeight w:val="1973"/>
        </w:trPr>
        <w:tc>
          <w:tcPr>
            <w:tcW w:w="6232" w:type="dxa"/>
          </w:tcPr>
          <w:p w14:paraId="2642B62E" w14:textId="6DA1BB6D" w:rsidR="00C02165" w:rsidRPr="009C7C55" w:rsidRDefault="009C7C55" w:rsidP="00C02165">
            <w:pPr>
              <w:spacing w:after="0" w:line="240" w:lineRule="auto"/>
              <w:jc w:val="both"/>
              <w:rPr>
                <w:rFonts w:ascii="Tahoma" w:eastAsia="Times New Roman" w:hAnsi="Tahoma" w:cs="Tahoma"/>
                <w:b/>
                <w:bCs/>
                <w:noProof/>
                <w:sz w:val="22"/>
                <w:szCs w:val="22"/>
                <w:lang w:eastAsia="en-US"/>
              </w:rPr>
            </w:pPr>
            <w:r>
              <w:rPr>
                <w:rFonts w:ascii="Tahoma" w:eastAsia="Times New Roman" w:hAnsi="Tahoma" w:cs="Tahoma"/>
                <w:b/>
                <w:noProof/>
                <w:sz w:val="22"/>
                <w:szCs w:val="22"/>
                <w:lang w:eastAsia="en-US"/>
              </w:rPr>
              <w:t xml:space="preserve">4.2. </w:t>
            </w:r>
            <w:r w:rsidR="00B84DA7" w:rsidRPr="009C7C55">
              <w:rPr>
                <w:rFonts w:ascii="Tahoma" w:eastAsia="Times New Roman" w:hAnsi="Tahoma" w:cs="Tahoma"/>
                <w:b/>
                <w:noProof/>
                <w:sz w:val="22"/>
                <w:szCs w:val="22"/>
                <w:lang w:eastAsia="en-US"/>
              </w:rPr>
              <w:t>Antrasis</w:t>
            </w:r>
            <w:r w:rsidR="007B1FA4" w:rsidRPr="009C7C55">
              <w:rPr>
                <w:rFonts w:ascii="Tahoma" w:eastAsia="Times New Roman" w:hAnsi="Tahoma" w:cs="Tahoma"/>
                <w:b/>
                <w:noProof/>
                <w:sz w:val="22"/>
                <w:szCs w:val="22"/>
                <w:lang w:eastAsia="en-US"/>
              </w:rPr>
              <w:t xml:space="preserve"> kriterijus</w:t>
            </w:r>
            <w:r w:rsidR="00521C86" w:rsidRPr="009C7C55">
              <w:rPr>
                <w:rFonts w:ascii="Tahoma" w:eastAsia="Times New Roman" w:hAnsi="Tahoma" w:cs="Tahoma"/>
                <w:b/>
                <w:iCs/>
                <w:noProof/>
                <w:sz w:val="22"/>
                <w:szCs w:val="22"/>
              </w:rPr>
              <w:t xml:space="preserve"> – </w:t>
            </w:r>
            <w:r w:rsidR="007B1FA4" w:rsidRPr="009C7C55">
              <w:rPr>
                <w:rFonts w:ascii="Tahoma" w:hAnsi="Tahoma" w:cs="Tahoma"/>
                <w:b/>
                <w:noProof/>
                <w:sz w:val="22"/>
                <w:szCs w:val="22"/>
              </w:rPr>
              <w:t>l</w:t>
            </w:r>
            <w:r w:rsidR="007B1FA4" w:rsidRPr="009C7C55">
              <w:rPr>
                <w:rFonts w:ascii="Tahoma" w:eastAsia="Times New Roman" w:hAnsi="Tahoma" w:cs="Tahoma"/>
                <w:b/>
                <w:noProof/>
                <w:sz w:val="22"/>
                <w:szCs w:val="22"/>
                <w:lang w:eastAsia="en-US"/>
              </w:rPr>
              <w:t xml:space="preserve">icencijų </w:t>
            </w:r>
            <w:r w:rsidR="00EB2A21">
              <w:rPr>
                <w:rFonts w:ascii="Tahoma" w:eastAsia="Times New Roman" w:hAnsi="Tahoma" w:cs="Tahoma"/>
                <w:b/>
                <w:noProof/>
                <w:sz w:val="22"/>
                <w:szCs w:val="22"/>
                <w:lang w:eastAsia="en-US"/>
              </w:rPr>
              <w:t xml:space="preserve">palaikymo </w:t>
            </w:r>
            <w:r w:rsidR="007B1FA4" w:rsidRPr="009C7C55">
              <w:rPr>
                <w:rFonts w:ascii="Tahoma" w:eastAsia="Times New Roman" w:hAnsi="Tahoma" w:cs="Tahoma"/>
                <w:b/>
                <w:noProof/>
                <w:sz w:val="22"/>
                <w:szCs w:val="22"/>
                <w:lang w:eastAsia="en-US"/>
              </w:rPr>
              <w:t xml:space="preserve">trūkumų pastebėtų </w:t>
            </w:r>
            <w:r w:rsidR="0098421E">
              <w:t xml:space="preserve"> </w:t>
            </w:r>
            <w:r w:rsidR="0098421E" w:rsidRPr="0098421E">
              <w:rPr>
                <w:rFonts w:ascii="Tahoma" w:eastAsia="Times New Roman" w:hAnsi="Tahoma" w:cs="Tahoma"/>
                <w:b/>
                <w:noProof/>
                <w:sz w:val="22"/>
                <w:szCs w:val="22"/>
                <w:lang w:eastAsia="en-US"/>
              </w:rPr>
              <w:t xml:space="preserve">licencijų </w:t>
            </w:r>
            <w:r w:rsidR="007B1FA4" w:rsidRPr="009C7C55">
              <w:rPr>
                <w:rFonts w:ascii="Tahoma" w:eastAsia="Times New Roman" w:hAnsi="Tahoma" w:cs="Tahoma"/>
                <w:b/>
                <w:noProof/>
                <w:sz w:val="22"/>
                <w:szCs w:val="22"/>
                <w:lang w:eastAsia="en-US"/>
              </w:rPr>
              <w:t>perdavimo – priėmimo metu ar (ir) po akto pasirašymo pašalinimo terminas</w:t>
            </w:r>
            <w:r w:rsidR="007B1FA4" w:rsidRPr="009C7C55" w:rsidDel="00B84DA7">
              <w:rPr>
                <w:rFonts w:ascii="Tahoma" w:eastAsia="Times New Roman" w:hAnsi="Tahoma" w:cs="Tahoma"/>
                <w:b/>
                <w:noProof/>
                <w:sz w:val="22"/>
                <w:szCs w:val="22"/>
                <w:lang w:eastAsia="en-US"/>
              </w:rPr>
              <w:t xml:space="preserve"> </w:t>
            </w:r>
            <w:r w:rsidR="00446EB5" w:rsidRPr="009C7C55">
              <w:rPr>
                <w:rFonts w:ascii="Tahoma" w:eastAsia="Times New Roman" w:hAnsi="Tahoma" w:cs="Tahoma"/>
                <w:b/>
                <w:bCs/>
                <w:noProof/>
                <w:sz w:val="22"/>
                <w:szCs w:val="22"/>
                <w:lang w:eastAsia="en-US"/>
              </w:rPr>
              <w:t>(T</w:t>
            </w:r>
            <w:r w:rsidR="00C02165" w:rsidRPr="009C7C55">
              <w:rPr>
                <w:rFonts w:ascii="Tahoma" w:eastAsia="Times New Roman" w:hAnsi="Tahoma" w:cs="Tahoma"/>
                <w:b/>
                <w:bCs/>
                <w:noProof/>
                <w:sz w:val="22"/>
                <w:szCs w:val="22"/>
                <w:lang w:eastAsia="en-US"/>
              </w:rPr>
              <w:t>)</w:t>
            </w:r>
          </w:p>
          <w:p w14:paraId="114EFF11" w14:textId="77F8477C" w:rsidR="007B1FA4" w:rsidRPr="009C7C55" w:rsidRDefault="007B1FA4" w:rsidP="00C02165">
            <w:pPr>
              <w:spacing w:after="0" w:line="240" w:lineRule="auto"/>
              <w:jc w:val="both"/>
              <w:rPr>
                <w:rFonts w:ascii="Tahoma" w:eastAsia="Times New Roman" w:hAnsi="Tahoma" w:cs="Tahoma"/>
                <w:bCs/>
                <w:noProof/>
                <w:sz w:val="22"/>
                <w:szCs w:val="22"/>
                <w:lang w:eastAsia="en-US"/>
              </w:rPr>
            </w:pPr>
            <w:r w:rsidRPr="009C7C55">
              <w:rPr>
                <w:rFonts w:ascii="Tahoma" w:eastAsia="Times New Roman" w:hAnsi="Tahoma" w:cs="Tahoma"/>
                <w:bCs/>
                <w:noProof/>
                <w:sz w:val="22"/>
                <w:szCs w:val="22"/>
                <w:lang w:eastAsia="en-US"/>
              </w:rPr>
              <w:t>Tiekėjas savo pasiūlyme turi nurodyti jo siūlomą licencijų</w:t>
            </w:r>
            <w:r w:rsidR="00EB2A21">
              <w:rPr>
                <w:rFonts w:ascii="Tahoma" w:eastAsia="Times New Roman" w:hAnsi="Tahoma" w:cs="Tahoma"/>
                <w:bCs/>
                <w:noProof/>
                <w:sz w:val="22"/>
                <w:szCs w:val="22"/>
                <w:lang w:eastAsia="en-US"/>
              </w:rPr>
              <w:t xml:space="preserve"> palaikymo</w:t>
            </w:r>
            <w:r w:rsidRPr="009C7C55">
              <w:rPr>
                <w:rFonts w:ascii="Tahoma" w:eastAsia="Times New Roman" w:hAnsi="Tahoma" w:cs="Tahoma"/>
                <w:bCs/>
                <w:noProof/>
                <w:sz w:val="22"/>
                <w:szCs w:val="22"/>
                <w:lang w:eastAsia="en-US"/>
              </w:rPr>
              <w:t xml:space="preserve"> trūkumų pastebėtų licencijų</w:t>
            </w:r>
            <w:r w:rsidR="00EB2A21">
              <w:rPr>
                <w:rFonts w:ascii="Tahoma" w:eastAsia="Times New Roman" w:hAnsi="Tahoma" w:cs="Tahoma"/>
                <w:bCs/>
                <w:noProof/>
                <w:sz w:val="22"/>
                <w:szCs w:val="22"/>
                <w:lang w:eastAsia="en-US"/>
              </w:rPr>
              <w:t xml:space="preserve"> palaikymo</w:t>
            </w:r>
            <w:r w:rsidRPr="009C7C55">
              <w:rPr>
                <w:rFonts w:ascii="Tahoma" w:eastAsia="Times New Roman" w:hAnsi="Tahoma" w:cs="Tahoma"/>
                <w:bCs/>
                <w:noProof/>
                <w:sz w:val="22"/>
                <w:szCs w:val="22"/>
                <w:lang w:eastAsia="en-US"/>
              </w:rPr>
              <w:t xml:space="preserve"> perdavimo – priėmimo metu ar (ir) po akto pasirašymo pašalinimo terminą darbo dienomis.</w:t>
            </w:r>
          </w:p>
          <w:p w14:paraId="5FBDA67F" w14:textId="4A5B4675" w:rsidR="007B1FA4" w:rsidRPr="009C7C55" w:rsidRDefault="00446EB5" w:rsidP="00C02165">
            <w:pPr>
              <w:spacing w:after="0" w:line="240" w:lineRule="auto"/>
              <w:jc w:val="both"/>
              <w:rPr>
                <w:rFonts w:ascii="Tahoma" w:eastAsia="Times New Roman" w:hAnsi="Tahoma" w:cs="Tahoma"/>
                <w:bCs/>
                <w:noProof/>
                <w:sz w:val="22"/>
                <w:szCs w:val="22"/>
                <w:lang w:eastAsia="en-US"/>
              </w:rPr>
            </w:pPr>
            <w:r w:rsidRPr="009C7C55">
              <w:rPr>
                <w:rFonts w:ascii="Tahoma" w:eastAsia="Times New Roman" w:hAnsi="Tahoma" w:cs="Tahoma"/>
                <w:bCs/>
                <w:noProof/>
                <w:sz w:val="22"/>
                <w:szCs w:val="22"/>
                <w:lang w:eastAsia="en-US"/>
              </w:rPr>
              <w:t>Balai skiriami tokia tvarka:</w:t>
            </w:r>
          </w:p>
          <w:p w14:paraId="2AAAD24B" w14:textId="0317FA3E" w:rsidR="00446EB5" w:rsidRPr="009C7C55" w:rsidRDefault="00446EB5" w:rsidP="00446EB5">
            <w:pPr>
              <w:pStyle w:val="ListParagraph"/>
              <w:numPr>
                <w:ilvl w:val="0"/>
                <w:numId w:val="9"/>
              </w:numPr>
              <w:tabs>
                <w:tab w:val="left" w:pos="457"/>
              </w:tabs>
              <w:spacing w:after="0" w:line="240" w:lineRule="auto"/>
              <w:ind w:left="0" w:firstLine="34"/>
              <w:jc w:val="both"/>
              <w:rPr>
                <w:rFonts w:eastAsia="Times New Roman" w:cs="Tahoma"/>
                <w:bCs/>
                <w:noProof/>
              </w:rPr>
            </w:pPr>
            <w:r w:rsidRPr="009C7C55">
              <w:rPr>
                <w:rFonts w:eastAsia="Times New Roman" w:cs="Tahoma"/>
                <w:bCs/>
                <w:noProof/>
              </w:rPr>
              <w:t>jei tiekėjas pasiūlo 5 (penkių) darbo dienų licencijų</w:t>
            </w:r>
            <w:r w:rsidR="00EB2A21">
              <w:rPr>
                <w:rFonts w:eastAsia="Times New Roman" w:cs="Tahoma"/>
                <w:bCs/>
                <w:noProof/>
              </w:rPr>
              <w:t xml:space="preserve"> palaikymo</w:t>
            </w:r>
            <w:r w:rsidRPr="009C7C55">
              <w:rPr>
                <w:rFonts w:eastAsia="Times New Roman" w:cs="Tahoma"/>
                <w:bCs/>
                <w:noProof/>
              </w:rPr>
              <w:t xml:space="preserve"> trūkumų pastebėtų licencijų</w:t>
            </w:r>
            <w:r w:rsidR="00EB2A21">
              <w:rPr>
                <w:rFonts w:eastAsia="Times New Roman" w:cs="Tahoma"/>
                <w:bCs/>
                <w:noProof/>
              </w:rPr>
              <w:t xml:space="preserve">  palaikymo</w:t>
            </w:r>
            <w:r w:rsidRPr="009C7C55">
              <w:rPr>
                <w:rFonts w:eastAsia="Times New Roman" w:cs="Tahoma"/>
                <w:bCs/>
                <w:noProof/>
              </w:rPr>
              <w:t xml:space="preserve"> perdavimo – priėmimo metu ar (ir) po akto pasirašymo pašalinimo terminą, tiekėjui skiriama</w:t>
            </w:r>
            <w:r w:rsidR="007B18DD" w:rsidRPr="009C7C55">
              <w:rPr>
                <w:rFonts w:eastAsia="Times New Roman" w:cs="Tahoma"/>
                <w:bCs/>
                <w:noProof/>
              </w:rPr>
              <w:t>s</w:t>
            </w:r>
            <w:r w:rsidRPr="009C7C55">
              <w:rPr>
                <w:rFonts w:eastAsia="Times New Roman" w:cs="Tahoma"/>
                <w:bCs/>
                <w:noProof/>
              </w:rPr>
              <w:t xml:space="preserve"> </w:t>
            </w:r>
            <w:r w:rsidR="007B18DD" w:rsidRPr="009C7C55">
              <w:rPr>
                <w:rFonts w:eastAsia="Times New Roman" w:cs="Tahoma"/>
                <w:bCs/>
                <w:noProof/>
              </w:rPr>
              <w:t>1 balas</w:t>
            </w:r>
            <w:r w:rsidRPr="009C7C55">
              <w:rPr>
                <w:rFonts w:eastAsia="Times New Roman" w:cs="Tahoma"/>
                <w:bCs/>
                <w:noProof/>
              </w:rPr>
              <w:t>;</w:t>
            </w:r>
          </w:p>
          <w:p w14:paraId="1D36979C" w14:textId="363F4442" w:rsidR="00446EB5" w:rsidRPr="009C7C55" w:rsidRDefault="00446EB5" w:rsidP="00446EB5">
            <w:pPr>
              <w:pStyle w:val="ListParagraph"/>
              <w:numPr>
                <w:ilvl w:val="0"/>
                <w:numId w:val="9"/>
              </w:numPr>
              <w:tabs>
                <w:tab w:val="left" w:pos="457"/>
              </w:tabs>
              <w:spacing w:after="0" w:line="240" w:lineRule="auto"/>
              <w:ind w:left="0" w:firstLine="34"/>
              <w:jc w:val="both"/>
              <w:rPr>
                <w:rFonts w:eastAsia="Times New Roman" w:cs="Tahoma"/>
                <w:bCs/>
                <w:noProof/>
              </w:rPr>
            </w:pPr>
            <w:r w:rsidRPr="009C7C55">
              <w:rPr>
                <w:rFonts w:eastAsia="Times New Roman" w:cs="Tahoma"/>
                <w:bCs/>
                <w:noProof/>
              </w:rPr>
              <w:t xml:space="preserve">jei tiekėjas pasiūlo 10 (dešimt) darbo dienų licencijų </w:t>
            </w:r>
            <w:r w:rsidR="00EB2A21">
              <w:rPr>
                <w:rFonts w:eastAsia="Times New Roman" w:cs="Tahoma"/>
                <w:bCs/>
                <w:noProof/>
              </w:rPr>
              <w:t xml:space="preserve"> palaikymo</w:t>
            </w:r>
            <w:r w:rsidR="00EB2A21" w:rsidRPr="009C7C55">
              <w:rPr>
                <w:rFonts w:eastAsia="Times New Roman" w:cs="Tahoma"/>
                <w:bCs/>
                <w:noProof/>
              </w:rPr>
              <w:t xml:space="preserve"> </w:t>
            </w:r>
            <w:r w:rsidRPr="009C7C55">
              <w:rPr>
                <w:rFonts w:eastAsia="Times New Roman" w:cs="Tahoma"/>
                <w:bCs/>
                <w:noProof/>
              </w:rPr>
              <w:t>trūkumų pastebėtų licencijų</w:t>
            </w:r>
            <w:r w:rsidR="00EB2A21">
              <w:rPr>
                <w:rFonts w:eastAsia="Times New Roman" w:cs="Tahoma"/>
                <w:bCs/>
                <w:noProof/>
              </w:rPr>
              <w:t xml:space="preserve"> palaikymo</w:t>
            </w:r>
            <w:r w:rsidRPr="009C7C55">
              <w:rPr>
                <w:rFonts w:eastAsia="Times New Roman" w:cs="Tahoma"/>
                <w:bCs/>
                <w:noProof/>
              </w:rPr>
              <w:t xml:space="preserve"> perdavimo – priėmimo metu ar (ir) po akto pasirašymo pašalinimo terminą, tiekėjui skiriama 0 balų.</w:t>
            </w:r>
          </w:p>
          <w:p w14:paraId="598AD6FE" w14:textId="451D48B3" w:rsidR="00C02165" w:rsidRPr="009C7C55" w:rsidRDefault="00C02165" w:rsidP="000D50AA">
            <w:pPr>
              <w:spacing w:after="0" w:line="240" w:lineRule="auto"/>
              <w:jc w:val="both"/>
              <w:rPr>
                <w:rFonts w:ascii="Tahoma" w:eastAsia="Times New Roman" w:hAnsi="Tahoma" w:cs="Tahoma"/>
                <w:bCs/>
                <w:noProof/>
                <w:lang w:eastAsia="en-US"/>
              </w:rPr>
            </w:pPr>
          </w:p>
          <w:p w14:paraId="7F469EC2" w14:textId="6C526E38" w:rsidR="004F3E42" w:rsidRPr="009C7C55" w:rsidRDefault="004F3E42" w:rsidP="00011D38">
            <w:pPr>
              <w:ind w:firstLine="851"/>
              <w:jc w:val="both"/>
              <w:rPr>
                <w:rFonts w:ascii="Tahoma" w:eastAsia="Times New Roman" w:hAnsi="Tahoma" w:cs="Tahoma"/>
                <w:b/>
                <w:bCs/>
                <w:iCs/>
                <w:noProof/>
              </w:rPr>
            </w:pPr>
            <w:r w:rsidRPr="009C7C55">
              <w:rPr>
                <w:rFonts w:ascii="Tahoma" w:eastAsia="Times New Roman" w:hAnsi="Tahoma" w:cs="Tahoma"/>
                <w:b/>
                <w:noProof/>
              </w:rPr>
              <w:t xml:space="preserve">PASTABA. </w:t>
            </w:r>
            <w:r w:rsidR="00446EB5" w:rsidRPr="00F00043">
              <w:rPr>
                <w:rFonts w:ascii="Tahoma" w:eastAsia="Times New Roman" w:hAnsi="Tahoma" w:cs="Tahoma"/>
                <w:b/>
                <w:bCs/>
                <w:iCs/>
                <w:noProof/>
                <w:color w:val="000000" w:themeColor="text1"/>
              </w:rPr>
              <w:t>Jeigu licencijų</w:t>
            </w:r>
            <w:r w:rsidR="00EB2A21">
              <w:rPr>
                <w:rFonts w:eastAsia="Times New Roman" w:cs="Tahoma"/>
                <w:bCs/>
                <w:noProof/>
              </w:rPr>
              <w:t xml:space="preserve"> </w:t>
            </w:r>
            <w:r w:rsidR="00EB2A21" w:rsidRPr="00EB2A21">
              <w:rPr>
                <w:rFonts w:ascii="Tahoma" w:eastAsia="Times New Roman" w:hAnsi="Tahoma" w:cs="Tahoma"/>
                <w:b/>
                <w:bCs/>
                <w:iCs/>
                <w:noProof/>
                <w:color w:val="000000" w:themeColor="text1"/>
              </w:rPr>
              <w:t>palaikymo</w:t>
            </w:r>
            <w:r w:rsidR="00EB2A21">
              <w:rPr>
                <w:rFonts w:eastAsia="Times New Roman" w:cs="Tahoma"/>
                <w:bCs/>
                <w:noProof/>
              </w:rPr>
              <w:t xml:space="preserve"> </w:t>
            </w:r>
            <w:r w:rsidR="00446EB5" w:rsidRPr="00F00043">
              <w:rPr>
                <w:rFonts w:ascii="Tahoma" w:eastAsia="Times New Roman" w:hAnsi="Tahoma" w:cs="Tahoma"/>
                <w:b/>
                <w:bCs/>
                <w:iCs/>
                <w:noProof/>
                <w:color w:val="000000" w:themeColor="text1"/>
              </w:rPr>
              <w:t>trūkumų pastebėtų licencijų</w:t>
            </w:r>
            <w:r w:rsidR="00EB2A21" w:rsidRPr="00EB2A21">
              <w:rPr>
                <w:rFonts w:ascii="Tahoma" w:eastAsia="Times New Roman" w:hAnsi="Tahoma" w:cs="Tahoma"/>
                <w:b/>
                <w:bCs/>
                <w:iCs/>
                <w:noProof/>
                <w:color w:val="000000" w:themeColor="text1"/>
              </w:rPr>
              <w:t xml:space="preserve"> palaikymo</w:t>
            </w:r>
            <w:r w:rsidR="00446EB5" w:rsidRPr="00F00043">
              <w:rPr>
                <w:rFonts w:ascii="Tahoma" w:eastAsia="Times New Roman" w:hAnsi="Tahoma" w:cs="Tahoma"/>
                <w:b/>
                <w:bCs/>
                <w:iCs/>
                <w:noProof/>
                <w:color w:val="000000" w:themeColor="text1"/>
              </w:rPr>
              <w:t xml:space="preserve"> perdavimo – priėmimo metu ar (ir) po akto pasirašymo pašalinimo terminas visai nenurodytas, už </w:t>
            </w:r>
            <w:r w:rsidR="00446EB5" w:rsidRPr="00127C31">
              <w:rPr>
                <w:rFonts w:ascii="Tahoma" w:eastAsia="Times New Roman" w:hAnsi="Tahoma" w:cs="Tahoma"/>
                <w:b/>
                <w:bCs/>
                <w:iCs/>
                <w:noProof/>
                <w:color w:val="000000" w:themeColor="text1"/>
              </w:rPr>
              <w:t xml:space="preserve">termino kriterijų T skiriama 0 (nulis) balų ir </w:t>
            </w:r>
            <w:r w:rsidR="00446EB5" w:rsidRPr="0032616D">
              <w:rPr>
                <w:rFonts w:ascii="Tahoma" w:eastAsia="Times New Roman" w:hAnsi="Tahoma" w:cs="Tahoma"/>
                <w:b/>
                <w:bCs/>
                <w:iCs/>
                <w:noProof/>
                <w:color w:val="000000" w:themeColor="text1"/>
                <w:highlight w:val="yellow"/>
              </w:rPr>
              <w:t xml:space="preserve">Pirkimo sąlygų </w:t>
            </w:r>
            <w:r w:rsidR="00E97BC1">
              <w:rPr>
                <w:rFonts w:ascii="Tahoma" w:eastAsia="Times New Roman" w:hAnsi="Tahoma" w:cs="Tahoma"/>
                <w:b/>
                <w:bCs/>
                <w:iCs/>
                <w:noProof/>
                <w:color w:val="000000" w:themeColor="text1"/>
                <w:highlight w:val="yellow"/>
              </w:rPr>
              <w:t>7</w:t>
            </w:r>
            <w:r w:rsidR="00446EB5" w:rsidRPr="0032616D">
              <w:rPr>
                <w:rFonts w:ascii="Tahoma" w:eastAsia="Times New Roman" w:hAnsi="Tahoma" w:cs="Tahoma"/>
                <w:b/>
                <w:bCs/>
                <w:iCs/>
                <w:noProof/>
                <w:color w:val="000000" w:themeColor="text1"/>
                <w:highlight w:val="yellow"/>
              </w:rPr>
              <w:t xml:space="preserve"> priedo (viešojo pirkimo–pardavimo sutarties specialiosios dalies) </w:t>
            </w:r>
            <w:r w:rsidR="00185141" w:rsidRPr="0032616D">
              <w:rPr>
                <w:rFonts w:ascii="Tahoma" w:eastAsia="Times New Roman" w:hAnsi="Tahoma" w:cs="Tahoma"/>
                <w:b/>
                <w:bCs/>
                <w:iCs/>
                <w:noProof/>
                <w:color w:val="000000" w:themeColor="text1"/>
                <w:highlight w:val="yellow"/>
              </w:rPr>
              <w:t>6</w:t>
            </w:r>
            <w:r w:rsidR="00F00043" w:rsidRPr="0032616D">
              <w:rPr>
                <w:rFonts w:ascii="Tahoma" w:eastAsia="Times New Roman" w:hAnsi="Tahoma" w:cs="Tahoma"/>
                <w:b/>
                <w:bCs/>
                <w:iCs/>
                <w:noProof/>
                <w:color w:val="000000" w:themeColor="text1"/>
                <w:highlight w:val="yellow"/>
              </w:rPr>
              <w:t>.2</w:t>
            </w:r>
            <w:r w:rsidR="00446EB5" w:rsidRPr="0032616D">
              <w:rPr>
                <w:rFonts w:ascii="Tahoma" w:eastAsia="Times New Roman" w:hAnsi="Tahoma" w:cs="Tahoma"/>
                <w:b/>
                <w:bCs/>
                <w:iCs/>
                <w:noProof/>
                <w:color w:val="000000" w:themeColor="text1"/>
                <w:highlight w:val="yellow"/>
              </w:rPr>
              <w:t xml:space="preserve"> p.</w:t>
            </w:r>
            <w:r w:rsidR="00446EB5" w:rsidRPr="00127C31">
              <w:rPr>
                <w:rFonts w:ascii="Tahoma" w:eastAsia="Times New Roman" w:hAnsi="Tahoma" w:cs="Tahoma"/>
                <w:b/>
                <w:bCs/>
                <w:iCs/>
                <w:noProof/>
                <w:color w:val="000000" w:themeColor="text1"/>
              </w:rPr>
              <w:t xml:space="preserve"> nurodomas 10 (dešimt) darbo di</w:t>
            </w:r>
            <w:r w:rsidR="00157851" w:rsidRPr="00127C31">
              <w:rPr>
                <w:rFonts w:ascii="Tahoma" w:eastAsia="Times New Roman" w:hAnsi="Tahoma" w:cs="Tahoma"/>
                <w:b/>
                <w:bCs/>
                <w:iCs/>
                <w:noProof/>
                <w:color w:val="000000" w:themeColor="text1"/>
              </w:rPr>
              <w:t xml:space="preserve">enų trūkumų pašalinimo terminas, t. y. </w:t>
            </w:r>
            <w:r w:rsidR="00157851" w:rsidRPr="00127C31">
              <w:rPr>
                <w:noProof/>
                <w:color w:val="000000" w:themeColor="text1"/>
              </w:rPr>
              <w:t xml:space="preserve"> </w:t>
            </w:r>
            <w:r w:rsidR="00157851" w:rsidRPr="00127C31">
              <w:rPr>
                <w:rFonts w:ascii="Tahoma" w:eastAsia="Times New Roman" w:hAnsi="Tahoma" w:cs="Tahoma"/>
                <w:b/>
                <w:bCs/>
                <w:iCs/>
                <w:noProof/>
                <w:color w:val="000000" w:themeColor="text1"/>
              </w:rPr>
              <w:t>trūkumų pašalinimo</w:t>
            </w:r>
            <w:r w:rsidR="00157851" w:rsidRPr="00F00043">
              <w:rPr>
                <w:rFonts w:ascii="Tahoma" w:eastAsia="Times New Roman" w:hAnsi="Tahoma" w:cs="Tahoma"/>
                <w:b/>
                <w:bCs/>
                <w:iCs/>
                <w:noProof/>
                <w:color w:val="000000" w:themeColor="text1"/>
              </w:rPr>
              <w:t xml:space="preserve"> terminas negali būti ilgesnis nei 10 (dešimt) darbo dienų.</w:t>
            </w:r>
          </w:p>
        </w:tc>
        <w:tc>
          <w:tcPr>
            <w:tcW w:w="1560" w:type="dxa"/>
            <w:vAlign w:val="center"/>
          </w:tcPr>
          <w:p w14:paraId="659E3EE8" w14:textId="366FF237" w:rsidR="0044232E" w:rsidRPr="009C7C55" w:rsidRDefault="0044232E" w:rsidP="0044232E">
            <w:pPr>
              <w:widowControl w:val="0"/>
              <w:tabs>
                <w:tab w:val="left" w:pos="851"/>
              </w:tabs>
              <w:spacing w:line="240" w:lineRule="auto"/>
              <w:jc w:val="center"/>
              <w:rPr>
                <w:rFonts w:ascii="Tahoma" w:eastAsia="Times New Roman" w:hAnsi="Tahoma" w:cs="Tahoma"/>
                <w:b/>
                <w:noProof/>
                <w:lang w:eastAsia="en-US"/>
              </w:rPr>
            </w:pPr>
            <w:r w:rsidRPr="009C7C55">
              <w:rPr>
                <w:rFonts w:ascii="Tahoma" w:eastAsia="Times New Roman" w:hAnsi="Tahoma" w:cs="Tahoma"/>
                <w:b/>
                <w:noProof/>
                <w:lang w:eastAsia="en-US"/>
              </w:rPr>
              <w:t>Minimalus: 0 balų</w:t>
            </w:r>
          </w:p>
          <w:p w14:paraId="5345705C" w14:textId="4D61A933" w:rsidR="00C02165" w:rsidRPr="009C7C55" w:rsidRDefault="00B341B3" w:rsidP="003B446D">
            <w:pPr>
              <w:widowControl w:val="0"/>
              <w:tabs>
                <w:tab w:val="left" w:pos="851"/>
              </w:tabs>
              <w:spacing w:line="240" w:lineRule="auto"/>
              <w:jc w:val="center"/>
              <w:rPr>
                <w:rFonts w:ascii="Tahoma" w:eastAsia="Times New Roman" w:hAnsi="Tahoma" w:cs="Tahoma"/>
                <w:b/>
                <w:noProof/>
              </w:rPr>
            </w:pPr>
            <w:r w:rsidRPr="009C7C55">
              <w:rPr>
                <w:rFonts w:ascii="Tahoma" w:eastAsia="Times New Roman" w:hAnsi="Tahoma" w:cs="Tahoma"/>
                <w:b/>
                <w:noProof/>
                <w:lang w:eastAsia="en-US"/>
              </w:rPr>
              <w:t xml:space="preserve">Maksimalus: </w:t>
            </w:r>
            <w:r w:rsidR="003B446D" w:rsidRPr="009C7C55">
              <w:rPr>
                <w:rFonts w:ascii="Tahoma" w:eastAsia="Times New Roman" w:hAnsi="Tahoma" w:cs="Tahoma"/>
                <w:b/>
                <w:noProof/>
                <w:lang w:eastAsia="en-US"/>
              </w:rPr>
              <w:t>1</w:t>
            </w:r>
            <w:r w:rsidR="000D50AA" w:rsidRPr="009C7C55">
              <w:rPr>
                <w:rFonts w:ascii="Tahoma" w:eastAsia="Times New Roman" w:hAnsi="Tahoma" w:cs="Tahoma"/>
                <w:b/>
                <w:noProof/>
                <w:lang w:eastAsia="en-US"/>
              </w:rPr>
              <w:t xml:space="preserve"> </w:t>
            </w:r>
            <w:r w:rsidR="00A167AD" w:rsidRPr="009C7C55">
              <w:rPr>
                <w:rFonts w:ascii="Tahoma" w:eastAsia="Times New Roman" w:hAnsi="Tahoma" w:cs="Tahoma"/>
                <w:b/>
                <w:noProof/>
                <w:lang w:eastAsia="en-US"/>
              </w:rPr>
              <w:t>bal</w:t>
            </w:r>
            <w:r w:rsidR="003B446D" w:rsidRPr="009C7C55">
              <w:rPr>
                <w:rFonts w:ascii="Tahoma" w:eastAsia="Times New Roman" w:hAnsi="Tahoma" w:cs="Tahoma"/>
                <w:b/>
                <w:noProof/>
                <w:lang w:eastAsia="en-US"/>
              </w:rPr>
              <w:t>as</w:t>
            </w:r>
          </w:p>
        </w:tc>
        <w:tc>
          <w:tcPr>
            <w:tcW w:w="1984" w:type="dxa"/>
            <w:vAlign w:val="center"/>
          </w:tcPr>
          <w:p w14:paraId="29F46B3D" w14:textId="36CB64B8" w:rsidR="00C02165" w:rsidRPr="009C7C55" w:rsidRDefault="00B84DA7" w:rsidP="001709D9">
            <w:pPr>
              <w:widowControl w:val="0"/>
              <w:tabs>
                <w:tab w:val="left" w:pos="851"/>
              </w:tabs>
              <w:spacing w:line="240" w:lineRule="auto"/>
              <w:jc w:val="center"/>
              <w:rPr>
                <w:rFonts w:ascii="Tahoma" w:eastAsia="Calibri" w:hAnsi="Tahoma" w:cs="Tahoma"/>
                <w:noProof/>
                <w:color w:val="000000"/>
              </w:rPr>
            </w:pPr>
            <w:r w:rsidRPr="009C7C55">
              <w:rPr>
                <w:rFonts w:ascii="Tahoma" w:eastAsia="Times New Roman" w:hAnsi="Tahoma" w:cs="Tahoma"/>
                <w:noProof/>
                <w:lang w:eastAsia="en-US"/>
              </w:rPr>
              <w:t>Y=</w:t>
            </w:r>
            <w:r w:rsidR="003B446D" w:rsidRPr="009C7C55">
              <w:rPr>
                <w:rFonts w:ascii="Tahoma" w:eastAsia="Times New Roman" w:hAnsi="Tahoma" w:cs="Tahoma"/>
                <w:noProof/>
                <w:lang w:eastAsia="en-US"/>
              </w:rPr>
              <w:t>1</w:t>
            </w:r>
          </w:p>
        </w:tc>
      </w:tr>
    </w:tbl>
    <w:p w14:paraId="5847FDE3" w14:textId="77777777" w:rsidR="00F00043" w:rsidRPr="007E68EA" w:rsidRDefault="00F00043" w:rsidP="00F00043">
      <w:pPr>
        <w:pStyle w:val="ListParagraph"/>
        <w:numPr>
          <w:ilvl w:val="0"/>
          <w:numId w:val="2"/>
        </w:numPr>
        <w:tabs>
          <w:tab w:val="left" w:pos="993"/>
        </w:tabs>
        <w:spacing w:after="0" w:line="240" w:lineRule="auto"/>
        <w:ind w:left="0" w:firstLine="567"/>
        <w:jc w:val="both"/>
        <w:rPr>
          <w:rFonts w:cs="Tahoma"/>
          <w:noProof/>
        </w:rPr>
      </w:pPr>
      <w:r w:rsidRPr="009C7C55">
        <w:rPr>
          <w:rFonts w:cs="Tahoma"/>
          <w:noProof/>
        </w:rPr>
        <w:t>Ekonominis</w:t>
      </w:r>
      <w:r w:rsidRPr="009C7C55">
        <w:rPr>
          <w:rFonts w:eastAsia="Times New Roman" w:cs="Tahoma"/>
          <w:noProof/>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nurodytos kainos viršija PSetMax, už kainą suteikiamas neigiamas balas. Jeigu pasiūlyta kaina lygi </w:t>
      </w:r>
      <w:r w:rsidRPr="009C7C55">
        <w:rPr>
          <w:rFonts w:eastAsia="Times New Roman" w:cs="Tahoma"/>
          <w:noProof/>
        </w:rPr>
        <w:lastRenderedPageBreak/>
        <w:t>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w:t>
      </w:r>
      <w:r>
        <w:rPr>
          <w:rFonts w:eastAsia="Times New Roman" w:cs="Tahoma"/>
          <w:noProof/>
        </w:rPr>
        <w:t xml:space="preserve"> </w:t>
      </w:r>
      <w:r w:rsidRPr="009C7C55">
        <w:rPr>
          <w:rFonts w:eastAsia="Times New Roman" w:cs="Tahoma"/>
          <w:noProof/>
        </w:rPr>
        <w:t xml:space="preserve">Perkančioji organizacija nustato, kad </w:t>
      </w:r>
      <w:r w:rsidRPr="00A06155">
        <w:rPr>
          <w:rFonts w:eastAsia="Times New Roman" w:cs="Tahoma"/>
          <w:b/>
          <w:bCs/>
          <w:noProof/>
        </w:rPr>
        <w:t>PsetMin lygi 0, PsetMax lygi suplanuotai pirkimų lėšų sumai, nustatytai prieš pradedant pirkimo procedūras</w:t>
      </w:r>
      <w:r w:rsidRPr="009C7C55">
        <w:rPr>
          <w:rFonts w:eastAsia="Times New Roman" w:cs="Tahoma"/>
          <w:noProof/>
        </w:rPr>
        <w:t>. Telgen formulės apraš</w:t>
      </w:r>
      <w:r>
        <w:rPr>
          <w:rFonts w:eastAsia="Times New Roman" w:cs="Tahoma"/>
          <w:noProof/>
        </w:rPr>
        <w:t xml:space="preserve">ymą žr. nuorodos 15 puslapyje: </w:t>
      </w:r>
      <w:hyperlink r:id="rId8" w:history="1">
        <w:r w:rsidRPr="00901DDB">
          <w:rPr>
            <w:rStyle w:val="Hyperlink"/>
            <w:rFonts w:eastAsia="Times New Roman" w:cs="Tahoma"/>
            <w:noProof/>
          </w:rPr>
          <w:t>https://vpt.lrv.lt/uploads/vpt/documents/files/mp/env_aprasymai.pdf</w:t>
        </w:r>
      </w:hyperlink>
      <w:r w:rsidRPr="009C7C55">
        <w:rPr>
          <w:rFonts w:eastAsia="Times New Roman" w:cs="Tahoma"/>
          <w:noProof/>
        </w:rPr>
        <w:t>.</w:t>
      </w:r>
    </w:p>
    <w:p w14:paraId="5CE3D3D1" w14:textId="77777777" w:rsidR="00F00043" w:rsidRPr="009C7C55" w:rsidRDefault="00F00043" w:rsidP="00F00043">
      <w:pPr>
        <w:pStyle w:val="ListParagraph"/>
        <w:numPr>
          <w:ilvl w:val="0"/>
          <w:numId w:val="2"/>
        </w:numPr>
        <w:tabs>
          <w:tab w:val="left" w:pos="993"/>
        </w:tabs>
        <w:spacing w:after="0" w:line="240" w:lineRule="auto"/>
        <w:ind w:left="0" w:firstLine="567"/>
        <w:jc w:val="both"/>
        <w:rPr>
          <w:rFonts w:cs="Tahoma"/>
          <w:noProof/>
        </w:rPr>
      </w:pPr>
      <w:r w:rsidRPr="007E68EA">
        <w:rPr>
          <w:rFonts w:cs="Tahoma"/>
          <w:noProof/>
        </w:rPr>
        <w:t>Pasiūlymai bus vertinami eurais. Jeigu pasiūlymuose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432776" w14:textId="09D994B5" w:rsidR="003B446D" w:rsidRPr="009C7C55" w:rsidRDefault="003B446D" w:rsidP="00011D38">
      <w:pPr>
        <w:pStyle w:val="ListParagraph"/>
        <w:tabs>
          <w:tab w:val="left" w:pos="993"/>
        </w:tabs>
        <w:spacing w:after="0" w:line="240" w:lineRule="auto"/>
        <w:ind w:left="567"/>
        <w:jc w:val="both"/>
        <w:rPr>
          <w:rFonts w:cs="Tahoma"/>
          <w:noProof/>
        </w:rPr>
      </w:pPr>
    </w:p>
    <w:sectPr w:rsidR="003B446D" w:rsidRPr="009C7C55"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7C7DC" w14:textId="77777777" w:rsidR="00A1478F" w:rsidRDefault="00A1478F" w:rsidP="00DD3A79">
      <w:pPr>
        <w:spacing w:line="240" w:lineRule="auto"/>
      </w:pPr>
      <w:r>
        <w:separator/>
      </w:r>
    </w:p>
  </w:endnote>
  <w:endnote w:type="continuationSeparator" w:id="0">
    <w:p w14:paraId="3747176B" w14:textId="77777777" w:rsidR="00A1478F" w:rsidRDefault="00A1478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16F34" w14:textId="77777777" w:rsidR="00A1478F" w:rsidRDefault="00A1478F" w:rsidP="00DD3A79">
      <w:pPr>
        <w:spacing w:line="240" w:lineRule="auto"/>
      </w:pPr>
      <w:r>
        <w:separator/>
      </w:r>
    </w:p>
  </w:footnote>
  <w:footnote w:type="continuationSeparator" w:id="0">
    <w:p w14:paraId="523CF977" w14:textId="77777777" w:rsidR="00A1478F" w:rsidRDefault="00A1478F"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1126B3AD" w14:textId="6B7B7EC1"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B255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B2554">
          <w:rPr>
            <w:rFonts w:cs="Tahoma"/>
            <w:bCs/>
            <w:noProof/>
          </w:rPr>
          <w:t>2</w:t>
        </w:r>
        <w:r w:rsidRPr="00F350AC">
          <w:rPr>
            <w:rFonts w:cs="Tahoma"/>
            <w:bCs/>
          </w:rPr>
          <w:fldChar w:fldCharType="end"/>
        </w:r>
      </w:p>
    </w:sdtContent>
  </w:sdt>
  <w:p w14:paraId="14C7AE98"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C7274D"/>
    <w:multiLevelType w:val="hybridMultilevel"/>
    <w:tmpl w:val="267268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309BB"/>
    <w:multiLevelType w:val="multilevel"/>
    <w:tmpl w:val="D3946F0A"/>
    <w:lvl w:ilvl="0">
      <w:start w:val="1"/>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E674F26"/>
    <w:multiLevelType w:val="multilevel"/>
    <w:tmpl w:val="5B72C182"/>
    <w:lvl w:ilvl="0">
      <w:start w:val="1"/>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D9B1D0A"/>
    <w:multiLevelType w:val="hybridMultilevel"/>
    <w:tmpl w:val="7BDAED7E"/>
    <w:lvl w:ilvl="0" w:tplc="99105FE6">
      <w:start w:val="2"/>
      <w:numFmt w:val="decimal"/>
      <w:lvlText w:val="%1)"/>
      <w:lvlJc w:val="left"/>
      <w:pPr>
        <w:ind w:left="720" w:hanging="360"/>
      </w:pPr>
      <w:rPr>
        <w:rFonts w:eastAsia="Calibri"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F90B64"/>
    <w:multiLevelType w:val="multilevel"/>
    <w:tmpl w:val="BF9A0E4A"/>
    <w:lvl w:ilvl="0">
      <w:start w:val="3"/>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45BA3774"/>
    <w:multiLevelType w:val="multilevel"/>
    <w:tmpl w:val="1054AFC6"/>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ascii="Tahoma" w:eastAsia="SimSun" w:hAnsi="Tahoma" w:cs="Tahoma"/>
        <w:sz w:val="22"/>
        <w:szCs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1931FE"/>
    <w:multiLevelType w:val="hybridMultilevel"/>
    <w:tmpl w:val="FAD8C26C"/>
    <w:lvl w:ilvl="0" w:tplc="2CE485B0">
      <w:start w:val="1"/>
      <w:numFmt w:val="decimal"/>
      <w:lvlText w:val="%1."/>
      <w:lvlJc w:val="left"/>
      <w:pPr>
        <w:ind w:left="720" w:hanging="360"/>
      </w:pPr>
      <w:rPr>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6B82DB48">
      <w:start w:val="1"/>
      <w:numFmt w:val="decimal"/>
      <w:lvlText w:val="%4)"/>
      <w:lvlJc w:val="left"/>
      <w:pPr>
        <w:ind w:left="2880" w:hanging="360"/>
      </w:pPr>
      <w:rPr>
        <w:rFonts w:eastAsia="Calibri" w:hint="default"/>
        <w:b w:val="0"/>
        <w:color w:val="000000"/>
        <w:sz w:val="21"/>
      </w:rPr>
    </w:lvl>
    <w:lvl w:ilvl="4" w:tplc="EDC43B8C">
      <w:start w:val="1"/>
      <w:numFmt w:val="lowerLetter"/>
      <w:lvlText w:val="%5)"/>
      <w:lvlJc w:val="left"/>
      <w:pPr>
        <w:ind w:left="3600" w:hanging="360"/>
      </w:pPr>
      <w:rPr>
        <w:b w:val="0"/>
      </w:rPr>
    </w:lvl>
    <w:lvl w:ilvl="5" w:tplc="04270011">
      <w:start w:val="1"/>
      <w:numFmt w:val="decimal"/>
      <w:lvlText w:val="%6)"/>
      <w:lvlJc w:val="lef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046857"/>
    <w:multiLevelType w:val="hybridMultilevel"/>
    <w:tmpl w:val="5A5CF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F509A0"/>
    <w:multiLevelType w:val="multilevel"/>
    <w:tmpl w:val="1054AFC6"/>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ascii="Tahoma" w:eastAsia="SimSun" w:hAnsi="Tahoma" w:cs="Tahoma"/>
        <w:sz w:val="22"/>
        <w:szCs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32637">
    <w:abstractNumId w:val="9"/>
  </w:num>
  <w:num w:numId="2" w16cid:durableId="864094141">
    <w:abstractNumId w:val="2"/>
  </w:num>
  <w:num w:numId="3" w16cid:durableId="1187870019">
    <w:abstractNumId w:val="1"/>
  </w:num>
  <w:num w:numId="4" w16cid:durableId="1826774285">
    <w:abstractNumId w:val="6"/>
  </w:num>
  <w:num w:numId="5" w16cid:durableId="1376737126">
    <w:abstractNumId w:val="4"/>
  </w:num>
  <w:num w:numId="6" w16cid:durableId="1771851860">
    <w:abstractNumId w:val="7"/>
  </w:num>
  <w:num w:numId="7" w16cid:durableId="1575702008">
    <w:abstractNumId w:val="5"/>
  </w:num>
  <w:num w:numId="8" w16cid:durableId="40133947">
    <w:abstractNumId w:val="0"/>
  </w:num>
  <w:num w:numId="9" w16cid:durableId="800152604">
    <w:abstractNumId w:val="8"/>
  </w:num>
  <w:num w:numId="10" w16cid:durableId="1330211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B5"/>
    <w:rsid w:val="0000575B"/>
    <w:rsid w:val="00011D38"/>
    <w:rsid w:val="000410CA"/>
    <w:rsid w:val="000B36C3"/>
    <w:rsid w:val="000B3E5A"/>
    <w:rsid w:val="000B48ED"/>
    <w:rsid w:val="000B55CE"/>
    <w:rsid w:val="000C268F"/>
    <w:rsid w:val="000C44D8"/>
    <w:rsid w:val="000D50AA"/>
    <w:rsid w:val="000E426D"/>
    <w:rsid w:val="000E653C"/>
    <w:rsid w:val="00122476"/>
    <w:rsid w:val="00127C31"/>
    <w:rsid w:val="001316A0"/>
    <w:rsid w:val="0014114C"/>
    <w:rsid w:val="00141F55"/>
    <w:rsid w:val="00152E48"/>
    <w:rsid w:val="0015686B"/>
    <w:rsid w:val="00157851"/>
    <w:rsid w:val="001709D9"/>
    <w:rsid w:val="0017444C"/>
    <w:rsid w:val="00185141"/>
    <w:rsid w:val="001B1C36"/>
    <w:rsid w:val="001C73D3"/>
    <w:rsid w:val="001D63FC"/>
    <w:rsid w:val="0024207C"/>
    <w:rsid w:val="00242F84"/>
    <w:rsid w:val="0024605D"/>
    <w:rsid w:val="002564EA"/>
    <w:rsid w:val="00260952"/>
    <w:rsid w:val="002745AF"/>
    <w:rsid w:val="002810BD"/>
    <w:rsid w:val="00290FDD"/>
    <w:rsid w:val="002A7375"/>
    <w:rsid w:val="002C6FF2"/>
    <w:rsid w:val="002D76E7"/>
    <w:rsid w:val="00302F88"/>
    <w:rsid w:val="0032616D"/>
    <w:rsid w:val="00326243"/>
    <w:rsid w:val="003322D1"/>
    <w:rsid w:val="003454FA"/>
    <w:rsid w:val="003B446D"/>
    <w:rsid w:val="003D4E93"/>
    <w:rsid w:val="003E48E6"/>
    <w:rsid w:val="003F2C92"/>
    <w:rsid w:val="00400B28"/>
    <w:rsid w:val="0041086D"/>
    <w:rsid w:val="00412826"/>
    <w:rsid w:val="00427D07"/>
    <w:rsid w:val="0044232E"/>
    <w:rsid w:val="00446EB5"/>
    <w:rsid w:val="00452385"/>
    <w:rsid w:val="00461B73"/>
    <w:rsid w:val="004A770F"/>
    <w:rsid w:val="004B6B7A"/>
    <w:rsid w:val="004F3E42"/>
    <w:rsid w:val="00521C86"/>
    <w:rsid w:val="0052405D"/>
    <w:rsid w:val="0052516D"/>
    <w:rsid w:val="005A545C"/>
    <w:rsid w:val="005D6244"/>
    <w:rsid w:val="0060726C"/>
    <w:rsid w:val="00622AB5"/>
    <w:rsid w:val="00672D56"/>
    <w:rsid w:val="00684583"/>
    <w:rsid w:val="006A31EA"/>
    <w:rsid w:val="00722273"/>
    <w:rsid w:val="00737F95"/>
    <w:rsid w:val="0075156F"/>
    <w:rsid w:val="0075629C"/>
    <w:rsid w:val="00791023"/>
    <w:rsid w:val="007B18DD"/>
    <w:rsid w:val="007B1FA4"/>
    <w:rsid w:val="007B7FD2"/>
    <w:rsid w:val="007F6362"/>
    <w:rsid w:val="008435F7"/>
    <w:rsid w:val="00845B83"/>
    <w:rsid w:val="008542AA"/>
    <w:rsid w:val="00872E52"/>
    <w:rsid w:val="00893A55"/>
    <w:rsid w:val="008B4D51"/>
    <w:rsid w:val="008B7674"/>
    <w:rsid w:val="00940E0B"/>
    <w:rsid w:val="00946163"/>
    <w:rsid w:val="009475A1"/>
    <w:rsid w:val="00962728"/>
    <w:rsid w:val="0098421E"/>
    <w:rsid w:val="00993894"/>
    <w:rsid w:val="009B4E0F"/>
    <w:rsid w:val="009C576F"/>
    <w:rsid w:val="009C7C55"/>
    <w:rsid w:val="009E3EEC"/>
    <w:rsid w:val="00A06155"/>
    <w:rsid w:val="00A11F85"/>
    <w:rsid w:val="00A1478F"/>
    <w:rsid w:val="00A167AD"/>
    <w:rsid w:val="00A262D4"/>
    <w:rsid w:val="00A43CAB"/>
    <w:rsid w:val="00A672C3"/>
    <w:rsid w:val="00A75E67"/>
    <w:rsid w:val="00AB57A3"/>
    <w:rsid w:val="00AD15D9"/>
    <w:rsid w:val="00AF6312"/>
    <w:rsid w:val="00B00DB4"/>
    <w:rsid w:val="00B31750"/>
    <w:rsid w:val="00B341B3"/>
    <w:rsid w:val="00B76466"/>
    <w:rsid w:val="00B84DA7"/>
    <w:rsid w:val="00B9677D"/>
    <w:rsid w:val="00BA3E7B"/>
    <w:rsid w:val="00BC1A14"/>
    <w:rsid w:val="00BF23A2"/>
    <w:rsid w:val="00C02165"/>
    <w:rsid w:val="00C12272"/>
    <w:rsid w:val="00C2250C"/>
    <w:rsid w:val="00C23805"/>
    <w:rsid w:val="00CA6E15"/>
    <w:rsid w:val="00D63E42"/>
    <w:rsid w:val="00D90987"/>
    <w:rsid w:val="00DA12F4"/>
    <w:rsid w:val="00DA6836"/>
    <w:rsid w:val="00DB2554"/>
    <w:rsid w:val="00DD3A79"/>
    <w:rsid w:val="00E63BD1"/>
    <w:rsid w:val="00E6775F"/>
    <w:rsid w:val="00E9400A"/>
    <w:rsid w:val="00E97BC1"/>
    <w:rsid w:val="00EA01A2"/>
    <w:rsid w:val="00EB2A21"/>
    <w:rsid w:val="00EB5500"/>
    <w:rsid w:val="00EC3CF5"/>
    <w:rsid w:val="00F00043"/>
    <w:rsid w:val="00F13291"/>
    <w:rsid w:val="00F350AC"/>
    <w:rsid w:val="00F90609"/>
    <w:rsid w:val="00FA675D"/>
    <w:rsid w:val="00FB5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D4C6"/>
  <w15:chartTrackingRefBased/>
  <w15:docId w15:val="{C3DE6E56-22B5-4634-9CC0-804F558E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B5"/>
    <w:pPr>
      <w:spacing w:after="160" w:line="276" w:lineRule="auto"/>
      <w:ind w:firstLine="0"/>
    </w:pPr>
    <w:rPr>
      <w:rFonts w:asciiTheme="minorHAnsi" w:eastAsiaTheme="minorEastAsia" w:hAnsiTheme="minorHAnsi"/>
      <w:sz w:val="21"/>
      <w:szCs w:val="21"/>
      <w:lang w:eastAsia="lt-LT"/>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unhideWhenUsed/>
    <w:qFormat/>
    <w:rsid w:val="00622AB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622AB5"/>
    <w:rPr>
      <w:rFonts w:asciiTheme="majorHAnsi" w:eastAsiaTheme="majorEastAsia" w:hAnsiTheme="majorHAnsi" w:cstheme="majorBidi"/>
      <w:color w:val="ED7D31" w:themeColor="accent2"/>
      <w:sz w:val="36"/>
      <w:szCs w:val="36"/>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qFormat/>
    <w:rsid w:val="00622AB5"/>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622AB5"/>
    <w:rPr>
      <w:rFonts w:asciiTheme="minorHAnsi" w:eastAsiaTheme="minorEastAsia" w:hAnsiTheme="minorHAnsi"/>
      <w:sz w:val="20"/>
      <w:szCs w:val="20"/>
      <w:lang w:eastAsia="lt-LT"/>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uiPriority w:val="99"/>
    <w:unhideWhenUsed/>
    <w:rsid w:val="00622AB5"/>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rsid w:val="00622AB5"/>
    <w:rPr>
      <w:rFonts w:asciiTheme="minorHAnsi" w:eastAsiaTheme="minorEastAsia" w:hAnsiTheme="minorHAns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22AB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622AB5"/>
    <w:pPr>
      <w:ind w:left="720"/>
      <w:contextualSpacing/>
    </w:pPr>
    <w:rPr>
      <w:rFonts w:ascii="Tahoma" w:eastAsiaTheme="minorHAnsi" w:hAnsi="Tahoma"/>
      <w:sz w:val="22"/>
      <w:szCs w:val="22"/>
      <w:lang w:eastAsia="en-US"/>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unhideWhenUsed/>
    <w:rsid w:val="00622AB5"/>
    <w:rPr>
      <w:vertAlign w:val="superscript"/>
    </w:rPr>
  </w:style>
  <w:style w:type="character" w:styleId="CommentReference">
    <w:name w:val="annotation reference"/>
    <w:basedOn w:val="DefaultParagraphFont"/>
    <w:uiPriority w:val="99"/>
    <w:unhideWhenUsed/>
    <w:rsid w:val="00622AB5"/>
    <w:rPr>
      <w:sz w:val="16"/>
      <w:szCs w:val="16"/>
    </w:rPr>
  </w:style>
  <w:style w:type="paragraph" w:styleId="BalloonText">
    <w:name w:val="Balloon Text"/>
    <w:basedOn w:val="Normal"/>
    <w:link w:val="BalloonTextChar"/>
    <w:uiPriority w:val="99"/>
    <w:semiHidden/>
    <w:unhideWhenUsed/>
    <w:rsid w:val="00622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B5"/>
    <w:rPr>
      <w:rFonts w:ascii="Segoe UI" w:eastAsiaTheme="minorEastAsia"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AF6312"/>
    <w:pPr>
      <w:spacing w:line="240" w:lineRule="auto"/>
    </w:pPr>
    <w:rPr>
      <w:b/>
      <w:bCs/>
    </w:rPr>
  </w:style>
  <w:style w:type="character" w:customStyle="1" w:styleId="CommentSubjectChar">
    <w:name w:val="Comment Subject Char"/>
    <w:basedOn w:val="CommentTextChar"/>
    <w:link w:val="CommentSubject"/>
    <w:uiPriority w:val="99"/>
    <w:semiHidden/>
    <w:rsid w:val="00AF6312"/>
    <w:rPr>
      <w:rFonts w:asciiTheme="minorHAnsi" w:eastAsiaTheme="minorEastAsia" w:hAnsiTheme="minorHAnsi"/>
      <w:b/>
      <w:bCs/>
      <w:sz w:val="20"/>
      <w:szCs w:val="20"/>
      <w:lang w:eastAsia="lt-LT"/>
    </w:rPr>
  </w:style>
  <w:style w:type="character" w:styleId="Hyperlink">
    <w:name w:val="Hyperlink"/>
    <w:basedOn w:val="DefaultParagraphFont"/>
    <w:uiPriority w:val="99"/>
    <w:unhideWhenUsed/>
    <w:rsid w:val="009C7C55"/>
    <w:rPr>
      <w:color w:val="0563C1" w:themeColor="hyperlink"/>
      <w:u w:val="single"/>
    </w:rPr>
  </w:style>
  <w:style w:type="paragraph" w:styleId="Revision">
    <w:name w:val="Revision"/>
    <w:hidden/>
    <w:uiPriority w:val="99"/>
    <w:semiHidden/>
    <w:rsid w:val="00C23805"/>
    <w:pPr>
      <w:spacing w:line="240" w:lineRule="auto"/>
      <w:ind w:firstLine="0"/>
    </w:pPr>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41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env_aprasyma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1969-4FFD-4FCB-B319-5B15023F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2551</Words>
  <Characters>1455</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Supranavičius</dc:creator>
  <cp:keywords/>
  <dc:description/>
  <cp:lastModifiedBy>Aidas Gudavičius</cp:lastModifiedBy>
  <cp:revision>6</cp:revision>
  <dcterms:created xsi:type="dcterms:W3CDTF">2024-09-30T10:46:00Z</dcterms:created>
  <dcterms:modified xsi:type="dcterms:W3CDTF">2024-10-21T12:46:00Z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2024-03-04T07:49:21Z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182b1e16-08c0-44b7-b6b4-389ed345feea</vt:lpwstr>
  </property>
  <property fmtid="{D5CDD505-2E9C-101B-9397-08002B2CF9AE}" pid="8" name="MSIP_Label_179ca552-b207-4d72-8d58-818aee87ca18_ContentBits">
    <vt:lpwstr>0</vt:lpwstr>
  </property>
</Properties>
</file>