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B3898" w14:textId="5099CE85" w:rsidR="003969E1" w:rsidRPr="006C74A2" w:rsidRDefault="000E2B04" w:rsidP="007D2C2F">
      <w:pPr>
        <w:shd w:val="clear" w:color="auto" w:fill="FFFFFF"/>
        <w:jc w:val="right"/>
        <w:rPr>
          <w:i/>
          <w:sz w:val="20"/>
        </w:rPr>
      </w:pPr>
      <w:r>
        <w:rPr>
          <w:bCs/>
          <w:i/>
          <w:color w:val="000000" w:themeColor="text1"/>
          <w:sz w:val="20"/>
        </w:rPr>
        <w:t>Pirkimo dokumentų</w:t>
      </w:r>
      <w:r w:rsidR="007D2C2F" w:rsidRPr="006C74A2">
        <w:rPr>
          <w:bCs/>
          <w:i/>
          <w:color w:val="000000" w:themeColor="text1"/>
          <w:sz w:val="20"/>
        </w:rPr>
        <w:t xml:space="preserve"> SPS priedas</w:t>
      </w:r>
      <w:r>
        <w:rPr>
          <w:bCs/>
          <w:i/>
          <w:color w:val="000000" w:themeColor="text1"/>
          <w:sz w:val="20"/>
        </w:rPr>
        <w:t xml:space="preserve"> Nr.2</w:t>
      </w:r>
    </w:p>
    <w:p w14:paraId="0DF472CB" w14:textId="400F83D2"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6338F12E" w14:textId="661B8929" w:rsidR="00EE3697" w:rsidRPr="00C12DC0" w:rsidRDefault="00123752" w:rsidP="00EF2BB2">
            <w:pPr>
              <w:jc w:val="center"/>
              <w:rPr>
                <w:b/>
                <w:kern w:val="2"/>
                <w:szCs w:val="24"/>
              </w:rPr>
            </w:pPr>
            <w:r w:rsidRPr="00123752">
              <w:rPr>
                <w:b/>
                <w:kern w:val="2"/>
                <w:szCs w:val="24"/>
              </w:rPr>
              <w:t>Aplinkos paviršių dezinfekcinės priemonės (Nr.9589)</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1F00B123" w:rsidR="00EE3697" w:rsidRPr="006C74A2" w:rsidRDefault="00EE3697" w:rsidP="00EE3697">
            <w:pPr>
              <w:jc w:val="center"/>
              <w:rPr>
                <w:kern w:val="2"/>
                <w:szCs w:val="24"/>
              </w:rPr>
            </w:pPr>
            <w:r w:rsidRPr="006C74A2">
              <w:rPr>
                <w:szCs w:val="24"/>
              </w:rPr>
              <w:t>Santariškių g. 2, LT-08</w:t>
            </w:r>
            <w:r w:rsidR="00025FDB">
              <w:rPr>
                <w:szCs w:val="24"/>
              </w:rPr>
              <w:t>406</w:t>
            </w:r>
            <w:r w:rsidRPr="006C74A2">
              <w:rPr>
                <w:szCs w:val="24"/>
              </w:rPr>
              <w:t xml:space="preserve"> 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5CC4162D" w:rsidR="00EE3697" w:rsidRPr="006C74A2" w:rsidRDefault="00B4129B" w:rsidP="00EE3697">
            <w:pPr>
              <w:jc w:val="center"/>
              <w:rPr>
                <w:kern w:val="2"/>
                <w:szCs w:val="24"/>
              </w:rPr>
            </w:pPr>
            <w:r w:rsidRPr="006C74A2">
              <w:rPr>
                <w:kern w:val="2"/>
                <w:szCs w:val="24"/>
              </w:rPr>
              <w:t xml:space="preserve">+370 </w:t>
            </w:r>
            <w:r w:rsidR="00EE3697" w:rsidRPr="006C74A2">
              <w:rPr>
                <w:szCs w:val="24"/>
              </w:rPr>
              <w:t xml:space="preserve"> 5236 5000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6C74A2" w:rsidRDefault="00401327" w:rsidP="00401327">
            <w:pPr>
              <w:jc w:val="center"/>
              <w:rPr>
                <w:kern w:val="2"/>
                <w:szCs w:val="24"/>
              </w:rPr>
            </w:pPr>
            <w:r w:rsidRPr="006C74A2">
              <w:rPr>
                <w:color w:val="C00000"/>
                <w:szCs w:val="24"/>
              </w:rPr>
              <w:t>[įrašyti]</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6C74A2" w:rsidRDefault="00401327" w:rsidP="00401327">
            <w:pPr>
              <w:jc w:val="center"/>
              <w:rPr>
                <w:kern w:val="2"/>
                <w:szCs w:val="24"/>
              </w:rPr>
            </w:pPr>
            <w:r w:rsidRPr="006C74A2">
              <w:rPr>
                <w:color w:val="C00000"/>
                <w:szCs w:val="24"/>
              </w:rPr>
              <w:t>[įrašyti]</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6C74A2" w:rsidRDefault="00401327" w:rsidP="00401327">
            <w:pPr>
              <w:jc w:val="center"/>
              <w:rPr>
                <w:kern w:val="2"/>
                <w:szCs w:val="24"/>
              </w:rPr>
            </w:pPr>
            <w:r w:rsidRPr="006C74A2">
              <w:rPr>
                <w:color w:val="C00000"/>
                <w:szCs w:val="24"/>
              </w:rPr>
              <w:t>[įrašyti]</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6C74A2" w:rsidRDefault="00401327" w:rsidP="00401327">
            <w:pPr>
              <w:jc w:val="center"/>
              <w:rPr>
                <w:kern w:val="2"/>
                <w:szCs w:val="24"/>
              </w:rPr>
            </w:pPr>
            <w:r w:rsidRPr="006C74A2">
              <w:rPr>
                <w:color w:val="C00000"/>
                <w:szCs w:val="24"/>
              </w:rPr>
              <w:t>[įrašyti]</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6C74A2" w:rsidRDefault="00401327" w:rsidP="00401327">
            <w:pPr>
              <w:jc w:val="center"/>
              <w:rPr>
                <w:kern w:val="2"/>
                <w:szCs w:val="24"/>
              </w:rPr>
            </w:pPr>
            <w:r w:rsidRPr="006C74A2">
              <w:rPr>
                <w:color w:val="C00000"/>
                <w:szCs w:val="24"/>
              </w:rPr>
              <w:t>[įrašyti]</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6C74A2" w:rsidRDefault="00401327" w:rsidP="00401327">
            <w:pPr>
              <w:jc w:val="center"/>
              <w:rPr>
                <w:kern w:val="2"/>
                <w:szCs w:val="24"/>
              </w:rPr>
            </w:pPr>
            <w:r w:rsidRPr="006C74A2">
              <w:rPr>
                <w:color w:val="C00000"/>
                <w:szCs w:val="24"/>
              </w:rPr>
              <w:t>[įrašyti]</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6C74A2" w:rsidRDefault="00401327" w:rsidP="00401327">
            <w:pPr>
              <w:jc w:val="center"/>
              <w:rPr>
                <w:kern w:val="2"/>
                <w:szCs w:val="24"/>
              </w:rPr>
            </w:pPr>
            <w:r w:rsidRPr="006C74A2">
              <w:rPr>
                <w:color w:val="C00000"/>
                <w:szCs w:val="24"/>
              </w:rPr>
              <w:t>[įrašyti]</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6C74A2" w:rsidRDefault="00401327" w:rsidP="00401327">
            <w:pPr>
              <w:jc w:val="center"/>
              <w:rPr>
                <w:kern w:val="2"/>
                <w:szCs w:val="24"/>
              </w:rPr>
            </w:pPr>
            <w:r w:rsidRPr="006C74A2">
              <w:rPr>
                <w:color w:val="C00000"/>
                <w:szCs w:val="24"/>
              </w:rPr>
              <w:t>[įrašyti]</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6C74A2" w:rsidRDefault="00401327" w:rsidP="00401327">
            <w:pPr>
              <w:jc w:val="center"/>
              <w:rPr>
                <w:kern w:val="2"/>
                <w:szCs w:val="24"/>
              </w:rPr>
            </w:pPr>
            <w:r w:rsidRPr="006C74A2">
              <w:rPr>
                <w:color w:val="C00000"/>
                <w:szCs w:val="24"/>
              </w:rPr>
              <w:t>[įrašyti]</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6C74A2" w:rsidRDefault="00401327" w:rsidP="00401327">
            <w:pPr>
              <w:jc w:val="center"/>
              <w:rPr>
                <w:kern w:val="2"/>
                <w:szCs w:val="24"/>
              </w:rPr>
            </w:pPr>
            <w:r w:rsidRPr="006C74A2">
              <w:rPr>
                <w:color w:val="C00000"/>
                <w:szCs w:val="24"/>
              </w:rPr>
              <w:t>[įrašyti]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5AFB0ED4"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w:t>
            </w:r>
            <w:r w:rsidR="00937A25">
              <w:rPr>
                <w:b/>
                <w:bCs/>
                <w:kern w:val="2"/>
                <w:szCs w:val="24"/>
              </w:rPr>
              <w:t>SABIS</w:t>
            </w:r>
            <w:r w:rsidRPr="006C74A2">
              <w:rPr>
                <w:b/>
                <w:bCs/>
                <w:kern w:val="2"/>
                <w:szCs w:val="24"/>
              </w:rPr>
              <w:t>“ priėmimą</w:t>
            </w:r>
          </w:p>
        </w:tc>
        <w:tc>
          <w:tcPr>
            <w:tcW w:w="6831" w:type="dxa"/>
            <w:gridSpan w:val="2"/>
            <w:vAlign w:val="center"/>
          </w:tcPr>
          <w:p w14:paraId="35BE17D7" w14:textId="2AB4C22E" w:rsidR="00E02AE0" w:rsidRPr="006C74A2" w:rsidRDefault="00E02AE0" w:rsidP="00E02AE0">
            <w:pPr>
              <w:pStyle w:val="a"/>
              <w:numPr>
                <w:ilvl w:val="0"/>
                <w:numId w:val="0"/>
              </w:numPr>
              <w:tabs>
                <w:tab w:val="left" w:pos="426"/>
              </w:tabs>
              <w:ind w:right="423"/>
              <w:rPr>
                <w:rStyle w:val="Hyperlink"/>
                <w:color w:val="auto"/>
                <w:kern w:val="2"/>
                <w:u w:val="none"/>
              </w:rPr>
            </w:pPr>
            <w:r w:rsidRPr="006C74A2">
              <w:rPr>
                <w:kern w:val="2"/>
              </w:rPr>
              <w:t xml:space="preserve">2.1.1. Už sutarties vykdymą ir prekių priėmimą atsakingas asmuo – </w:t>
            </w:r>
            <w:r w:rsidR="001978F7">
              <w:rPr>
                <w:kern w:val="2"/>
              </w:rPr>
              <w:t>pirkėjo darbuotoja Vilija Gurkšnienė</w:t>
            </w:r>
            <w:r w:rsidRPr="006C74A2">
              <w:rPr>
                <w:iCs/>
              </w:rPr>
              <w:t xml:space="preserve">, </w:t>
            </w:r>
            <w:r w:rsidR="001978F7">
              <w:rPr>
                <w:iCs/>
              </w:rPr>
              <w:t>vilija</w:t>
            </w:r>
            <w:r w:rsidR="00522510">
              <w:rPr>
                <w:iCs/>
              </w:rPr>
              <w:t>.gurksniene</w:t>
            </w:r>
            <w:hyperlink r:id="rId10" w:history="1">
              <w:r w:rsidRPr="00B4129B">
                <w:rPr>
                  <w:rStyle w:val="Hyperlink"/>
                  <w:iCs/>
                </w:rPr>
                <w:t>@santa.lt</w:t>
              </w:r>
            </w:hyperlink>
          </w:p>
          <w:p w14:paraId="58A57616" w14:textId="77777777" w:rsidR="00E02AE0" w:rsidRPr="00B4129B" w:rsidRDefault="00E02AE0" w:rsidP="00E02AE0">
            <w:pPr>
              <w:pStyle w:val="a"/>
              <w:numPr>
                <w:ilvl w:val="0"/>
                <w:numId w:val="0"/>
              </w:numPr>
              <w:tabs>
                <w:tab w:val="left" w:pos="426"/>
              </w:tabs>
              <w:ind w:right="423"/>
              <w:rPr>
                <w:rStyle w:val="Hyperlink"/>
                <w:color w:val="auto"/>
              </w:rPr>
            </w:pPr>
          </w:p>
          <w:p w14:paraId="5D01861C" w14:textId="5EB001CE" w:rsidR="00E02AE0" w:rsidRPr="006C74A2" w:rsidRDefault="00E02AE0" w:rsidP="00E02AE0">
            <w:pPr>
              <w:jc w:val="both"/>
              <w:rPr>
                <w:color w:val="4472C4"/>
                <w:kern w:val="2"/>
                <w:szCs w:val="24"/>
              </w:rPr>
            </w:pPr>
            <w:r w:rsidRPr="006C74A2">
              <w:rPr>
                <w:kern w:val="2"/>
                <w:szCs w:val="24"/>
              </w:rPr>
              <w:t>2.1.2. Sąskaitų priėmimas: Finansinės apskaitos skyrius, tel. +370 5 236 5007.</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t xml:space="preserve">2.2. Tiekėjo kontaktiniai asmenys, </w:t>
            </w:r>
            <w:r w:rsidRPr="006C74A2">
              <w:rPr>
                <w:b/>
                <w:bCs/>
                <w:kern w:val="2"/>
                <w:szCs w:val="24"/>
              </w:rPr>
              <w:lastRenderedPageBreak/>
              <w:t>atsakingi už Sutarties vykdymą</w:t>
            </w:r>
          </w:p>
        </w:tc>
        <w:tc>
          <w:tcPr>
            <w:tcW w:w="6831" w:type="dxa"/>
            <w:gridSpan w:val="2"/>
          </w:tcPr>
          <w:p w14:paraId="6BB1EE73" w14:textId="42DD023F" w:rsidR="00E02AE0" w:rsidRPr="006C74A2" w:rsidRDefault="00E02AE0" w:rsidP="00E02AE0">
            <w:pPr>
              <w:rPr>
                <w:color w:val="4472C4"/>
                <w:kern w:val="2"/>
                <w:szCs w:val="24"/>
              </w:rPr>
            </w:pPr>
            <w:r w:rsidRPr="006C74A2">
              <w:rPr>
                <w:color w:val="C00000"/>
                <w:szCs w:val="24"/>
              </w:rPr>
              <w:lastRenderedPageBreak/>
              <w:t>[įrašyti]</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35FF7BA3"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D94B94" w:rsidRPr="00D94B94">
              <w:rPr>
                <w:kern w:val="2"/>
                <w:szCs w:val="24"/>
              </w:rPr>
              <w:t>aplinkos paviršių dezinfekcines priemones</w:t>
            </w:r>
            <w:r w:rsidR="00D94B94" w:rsidRPr="00123752">
              <w:rPr>
                <w:b/>
                <w:kern w:val="2"/>
                <w:szCs w:val="24"/>
              </w:rPr>
              <w:t xml:space="preserve"> </w:t>
            </w:r>
            <w:r w:rsidRPr="006C74A2">
              <w:rPr>
                <w:kern w:val="2"/>
                <w:szCs w:val="24"/>
              </w:rPr>
              <w:t>(toliau – Prekės). Išsamus Prekių aprašymas ir kiti reikalavimai tiekiamoms Prekėms nustatyti Sutarties priede Nr. 1 „Techninė specifikacija ir įkainiai“ (toliau – Techninė specifikacija</w:t>
            </w:r>
            <w:r w:rsidR="00B71A61">
              <w:rPr>
                <w:kern w:val="2"/>
                <w:szCs w:val="24"/>
              </w:rPr>
              <w:t>, priedas Nr. 1</w:t>
            </w:r>
            <w:r w:rsidRPr="006C74A2">
              <w:rPr>
                <w:kern w:val="2"/>
                <w:szCs w:val="24"/>
              </w:rPr>
              <w:t>).</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13E25187" w:rsidR="00E02AE0" w:rsidRPr="006C74A2" w:rsidRDefault="00E02AE0" w:rsidP="00E02AE0">
            <w:pPr>
              <w:rPr>
                <w:kern w:val="2"/>
                <w:szCs w:val="24"/>
              </w:rPr>
            </w:pPr>
            <w:r w:rsidRPr="006C74A2">
              <w:rPr>
                <w:color w:val="000000"/>
                <w:szCs w:val="24"/>
              </w:rPr>
              <w:t xml:space="preserve">CVP IS Nr. </w:t>
            </w:r>
            <w:r w:rsidRPr="006C74A2">
              <w:rPr>
                <w:color w:val="C00000"/>
                <w:szCs w:val="24"/>
              </w:rPr>
              <w:t>[įrašyti]</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58DE6480" w:rsidR="002E3A58" w:rsidRPr="006C74A2" w:rsidRDefault="002E3A58" w:rsidP="002E3A58">
            <w:pPr>
              <w:rPr>
                <w:kern w:val="2"/>
                <w:szCs w:val="24"/>
              </w:rPr>
            </w:pPr>
            <w:r w:rsidRPr="006C74A2">
              <w:rPr>
                <w:kern w:val="2"/>
                <w:szCs w:val="24"/>
              </w:rPr>
              <w:t xml:space="preserve">Tiekėjas pagal atskirą užsakymą įsipareigoja pristatyti Prekes ne vėliau nei </w:t>
            </w:r>
            <w:r w:rsidRPr="0028060B">
              <w:rPr>
                <w:kern w:val="2"/>
                <w:szCs w:val="24"/>
              </w:rPr>
              <w:t xml:space="preserve">per </w:t>
            </w:r>
            <w:r w:rsidR="00D94B94">
              <w:rPr>
                <w:kern w:val="2"/>
                <w:szCs w:val="24"/>
              </w:rPr>
              <w:t>10</w:t>
            </w:r>
            <w:r w:rsidRPr="0028060B">
              <w:rPr>
                <w:kern w:val="2"/>
                <w:szCs w:val="24"/>
              </w:rPr>
              <w:t xml:space="preserve"> darbo dien</w:t>
            </w:r>
            <w:r w:rsidR="00D94B94">
              <w:rPr>
                <w:kern w:val="2"/>
                <w:szCs w:val="24"/>
              </w:rPr>
              <w:t xml:space="preserve">ų </w:t>
            </w:r>
            <w:r w:rsidRPr="0028060B">
              <w:rPr>
                <w:kern w:val="2"/>
                <w:szCs w:val="24"/>
              </w:rPr>
              <w:t>šiuo adresu</w:t>
            </w:r>
            <w:r w:rsidR="00E02AE0" w:rsidRPr="0028060B">
              <w:rPr>
                <w:kern w:val="2"/>
                <w:szCs w:val="24"/>
              </w:rPr>
              <w:t>: VšĮ Vilniaus universiteto ligoninė Santaros klinikos, Santariškių g. 2</w:t>
            </w:r>
            <w:r w:rsidR="006B57CD">
              <w:rPr>
                <w:kern w:val="2"/>
                <w:szCs w:val="24"/>
              </w:rPr>
              <w:t xml:space="preserve"> ir 7</w:t>
            </w:r>
            <w:r w:rsidR="00E02AE0" w:rsidRPr="0028060B">
              <w:rPr>
                <w:kern w:val="2"/>
                <w:szCs w:val="24"/>
              </w:rPr>
              <w:t>,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6EC0E56A" w14:textId="236C9689" w:rsidR="00E02AE0" w:rsidRPr="006C74A2" w:rsidRDefault="005C09F5" w:rsidP="00844F42">
            <w:pPr>
              <w:rPr>
                <w:kern w:val="2"/>
                <w:szCs w:val="24"/>
              </w:rPr>
            </w:pPr>
            <w:r>
              <w:rPr>
                <w:kern w:val="2"/>
                <w:szCs w:val="24"/>
              </w:rPr>
              <w:t>Netaikoma</w:t>
            </w: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46B000BF" w:rsidR="00E02AE0" w:rsidRPr="006C74A2" w:rsidRDefault="00E02AE0" w:rsidP="00E02AE0">
            <w:pPr>
              <w:rPr>
                <w:kern w:val="2"/>
                <w:szCs w:val="24"/>
              </w:rPr>
            </w:pPr>
            <w:r w:rsidRPr="006C74A2">
              <w:rPr>
                <w:kern w:val="2"/>
                <w:szCs w:val="24"/>
              </w:rPr>
              <w:t xml:space="preserve">Elektroninis paštas užsakymams: </w:t>
            </w:r>
            <w:r w:rsidRPr="006C74A2">
              <w:rPr>
                <w:color w:val="C00000"/>
                <w:szCs w:val="24"/>
              </w:rPr>
              <w:t>[įrašyti]</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w:t>
            </w:r>
            <w:proofErr w:type="spellStart"/>
            <w:r w:rsidRPr="00233811">
              <w:rPr>
                <w:kern w:val="2"/>
                <w:szCs w:val="24"/>
              </w:rPr>
              <w:t>perdirbamumą</w:t>
            </w:r>
            <w:proofErr w:type="spellEnd"/>
            <w:r w:rsidRPr="00233811">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lastRenderedPageBreak/>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1474D514" w14:textId="77777777" w:rsidR="006B57CD" w:rsidRPr="006B57CD" w:rsidRDefault="006B57CD" w:rsidP="006B57CD">
            <w:pPr>
              <w:rPr>
                <w:kern w:val="2"/>
                <w:szCs w:val="24"/>
              </w:rPr>
            </w:pPr>
            <w:r w:rsidRPr="006B57CD">
              <w:rPr>
                <w:kern w:val="2"/>
                <w:szCs w:val="24"/>
              </w:rPr>
              <w:t xml:space="preserve">Pradinės Sutarties vertė yra </w:t>
            </w:r>
            <w:r w:rsidRPr="006B57CD">
              <w:rPr>
                <w:color w:val="4472C4"/>
                <w:kern w:val="2"/>
                <w:szCs w:val="24"/>
              </w:rPr>
              <w:t>(nurodyti sumą skaičiais)</w:t>
            </w:r>
            <w:r w:rsidRPr="006B57CD">
              <w:rPr>
                <w:kern w:val="2"/>
                <w:szCs w:val="24"/>
              </w:rPr>
              <w:t xml:space="preserve"> Eur, </w:t>
            </w:r>
            <w:r w:rsidRPr="006B57CD">
              <w:rPr>
                <w:color w:val="4472C4"/>
                <w:kern w:val="2"/>
                <w:szCs w:val="24"/>
              </w:rPr>
              <w:t>(nurodyti sumą žodžiais)</w:t>
            </w:r>
            <w:r w:rsidRPr="006B57CD">
              <w:rPr>
                <w:kern w:val="2"/>
                <w:szCs w:val="24"/>
              </w:rPr>
              <w:t xml:space="preserve"> be pridėtinės vertės mokesčio (toliau – PVM). </w:t>
            </w:r>
          </w:p>
          <w:p w14:paraId="611F11DE" w14:textId="77777777" w:rsidR="006B57CD" w:rsidRPr="006B57CD" w:rsidRDefault="006B57CD" w:rsidP="006B57CD">
            <w:pPr>
              <w:rPr>
                <w:kern w:val="2"/>
                <w:szCs w:val="24"/>
              </w:rPr>
            </w:pPr>
            <w:r w:rsidRPr="006B57CD">
              <w:rPr>
                <w:kern w:val="2"/>
                <w:szCs w:val="24"/>
              </w:rPr>
              <w:t xml:space="preserve">PVM sudaro </w:t>
            </w:r>
            <w:r w:rsidRPr="006B57CD">
              <w:rPr>
                <w:color w:val="4472C4"/>
                <w:kern w:val="2"/>
                <w:szCs w:val="24"/>
              </w:rPr>
              <w:t>(nurodyti sumą skaičiais)</w:t>
            </w:r>
            <w:r w:rsidRPr="006B57CD">
              <w:rPr>
                <w:kern w:val="2"/>
                <w:szCs w:val="24"/>
              </w:rPr>
              <w:t xml:space="preserve"> Eur, </w:t>
            </w:r>
            <w:r w:rsidRPr="006B57CD">
              <w:rPr>
                <w:color w:val="4472C4"/>
                <w:kern w:val="2"/>
                <w:szCs w:val="24"/>
              </w:rPr>
              <w:t>(nurodyti sumą žodžiais)</w:t>
            </w:r>
            <w:r w:rsidRPr="006B57CD">
              <w:rPr>
                <w:kern w:val="2"/>
                <w:szCs w:val="24"/>
              </w:rPr>
              <w:t>.</w:t>
            </w:r>
          </w:p>
          <w:p w14:paraId="7FFD54ED" w14:textId="77777777" w:rsidR="006B57CD" w:rsidRPr="006B57CD" w:rsidRDefault="006B57CD" w:rsidP="006B57CD">
            <w:pPr>
              <w:rPr>
                <w:kern w:val="2"/>
                <w:szCs w:val="24"/>
              </w:rPr>
            </w:pPr>
            <w:r w:rsidRPr="006B57CD">
              <w:rPr>
                <w:kern w:val="2"/>
                <w:szCs w:val="24"/>
              </w:rPr>
              <w:t xml:space="preserve">Sutarties kaina yra </w:t>
            </w:r>
            <w:r w:rsidRPr="006B57CD">
              <w:rPr>
                <w:color w:val="4472C4"/>
                <w:kern w:val="2"/>
                <w:szCs w:val="24"/>
              </w:rPr>
              <w:t>(nurodyti sumą skaičiais)</w:t>
            </w:r>
            <w:r w:rsidRPr="006B57CD">
              <w:rPr>
                <w:kern w:val="2"/>
                <w:szCs w:val="24"/>
              </w:rPr>
              <w:t xml:space="preserve"> Eur, </w:t>
            </w:r>
            <w:r w:rsidRPr="006B57CD">
              <w:rPr>
                <w:color w:val="4472C4"/>
                <w:kern w:val="2"/>
                <w:szCs w:val="24"/>
              </w:rPr>
              <w:t>(nurodyti sumą žodžiais)</w:t>
            </w:r>
            <w:r w:rsidRPr="006B57CD">
              <w:rPr>
                <w:kern w:val="2"/>
                <w:szCs w:val="24"/>
              </w:rPr>
              <w:t xml:space="preserve"> Eur su PVM.</w:t>
            </w:r>
          </w:p>
          <w:p w14:paraId="34AFFBCA" w14:textId="77777777" w:rsidR="006B57CD" w:rsidRPr="006B57CD" w:rsidRDefault="006B57CD" w:rsidP="006B57CD">
            <w:pPr>
              <w:rPr>
                <w:color w:val="000000"/>
                <w:kern w:val="2"/>
                <w:szCs w:val="24"/>
              </w:rPr>
            </w:pPr>
            <w:r w:rsidRPr="006B57CD">
              <w:rPr>
                <w:color w:val="000000"/>
                <w:kern w:val="2"/>
                <w:szCs w:val="24"/>
              </w:rPr>
              <w:t xml:space="preserve">Šioje Sutartyje Pradinės Sutarties vertė yra lygi Tiekėjo pasiūlymo kainai be PVM, apskaičiuotai sudauginus </w:t>
            </w:r>
            <w:r w:rsidRPr="006B57CD">
              <w:rPr>
                <w:b/>
                <w:bCs/>
                <w:color w:val="000000"/>
                <w:kern w:val="2"/>
                <w:szCs w:val="24"/>
              </w:rPr>
              <w:t>maksimalų Prekių kiekį</w:t>
            </w:r>
            <w:r w:rsidRPr="006B57CD">
              <w:rPr>
                <w:color w:val="000000"/>
                <w:kern w:val="2"/>
                <w:szCs w:val="24"/>
              </w:rPr>
              <w:t xml:space="preserve"> iš Tiekėjo pasiūlyto įkainio be PVM.</w:t>
            </w:r>
            <w:r w:rsidRPr="00F74D08">
              <w:rPr>
                <w:kern w:val="2"/>
                <w:szCs w:val="24"/>
              </w:rPr>
              <w:t xml:space="preserve"> </w:t>
            </w:r>
            <w:r w:rsidRPr="006B57CD">
              <w:rPr>
                <w:color w:val="000000"/>
                <w:kern w:val="2"/>
                <w:szCs w:val="24"/>
              </w:rPr>
              <w:t xml:space="preserve">Pirkėjas perka Prekes pagal poreikį Sutartyje arba jos priede Nr. 1 nurodytais įkainiais, neviršijant jame nurodyto Prekių maksimalaus kiekio. </w:t>
            </w:r>
            <w:r w:rsidRPr="006B57CD">
              <w:rPr>
                <w:kern w:val="2"/>
                <w:szCs w:val="24"/>
              </w:rPr>
              <w:t>Pirkėjas neįsipareigoja išpirkti maksimalaus Prekių kiekio ar bet kokios jo dalies.</w:t>
            </w:r>
          </w:p>
          <w:p w14:paraId="4BBEC627" w14:textId="5E5B393E" w:rsidR="00E02AE0" w:rsidRPr="006C74A2" w:rsidRDefault="006B57CD" w:rsidP="006B57CD">
            <w:pPr>
              <w:jc w:val="both"/>
              <w:rPr>
                <w:kern w:val="2"/>
                <w:szCs w:val="24"/>
                <w:highlight w:val="yellow"/>
              </w:rPr>
            </w:pPr>
            <w:r w:rsidRPr="006B57CD">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F74D08"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lastRenderedPageBreak/>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91563D"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r>
                <w:rPr>
                  <w:rFonts w:ascii="Cambria Math" w:eastAsiaTheme="minorEastAsia" w:hAnsi="Cambria Math"/>
                  <w:szCs w:val="24"/>
                </w:rPr>
                <m:t>+</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ACEE9B5"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A6EFC">
                  <w:rPr>
                    <w:i/>
                    <w:szCs w:val="24"/>
                  </w:rPr>
                  <w:t>VARTOJIMO PREKĖS IR PASLAUGOS</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2A7DF05" w:rsidR="00E02AE0" w:rsidRPr="006C74A2" w:rsidRDefault="00E02AE0" w:rsidP="00E02AE0">
            <w:pPr>
              <w:ind w:left="56"/>
              <w:jc w:val="both"/>
              <w:rPr>
                <w:szCs w:val="24"/>
              </w:rPr>
            </w:pPr>
            <w:proofErr w:type="spellStart"/>
            <w:r w:rsidRPr="006C74A2">
              <w:rPr>
                <w:szCs w:val="24"/>
              </w:rPr>
              <w:t>Ind</w:t>
            </w:r>
            <w:r w:rsidRPr="006C74A2">
              <w:rPr>
                <w:szCs w:val="24"/>
                <w:vertAlign w:val="subscript"/>
              </w:rPr>
              <w:t>naujausias</w:t>
            </w:r>
            <w:proofErr w:type="spellEnd"/>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A6EFC">
                  <w:rPr>
                    <w:i/>
                    <w:szCs w:val="24"/>
                  </w:rPr>
                  <w:t>VARTOJIMO PREKĖS IR PASLAUGOS</w:t>
                </w:r>
              </w:sdtContent>
            </w:sdt>
            <w:r w:rsidRPr="006C74A2">
              <w:rPr>
                <w:szCs w:val="24"/>
              </w:rPr>
              <w:t>).</w:t>
            </w:r>
          </w:p>
          <w:p w14:paraId="4A3B6A06" w14:textId="5105DCAA" w:rsidR="00E02AE0" w:rsidRPr="006C74A2" w:rsidRDefault="00E02AE0" w:rsidP="00E02AE0">
            <w:pPr>
              <w:ind w:left="56"/>
              <w:jc w:val="both"/>
              <w:rPr>
                <w:szCs w:val="24"/>
              </w:rPr>
            </w:pPr>
            <w:proofErr w:type="spellStart"/>
            <w:r w:rsidRPr="006C74A2">
              <w:rPr>
                <w:szCs w:val="24"/>
              </w:rPr>
              <w:t>Ind</w:t>
            </w:r>
            <w:r w:rsidRPr="006C74A2">
              <w:rPr>
                <w:szCs w:val="24"/>
                <w:vertAlign w:val="subscript"/>
              </w:rPr>
              <w:t>pradžia</w:t>
            </w:r>
            <w:proofErr w:type="spellEnd"/>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A6EFC">
                  <w:rPr>
                    <w:i/>
                    <w:szCs w:val="24"/>
                  </w:rPr>
                  <w:t>VARTOJIMO PREKĖS IR PASLAUGOS</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kiekio (apimties)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lastRenderedPageBreak/>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0D3C3237" w14:textId="515C39EE" w:rsidR="00754870" w:rsidRPr="006C74A2" w:rsidRDefault="00171060" w:rsidP="00754870">
            <w:pPr>
              <w:autoSpaceDE w:val="0"/>
              <w:autoSpaceDN w:val="0"/>
              <w:adjustRightInd w:val="0"/>
              <w:rPr>
                <w:kern w:val="2"/>
                <w:szCs w:val="24"/>
              </w:rPr>
            </w:pPr>
            <w:r w:rsidRPr="006C74A2">
              <w:rPr>
                <w:kern w:val="2"/>
                <w:szCs w:val="24"/>
              </w:rPr>
              <w:t>Prekėms nustatomas Tiekėjo pasiūlytas arba Prekių gamintojo taikomas Garantinis terminas</w:t>
            </w:r>
            <w:r w:rsidR="00754870">
              <w:rPr>
                <w:kern w:val="2"/>
                <w:szCs w:val="24"/>
              </w:rPr>
              <w:t xml:space="preserve">, </w:t>
            </w:r>
            <w:r w:rsidR="00B4129B">
              <w:rPr>
                <w:kern w:val="2"/>
                <w:szCs w:val="24"/>
              </w:rPr>
              <w:t xml:space="preserve">tačiau ne trumpesnis kaip </w:t>
            </w:r>
            <w:r w:rsidR="00B4129B" w:rsidRPr="00F74D08">
              <w:rPr>
                <w:kern w:val="2"/>
                <w:szCs w:val="24"/>
              </w:rPr>
              <w:t>6 m</w:t>
            </w:r>
            <w:r w:rsidR="00B4129B">
              <w:rPr>
                <w:kern w:val="2"/>
                <w:szCs w:val="24"/>
              </w:rPr>
              <w:t>ėn</w:t>
            </w:r>
            <w:r w:rsidRPr="006C74A2">
              <w:rPr>
                <w:kern w:val="2"/>
                <w:szCs w:val="24"/>
              </w:rPr>
              <w:t>. Garantinis terminas, skaičiuojamas nuo Prekių perdavimo–priėmimo akto ar Sąskaitos (kai Prekių perdavimo–priėmimo aktas nėra pasirašomas) pasirašymo dienos</w:t>
            </w:r>
            <w:r w:rsidR="00696593">
              <w:rPr>
                <w:kern w:val="2"/>
                <w:szCs w:val="24"/>
              </w:rPr>
              <w:t>.</w:t>
            </w:r>
            <w:r w:rsidR="006E2E8E">
              <w:rPr>
                <w:rFonts w:ascii="TimesNewRomanPSMT" w:eastAsia="TimesNewRomanPSMT" w:cs="TimesNewRomanPSMT"/>
                <w:sz w:val="22"/>
                <w:szCs w:val="22"/>
              </w:rPr>
              <w:t xml:space="preserve"> </w:t>
            </w:r>
          </w:p>
          <w:p w14:paraId="4C55ACC8" w14:textId="515D4D1E" w:rsidR="00E02AE0" w:rsidRPr="006C74A2" w:rsidRDefault="00E02AE0" w:rsidP="00226CC7">
            <w:pPr>
              <w:autoSpaceDE w:val="0"/>
              <w:autoSpaceDN w:val="0"/>
              <w:adjustRightInd w:val="0"/>
              <w:rPr>
                <w:kern w:val="2"/>
                <w:szCs w:val="24"/>
              </w:rPr>
            </w:pP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15D3B467" w14:textId="77777777" w:rsidR="007029A5" w:rsidRPr="006C74A2" w:rsidRDefault="007029A5" w:rsidP="007029A5">
            <w:pPr>
              <w:jc w:val="both"/>
              <w:rPr>
                <w:color w:val="FF0000"/>
                <w:kern w:val="2"/>
                <w:szCs w:val="24"/>
              </w:rPr>
            </w:pPr>
            <w:r w:rsidRPr="006C74A2">
              <w:rPr>
                <w:color w:val="FF0000"/>
                <w:kern w:val="2"/>
                <w:szCs w:val="24"/>
              </w:rPr>
              <w:t>arba</w:t>
            </w:r>
          </w:p>
          <w:p w14:paraId="75BC9D85" w14:textId="77777777" w:rsidR="007029A5" w:rsidRPr="006C74A2" w:rsidRDefault="007029A5" w:rsidP="007029A5">
            <w:pPr>
              <w:jc w:val="both"/>
              <w:rPr>
                <w:i/>
                <w:kern w:val="2"/>
                <w:szCs w:val="24"/>
              </w:rPr>
            </w:pPr>
            <w:r w:rsidRPr="006C74A2">
              <w:rPr>
                <w:kern w:val="2"/>
                <w:szCs w:val="24"/>
              </w:rPr>
              <w:t xml:space="preserve">Sutarties vykdymui pasitelkiami šie subtiekėjai ir (ar) specialistai: </w:t>
            </w:r>
            <w:r w:rsidRPr="006C74A2">
              <w:rPr>
                <w:i/>
                <w:kern w:val="2"/>
                <w:szCs w:val="24"/>
              </w:rPr>
              <w:t>išvardinti</w:t>
            </w:r>
          </w:p>
          <w:p w14:paraId="08C389BD" w14:textId="5FF3E9CE" w:rsidR="007029A5" w:rsidRPr="006C74A2" w:rsidRDefault="007029A5" w:rsidP="007029A5">
            <w:pPr>
              <w:jc w:val="both"/>
              <w:rPr>
                <w:b/>
                <w:bCs/>
                <w:kern w:val="2"/>
                <w:szCs w:val="24"/>
              </w:rPr>
            </w:pPr>
            <w:r w:rsidRPr="006C74A2">
              <w:rPr>
                <w:rFonts w:asciiTheme="minorHAnsi" w:eastAsiaTheme="minorHAnsi" w:hAnsiTheme="minorHAnsi" w:cstheme="minorBidi"/>
                <w:color w:val="FF0000"/>
                <w:kern w:val="2"/>
                <w:szCs w:val="24"/>
                <w:lang w:val="en-US"/>
                <w14:ligatures w14:val="standardContextual"/>
              </w:rPr>
              <w:t>(</w:t>
            </w:r>
            <w:r w:rsidRPr="006C74A2">
              <w:rPr>
                <w:color w:val="FF0000"/>
                <w:kern w:val="2"/>
                <w:szCs w:val="24"/>
              </w:rPr>
              <w:t>pasirenkamas vienas iš nurodytų variantų)</w:t>
            </w: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F74D08">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w:t>
            </w:r>
            <w:r w:rsidRPr="006C74A2">
              <w:rPr>
                <w:color w:val="000000"/>
                <w:kern w:val="2"/>
                <w:szCs w:val="24"/>
              </w:rPr>
              <w:lastRenderedPageBreak/>
              <w:t xml:space="preserve">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6C74A2">
              <w:rPr>
                <w:color w:val="000000"/>
                <w:kern w:val="2"/>
                <w:szCs w:val="24"/>
                <w:lang w:val="en-US"/>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 xml:space="preserve">9.7. Tiekėjui taikomos netesybos dėl pirkimo dokumentuose nustatytų kokybinių kriterijų </w:t>
            </w:r>
            <w:proofErr w:type="spellStart"/>
            <w:r w:rsidRPr="006C74A2">
              <w:rPr>
                <w:b/>
                <w:bCs/>
                <w:kern w:val="2"/>
                <w:szCs w:val="24"/>
              </w:rPr>
              <w:t>nepasiekimo</w:t>
            </w:r>
            <w:proofErr w:type="spellEnd"/>
            <w:r w:rsidRPr="006C74A2">
              <w:rPr>
                <w:b/>
                <w:bCs/>
                <w:kern w:val="2"/>
                <w:szCs w:val="24"/>
              </w:rPr>
              <w:t xml:space="preserve">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F74D08" w:rsidRDefault="007029A5" w:rsidP="007029A5">
            <w:pPr>
              <w:rPr>
                <w:b/>
                <w:bCs/>
                <w:kern w:val="2"/>
                <w:szCs w:val="24"/>
              </w:rPr>
            </w:pPr>
            <w:r w:rsidRPr="00F74D08">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6C74A2">
              <w:rPr>
                <w:kern w:val="2"/>
                <w:szCs w:val="24"/>
              </w:rPr>
              <w:lastRenderedPageBreak/>
              <w:t>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79537E9F"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2</w:t>
            </w:r>
            <w:r w:rsidR="006F3797">
              <w:rPr>
                <w:b/>
                <w:szCs w:val="24"/>
              </w:rPr>
              <w:t>0</w:t>
            </w:r>
            <w:r w:rsidRPr="006C74A2">
              <w:rPr>
                <w:b/>
                <w:szCs w:val="24"/>
              </w:rPr>
              <w:t xml:space="preserve"> (dvidešim</w:t>
            </w:r>
            <w:r w:rsidR="006F3797">
              <w:rPr>
                <w:b/>
                <w:szCs w:val="24"/>
              </w:rPr>
              <w:t>t</w:t>
            </w:r>
            <w:r w:rsidRPr="006C74A2">
              <w:rPr>
                <w:b/>
                <w:szCs w:val="24"/>
              </w:rPr>
              <w:t>) mėnesi</w:t>
            </w:r>
            <w:r w:rsidR="006F3797">
              <w:rPr>
                <w:b/>
                <w:szCs w:val="24"/>
              </w:rPr>
              <w:t>ų</w:t>
            </w:r>
            <w:r w:rsidRPr="006C74A2">
              <w:rPr>
                <w:b/>
                <w:szCs w:val="24"/>
              </w:rPr>
              <w:t xml:space="preserve"> </w:t>
            </w:r>
            <w:r w:rsidRPr="006C74A2">
              <w:rPr>
                <w:szCs w:val="24"/>
              </w:rPr>
              <w:t xml:space="preserve">(sutarties vykdymo trukmė (prekių tiekimo terminas) – </w:t>
            </w:r>
            <w:r w:rsidR="006F3797">
              <w:rPr>
                <w:szCs w:val="24"/>
              </w:rPr>
              <w:t>18</w:t>
            </w:r>
            <w:r w:rsidRPr="006C74A2">
              <w:rPr>
                <w:szCs w:val="24"/>
              </w:rPr>
              <w:t xml:space="preserve"> (</w:t>
            </w:r>
            <w:r w:rsidR="006F3797">
              <w:rPr>
                <w:szCs w:val="24"/>
              </w:rPr>
              <w:t>aštuoniolika</w:t>
            </w:r>
            <w:r w:rsidRPr="006C74A2">
              <w:rPr>
                <w:szCs w:val="24"/>
              </w:rPr>
              <w:t>) mėnesi</w:t>
            </w:r>
            <w:r w:rsidR="006F3797">
              <w:rPr>
                <w:szCs w:val="24"/>
              </w:rPr>
              <w:t>ų</w:t>
            </w:r>
            <w:r w:rsidRPr="006C74A2">
              <w:rPr>
                <w:szCs w:val="24"/>
              </w:rPr>
              <w:t>,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EE3697">
        <w:trPr>
          <w:trHeight w:val="300"/>
        </w:trPr>
        <w:tc>
          <w:tcPr>
            <w:tcW w:w="2532"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7003"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EE3697">
        <w:trPr>
          <w:trHeight w:val="300"/>
        </w:trPr>
        <w:tc>
          <w:tcPr>
            <w:tcW w:w="2532"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7003"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EE3697">
        <w:trPr>
          <w:trHeight w:val="300"/>
        </w:trPr>
        <w:tc>
          <w:tcPr>
            <w:tcW w:w="2532"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7003" w:type="dxa"/>
            <w:gridSpan w:val="3"/>
          </w:tcPr>
          <w:p w14:paraId="277E8DB3" w14:textId="293D96B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F74D08">
              <w:rPr>
                <w:color w:val="000000"/>
                <w:kern w:val="2"/>
                <w:szCs w:val="24"/>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 xml:space="preserve">4.4.4. </w:t>
            </w:r>
            <w:r w:rsidRPr="006C74A2">
              <w:rPr>
                <w:kern w:val="2"/>
                <w:szCs w:val="24"/>
                <w:shd w:val="clear" w:color="auto" w:fill="FFFFFF"/>
              </w:rPr>
              <w:lastRenderedPageBreak/>
              <w:t>papunkčiu.</w:t>
            </w:r>
            <w:r w:rsidRPr="006C74A2">
              <w:rPr>
                <w:kern w:val="2"/>
                <w:szCs w:val="24"/>
              </w:rPr>
              <w:t> </w:t>
            </w:r>
            <w:r w:rsidR="00577527">
              <w:rPr>
                <w:kern w:val="2"/>
                <w:szCs w:val="24"/>
              </w:rPr>
              <w:t xml:space="preserve">Tiekėjas turi taikyti </w:t>
            </w:r>
            <w:r w:rsidR="0090598A">
              <w:rPr>
                <w:kern w:val="2"/>
                <w:szCs w:val="24"/>
              </w:rPr>
              <w:t xml:space="preserve"> bent viename </w:t>
            </w:r>
            <w:r w:rsidR="00F75254" w:rsidRPr="00F75254">
              <w:rPr>
                <w:bCs/>
                <w:sz w:val="22"/>
                <w:szCs w:val="22"/>
              </w:rPr>
              <w:t>punkt</w:t>
            </w:r>
            <w:r w:rsidR="007F6B7A">
              <w:rPr>
                <w:bCs/>
                <w:sz w:val="22"/>
                <w:szCs w:val="22"/>
              </w:rPr>
              <w:t>e</w:t>
            </w:r>
            <w:r w:rsidR="000F4667">
              <w:rPr>
                <w:bCs/>
                <w:sz w:val="22"/>
                <w:szCs w:val="22"/>
              </w:rPr>
              <w:t xml:space="preserve"> iš dviejų punktų:</w:t>
            </w:r>
            <w:r w:rsidR="007F6B7A">
              <w:rPr>
                <w:bCs/>
                <w:sz w:val="22"/>
                <w:szCs w:val="22"/>
              </w:rPr>
              <w:t xml:space="preserve"> 12.2 </w:t>
            </w:r>
            <w:r w:rsidR="000F4667">
              <w:rPr>
                <w:bCs/>
                <w:sz w:val="22"/>
                <w:szCs w:val="22"/>
              </w:rPr>
              <w:t xml:space="preserve">p. </w:t>
            </w:r>
            <w:r w:rsidR="007F6B7A">
              <w:rPr>
                <w:bCs/>
                <w:sz w:val="22"/>
                <w:szCs w:val="22"/>
              </w:rPr>
              <w:t>ar 12.3</w:t>
            </w:r>
            <w:r w:rsidR="000F4667">
              <w:rPr>
                <w:bCs/>
                <w:sz w:val="22"/>
                <w:szCs w:val="22"/>
              </w:rPr>
              <w:t xml:space="preserve"> p. nurodytus tane punkte visus reikalavimus.</w:t>
            </w:r>
          </w:p>
        </w:tc>
      </w:tr>
      <w:tr w:rsidR="007029A5" w:rsidRPr="006C74A2" w14:paraId="2EA56D89" w14:textId="77777777" w:rsidTr="00C516DE">
        <w:trPr>
          <w:trHeight w:val="416"/>
        </w:trPr>
        <w:tc>
          <w:tcPr>
            <w:tcW w:w="2532"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7003" w:type="dxa"/>
            <w:gridSpan w:val="3"/>
          </w:tcPr>
          <w:p w14:paraId="09CFECEC" w14:textId="77777777" w:rsidR="00F75254" w:rsidRDefault="00F75254" w:rsidP="00F75254">
            <w:pPr>
              <w:widowControl w:val="0"/>
              <w:pBdr>
                <w:top w:val="nil"/>
                <w:left w:val="nil"/>
                <w:bottom w:val="nil"/>
                <w:right w:val="nil"/>
                <w:between w:val="nil"/>
                <w:bar w:val="nil"/>
              </w:pBdr>
              <w:tabs>
                <w:tab w:val="left" w:pos="0"/>
                <w:tab w:val="left" w:pos="567"/>
              </w:tabs>
              <w:suppressAutoHyphens/>
              <w:jc w:val="both"/>
              <w:rPr>
                <w:sz w:val="22"/>
                <w:szCs w:val="22"/>
              </w:rPr>
            </w:pPr>
            <w:r w:rsidRPr="000F4667">
              <w:rPr>
                <w:szCs w:val="24"/>
              </w:rPr>
              <w:t>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r>
              <w:rPr>
                <w:sz w:val="22"/>
                <w:szCs w:val="22"/>
              </w:rPr>
              <w:t>:</w:t>
            </w:r>
          </w:p>
          <w:tbl>
            <w:tblPr>
              <w:tblW w:w="5000" w:type="pct"/>
              <w:tblCellMar>
                <w:left w:w="0" w:type="dxa"/>
                <w:right w:w="0" w:type="dxa"/>
              </w:tblCellMar>
              <w:tblLook w:val="04A0" w:firstRow="1" w:lastRow="0" w:firstColumn="1" w:lastColumn="0" w:noHBand="0" w:noVBand="1"/>
            </w:tblPr>
            <w:tblGrid>
              <w:gridCol w:w="653"/>
              <w:gridCol w:w="3584"/>
              <w:gridCol w:w="2530"/>
            </w:tblGrid>
            <w:tr w:rsidR="00F75254" w14:paraId="58BF956A" w14:textId="77777777" w:rsidTr="00697BDB">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0E1D2" w14:textId="77777777" w:rsidR="00F75254" w:rsidRDefault="00F75254" w:rsidP="00F75254">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3DEB9" w14:textId="77777777" w:rsidR="00F75254" w:rsidRDefault="00F75254" w:rsidP="00F75254">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44A35" w14:textId="77777777" w:rsidR="00F75254" w:rsidRDefault="00F75254" w:rsidP="00F75254">
                  <w:pPr>
                    <w:jc w:val="both"/>
                  </w:pPr>
                  <w:r>
                    <w:rPr>
                      <w:color w:val="000000"/>
                      <w:sz w:val="22"/>
                      <w:szCs w:val="22"/>
                    </w:rPr>
                    <w:t>Ženklinimas</w:t>
                  </w:r>
                </w:p>
              </w:tc>
            </w:tr>
            <w:tr w:rsidR="00F75254" w14:paraId="73EB6EB0"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C42" w14:textId="77777777" w:rsidR="00F75254" w:rsidRDefault="00F75254" w:rsidP="00F75254">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51B7746" w14:textId="77777777" w:rsidR="00F75254" w:rsidRDefault="00F75254" w:rsidP="00F75254">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9BB5D00" w14:textId="77777777" w:rsidR="00F75254" w:rsidRDefault="00F75254" w:rsidP="00F75254">
                  <w:pPr>
                    <w:jc w:val="both"/>
                  </w:pPr>
                  <w:r>
                    <w:rPr>
                      <w:color w:val="000000"/>
                      <w:sz w:val="22"/>
                      <w:szCs w:val="22"/>
                    </w:rPr>
                    <w:t>GL (arba GL nuo 70 iki 79)</w:t>
                  </w:r>
                </w:p>
              </w:tc>
            </w:tr>
            <w:tr w:rsidR="00F75254" w14:paraId="4CAEE27A"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23DCA" w14:textId="77777777" w:rsidR="00F75254" w:rsidRDefault="00F75254" w:rsidP="00F75254">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3093EEF" w14:textId="77777777" w:rsidR="00F75254" w:rsidRDefault="00F75254" w:rsidP="00F75254">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4C0146B" w14:textId="77777777" w:rsidR="00F75254" w:rsidRDefault="00F75254" w:rsidP="00F75254">
                  <w:pPr>
                    <w:jc w:val="both"/>
                  </w:pPr>
                  <w:r>
                    <w:rPr>
                      <w:color w:val="000000"/>
                      <w:sz w:val="22"/>
                      <w:szCs w:val="22"/>
                    </w:rPr>
                    <w:t>FE (arba FE 40),</w:t>
                  </w:r>
                </w:p>
                <w:p w14:paraId="57DC0C2F" w14:textId="77777777" w:rsidR="00F75254" w:rsidRDefault="00F75254" w:rsidP="00F75254">
                  <w:pPr>
                    <w:jc w:val="both"/>
                  </w:pPr>
                  <w:r>
                    <w:rPr>
                      <w:color w:val="000000"/>
                      <w:sz w:val="22"/>
                      <w:szCs w:val="22"/>
                    </w:rPr>
                    <w:t>ALU (arba ALU 41)</w:t>
                  </w:r>
                </w:p>
                <w:p w14:paraId="2FCC5392" w14:textId="77777777" w:rsidR="00F75254" w:rsidRDefault="00F75254" w:rsidP="00F75254">
                  <w:pPr>
                    <w:jc w:val="both"/>
                  </w:pPr>
                  <w:r>
                    <w:rPr>
                      <w:color w:val="000000"/>
                      <w:sz w:val="22"/>
                      <w:szCs w:val="22"/>
                    </w:rPr>
                    <w:t>Nuo 42 iki 49</w:t>
                  </w:r>
                </w:p>
              </w:tc>
            </w:tr>
            <w:tr w:rsidR="00F75254" w14:paraId="11A5D937"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34560" w14:textId="77777777" w:rsidR="00F75254" w:rsidRDefault="00F75254" w:rsidP="00F75254">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5F952AA" w14:textId="77777777" w:rsidR="00F75254" w:rsidRDefault="00F75254" w:rsidP="00F75254">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8E4EEB1" w14:textId="77777777" w:rsidR="00F75254" w:rsidRDefault="00F75254" w:rsidP="00F75254">
                  <w:pPr>
                    <w:jc w:val="both"/>
                  </w:pPr>
                  <w:r>
                    <w:rPr>
                      <w:color w:val="000000"/>
                      <w:sz w:val="22"/>
                      <w:szCs w:val="22"/>
                    </w:rPr>
                    <w:t>PAP (arba PAP nuo 20 iki 39)</w:t>
                  </w:r>
                </w:p>
              </w:tc>
            </w:tr>
            <w:tr w:rsidR="00F75254" w14:paraId="08231C39"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ACF73" w14:textId="77777777" w:rsidR="00F75254" w:rsidRDefault="00F75254" w:rsidP="00F75254">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24538A8" w14:textId="77777777" w:rsidR="00F75254" w:rsidRDefault="00F75254" w:rsidP="00F75254">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49B629D" w14:textId="77777777" w:rsidR="00F75254" w:rsidRDefault="00F75254" w:rsidP="00F75254">
                  <w:pPr>
                    <w:jc w:val="both"/>
                  </w:pPr>
                  <w:r>
                    <w:rPr>
                      <w:color w:val="000000"/>
                      <w:sz w:val="22"/>
                      <w:szCs w:val="22"/>
                    </w:rPr>
                    <w:t>FOR (arba FOR nuo 50 iki 59)</w:t>
                  </w:r>
                </w:p>
              </w:tc>
            </w:tr>
            <w:tr w:rsidR="00F75254" w14:paraId="29699EC7"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E5B7F" w14:textId="77777777" w:rsidR="00F75254" w:rsidRDefault="00F75254" w:rsidP="00F75254">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A08F818" w14:textId="77777777" w:rsidR="00F75254" w:rsidRDefault="00F75254" w:rsidP="00F75254">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5228C35" w14:textId="77777777" w:rsidR="00F75254" w:rsidRDefault="00F75254" w:rsidP="00F75254">
                  <w:pPr>
                    <w:jc w:val="both"/>
                  </w:pPr>
                  <w:r>
                    <w:rPr>
                      <w:color w:val="000000"/>
                      <w:sz w:val="22"/>
                      <w:szCs w:val="22"/>
                    </w:rPr>
                    <w:t>TEX (arba TEX nuo 60 iki 69)</w:t>
                  </w:r>
                </w:p>
              </w:tc>
            </w:tr>
            <w:tr w:rsidR="00F75254" w14:paraId="4112FF55"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D03BF" w14:textId="77777777" w:rsidR="00F75254" w:rsidRDefault="00F75254" w:rsidP="00F75254">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C858CDB" w14:textId="77777777" w:rsidR="00F75254" w:rsidRDefault="00F75254" w:rsidP="00F75254">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797890" w14:textId="77777777" w:rsidR="00F75254" w:rsidRDefault="00F75254" w:rsidP="00F75254">
                  <w:pPr>
                    <w:jc w:val="both"/>
                  </w:pPr>
                  <w:r>
                    <w:rPr>
                      <w:color w:val="000000"/>
                      <w:sz w:val="22"/>
                      <w:szCs w:val="22"/>
                    </w:rPr>
                    <w:t>PET arba PET 1</w:t>
                  </w:r>
                </w:p>
              </w:tc>
            </w:tr>
            <w:tr w:rsidR="00F75254" w14:paraId="0D8976F6"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A439D" w14:textId="77777777" w:rsidR="00F75254" w:rsidRDefault="00F75254" w:rsidP="00F75254">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0608872" w14:textId="77777777" w:rsidR="00F75254" w:rsidRDefault="00F75254" w:rsidP="00F75254">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25F4FE9" w14:textId="77777777" w:rsidR="00F75254" w:rsidRDefault="00F75254" w:rsidP="00F75254">
                  <w:pPr>
                    <w:jc w:val="both"/>
                  </w:pPr>
                  <w:r>
                    <w:rPr>
                      <w:color w:val="000000"/>
                      <w:sz w:val="22"/>
                      <w:szCs w:val="22"/>
                    </w:rPr>
                    <w:t>HDPE (arba HDPE 2)</w:t>
                  </w:r>
                </w:p>
              </w:tc>
            </w:tr>
            <w:tr w:rsidR="00F75254" w14:paraId="1BC19B18"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5829F" w14:textId="77777777" w:rsidR="00F75254" w:rsidRDefault="00F75254" w:rsidP="00F75254">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1910401" w14:textId="77777777" w:rsidR="00F75254" w:rsidRDefault="00F75254" w:rsidP="00F75254">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3533FC1" w14:textId="77777777" w:rsidR="00F75254" w:rsidRDefault="00F75254" w:rsidP="00F75254">
                  <w:pPr>
                    <w:jc w:val="both"/>
                  </w:pPr>
                  <w:r>
                    <w:rPr>
                      <w:color w:val="000000"/>
                      <w:sz w:val="22"/>
                      <w:szCs w:val="22"/>
                    </w:rPr>
                    <w:t>PVC (arba PVC 3)</w:t>
                  </w:r>
                </w:p>
              </w:tc>
            </w:tr>
            <w:tr w:rsidR="00F75254" w14:paraId="1CF14DB3"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7ADBD" w14:textId="77777777" w:rsidR="00F75254" w:rsidRDefault="00F75254" w:rsidP="00F75254">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D810ED4" w14:textId="77777777" w:rsidR="00F75254" w:rsidRDefault="00F75254" w:rsidP="00F75254">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B22B11C" w14:textId="77777777" w:rsidR="00F75254" w:rsidRDefault="00F75254" w:rsidP="00F75254">
                  <w:pPr>
                    <w:jc w:val="both"/>
                  </w:pPr>
                  <w:r>
                    <w:rPr>
                      <w:color w:val="000000"/>
                      <w:sz w:val="22"/>
                      <w:szCs w:val="22"/>
                    </w:rPr>
                    <w:t>LDPE (arba LDPE 4)</w:t>
                  </w:r>
                </w:p>
              </w:tc>
            </w:tr>
            <w:tr w:rsidR="00F75254" w14:paraId="5D34E62B"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E8D4A" w14:textId="77777777" w:rsidR="00F75254" w:rsidRDefault="00F75254" w:rsidP="00F75254">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ABF31BE" w14:textId="77777777" w:rsidR="00F75254" w:rsidRDefault="00F75254" w:rsidP="00F75254">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3E40232" w14:textId="77777777" w:rsidR="00F75254" w:rsidRDefault="00F75254" w:rsidP="00F75254">
                  <w:pPr>
                    <w:jc w:val="both"/>
                  </w:pPr>
                  <w:r>
                    <w:rPr>
                      <w:color w:val="000000"/>
                      <w:sz w:val="22"/>
                      <w:szCs w:val="22"/>
                    </w:rPr>
                    <w:t>PP (arba PP 5)</w:t>
                  </w:r>
                </w:p>
              </w:tc>
            </w:tr>
            <w:tr w:rsidR="00F75254" w14:paraId="45FA41A7" w14:textId="77777777" w:rsidTr="00697BDB">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EEDB1" w14:textId="77777777" w:rsidR="00F75254" w:rsidRDefault="00F75254" w:rsidP="00F75254">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7A1729F" w14:textId="77777777" w:rsidR="00F75254" w:rsidRDefault="00F75254" w:rsidP="00F75254">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7B71700" w14:textId="77777777" w:rsidR="00F75254" w:rsidRDefault="00F75254" w:rsidP="00F75254">
                  <w:pPr>
                    <w:jc w:val="both"/>
                  </w:pPr>
                  <w:r>
                    <w:rPr>
                      <w:color w:val="000000"/>
                      <w:sz w:val="22"/>
                      <w:szCs w:val="22"/>
                    </w:rPr>
                    <w:t>PS (arba PS 6)</w:t>
                  </w:r>
                </w:p>
              </w:tc>
            </w:tr>
          </w:tbl>
          <w:p w14:paraId="2CB577D0" w14:textId="77777777" w:rsidR="00F75254" w:rsidRPr="009839A1" w:rsidRDefault="00F75254" w:rsidP="00F75254">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67A6EC9B"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p>
        </w:tc>
      </w:tr>
      <w:tr w:rsidR="007029A5" w:rsidRPr="006C74A2" w14:paraId="1429440B" w14:textId="77777777" w:rsidTr="00EE3697">
        <w:trPr>
          <w:trHeight w:val="300"/>
        </w:trPr>
        <w:tc>
          <w:tcPr>
            <w:tcW w:w="2532"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7003" w:type="dxa"/>
            <w:gridSpan w:val="3"/>
          </w:tcPr>
          <w:p w14:paraId="4C26325A" w14:textId="77777777" w:rsidR="000F4667" w:rsidRPr="000F4667" w:rsidRDefault="000F4667" w:rsidP="000F4667">
            <w:pPr>
              <w:widowControl w:val="0"/>
              <w:pBdr>
                <w:top w:val="nil"/>
                <w:left w:val="nil"/>
                <w:bottom w:val="nil"/>
                <w:right w:val="nil"/>
                <w:between w:val="nil"/>
                <w:bar w:val="nil"/>
              </w:pBdr>
              <w:tabs>
                <w:tab w:val="left" w:pos="0"/>
                <w:tab w:val="left" w:pos="567"/>
              </w:tabs>
              <w:suppressAutoHyphens/>
              <w:jc w:val="both"/>
              <w:rPr>
                <w:szCs w:val="24"/>
              </w:rPr>
            </w:pPr>
            <w:r w:rsidRPr="000F4667">
              <w:rPr>
                <w:szCs w:val="24"/>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w:t>
            </w:r>
            <w:r w:rsidRPr="000F4667">
              <w:rPr>
                <w:szCs w:val="24"/>
              </w:rPr>
              <w:lastRenderedPageBreak/>
              <w:t xml:space="preserve">paklaidą), nustatytos Reglamente (EB) Nr. 715/2007. </w:t>
            </w:r>
          </w:p>
          <w:p w14:paraId="52800414" w14:textId="67E79267" w:rsidR="007029A5" w:rsidRPr="006C74A2" w:rsidRDefault="000F4667" w:rsidP="000F4667">
            <w:pPr>
              <w:widowControl w:val="0"/>
              <w:pBdr>
                <w:top w:val="nil"/>
                <w:left w:val="nil"/>
                <w:bottom w:val="nil"/>
                <w:right w:val="nil"/>
                <w:between w:val="nil"/>
                <w:bar w:val="nil"/>
              </w:pBdr>
              <w:tabs>
                <w:tab w:val="left" w:pos="0"/>
                <w:tab w:val="left" w:pos="567"/>
              </w:tabs>
              <w:suppressAutoHyphens/>
              <w:jc w:val="both"/>
              <w:rPr>
                <w:szCs w:val="24"/>
              </w:rPr>
            </w:pPr>
            <w:r w:rsidRPr="000F4667">
              <w:rPr>
                <w:szCs w:val="24"/>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7029A5" w:rsidRPr="006C74A2" w14:paraId="227E918F" w14:textId="77777777" w:rsidTr="00EE3697">
        <w:trPr>
          <w:trHeight w:val="300"/>
        </w:trPr>
        <w:tc>
          <w:tcPr>
            <w:tcW w:w="2532" w:type="dxa"/>
          </w:tcPr>
          <w:p w14:paraId="0E240622" w14:textId="77777777" w:rsidR="007029A5" w:rsidRPr="006C74A2" w:rsidRDefault="007029A5" w:rsidP="007029A5">
            <w:pPr>
              <w:rPr>
                <w:b/>
                <w:bCs/>
                <w:kern w:val="2"/>
                <w:szCs w:val="24"/>
              </w:rPr>
            </w:pPr>
            <w:r w:rsidRPr="006C74A2">
              <w:rPr>
                <w:b/>
                <w:bCs/>
                <w:kern w:val="2"/>
                <w:szCs w:val="24"/>
              </w:rPr>
              <w:lastRenderedPageBreak/>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7003"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EE3697">
        <w:trPr>
          <w:trHeight w:val="300"/>
        </w:trPr>
        <w:tc>
          <w:tcPr>
            <w:tcW w:w="2532"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7003"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EE3697">
        <w:trPr>
          <w:trHeight w:val="300"/>
        </w:trPr>
        <w:tc>
          <w:tcPr>
            <w:tcW w:w="2532" w:type="dxa"/>
          </w:tcPr>
          <w:p w14:paraId="40B07571" w14:textId="35583F33" w:rsidR="007029A5" w:rsidRPr="006C74A2" w:rsidRDefault="007029A5" w:rsidP="007029A5">
            <w:pPr>
              <w:rPr>
                <w:b/>
                <w:bCs/>
                <w:kern w:val="2"/>
                <w:szCs w:val="24"/>
              </w:rPr>
            </w:pPr>
            <w:r w:rsidRPr="006C74A2">
              <w:rPr>
                <w:b/>
                <w:bCs/>
                <w:kern w:val="2"/>
                <w:szCs w:val="24"/>
              </w:rPr>
              <w:t>13.1.</w:t>
            </w:r>
          </w:p>
        </w:tc>
        <w:tc>
          <w:tcPr>
            <w:tcW w:w="7003"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1"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t>14. SUTARTIES PRIEDAI</w:t>
            </w:r>
          </w:p>
        </w:tc>
      </w:tr>
      <w:tr w:rsidR="007029A5" w:rsidRPr="006C74A2" w14:paraId="17C7A2C3" w14:textId="77777777" w:rsidTr="00EE3697">
        <w:trPr>
          <w:trHeight w:val="300"/>
        </w:trPr>
        <w:tc>
          <w:tcPr>
            <w:tcW w:w="2532"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7003"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71246038" w14:textId="5BF12224" w:rsidR="007029A5" w:rsidRPr="006C74A2" w:rsidRDefault="007029A5" w:rsidP="007029A5">
            <w:pPr>
              <w:jc w:val="center"/>
              <w:rPr>
                <w:b/>
                <w:bCs/>
                <w:kern w:val="2"/>
                <w:szCs w:val="24"/>
              </w:rPr>
            </w:pPr>
            <w:r w:rsidRPr="006C74A2">
              <w:rPr>
                <w:color w:val="4472C4" w:themeColor="accent1"/>
                <w:szCs w:val="24"/>
              </w:rPr>
              <w:t>[įrašyti]</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lastRenderedPageBreak/>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lastRenderedPageBreak/>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3"/>
          <w:headerReference w:type="default" r:id="rId14"/>
          <w:footerReference w:type="even" r:id="rId15"/>
          <w:footerReference w:type="default" r:id="rId16"/>
          <w:headerReference w:type="first" r:id="rId17"/>
          <w:footerReference w:type="first" r:id="rId18"/>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shd w:val="clear" w:color="auto" w:fill="auto"/>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shd w:val="clear" w:color="auto" w:fill="auto"/>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shd w:val="clear" w:color="auto" w:fill="auto"/>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0CD694E0" w:rsidR="00C516DE" w:rsidRPr="000030E2" w:rsidRDefault="000030E2" w:rsidP="00E265FD">
      <w:pPr>
        <w:widowControl w:val="0"/>
        <w:pBdr>
          <w:top w:val="nil"/>
          <w:left w:val="nil"/>
          <w:bottom w:val="nil"/>
          <w:right w:val="nil"/>
          <w:between w:val="nil"/>
        </w:pBdr>
        <w:tabs>
          <w:tab w:val="left" w:pos="567"/>
          <w:tab w:val="left" w:pos="851"/>
        </w:tabs>
        <w:rPr>
          <w:b/>
          <w:bCs/>
          <w:caps/>
          <w:color w:val="C00000"/>
          <w:kern w:val="2"/>
          <w:szCs w:val="24"/>
        </w:rPr>
        <w:sectPr w:rsidR="00C516DE" w:rsidRPr="000030E2" w:rsidSect="005404AB">
          <w:pgSz w:w="15840" w:h="12240" w:orient="landscape" w:code="1"/>
          <w:pgMar w:top="426" w:right="1440" w:bottom="1440" w:left="1276" w:header="709" w:footer="720" w:gutter="0"/>
          <w:pgNumType w:start="1"/>
          <w:cols w:space="720"/>
          <w:titlePg/>
          <w:docGrid w:linePitch="360"/>
        </w:sectPr>
      </w:pPr>
      <w:r>
        <w:rPr>
          <w:b/>
          <w:bCs/>
          <w:caps/>
          <w:color w:val="C00000"/>
          <w:kern w:val="2"/>
          <w:szCs w:val="24"/>
        </w:rPr>
        <w:t>PRIDEDAMA PAGAL LAIMĖTAS PIRKIMO DALIS</w:t>
      </w: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4A2">
        <w:rPr>
          <w:rFonts w:eastAsia="Cambria"/>
          <w:color w:val="000000"/>
          <w:szCs w:val="24"/>
          <w:shd w:val="clear" w:color="auto" w:fill="FFFFFF"/>
        </w:rPr>
        <w:t>subtiekimo</w:t>
      </w:r>
      <w:proofErr w:type="spellEnd"/>
      <w:r w:rsidRPr="006C74A2">
        <w:rPr>
          <w:rFonts w:eastAsia="Cambria"/>
          <w:color w:val="000000"/>
          <w:szCs w:val="24"/>
          <w:shd w:val="clear" w:color="auto" w:fill="FFFFFF"/>
        </w:rPr>
        <w:t xml:space="preserve">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74A2">
        <w:rPr>
          <w:szCs w:val="24"/>
        </w:rPr>
        <w:t>sui</w:t>
      </w:r>
      <w:proofErr w:type="spellEnd"/>
      <w:r w:rsidRPr="006C74A2">
        <w:rPr>
          <w:szCs w:val="24"/>
        </w:rPr>
        <w:t xml:space="preserve"> </w:t>
      </w:r>
      <w:proofErr w:type="spellStart"/>
      <w:r w:rsidRPr="006C74A2">
        <w:rPr>
          <w:szCs w:val="24"/>
        </w:rPr>
        <w:t>generis</w:t>
      </w:r>
      <w:proofErr w:type="spellEnd"/>
      <w:r w:rsidRPr="006C74A2">
        <w:rPr>
          <w:szCs w:val="24"/>
        </w:rPr>
        <w:t xml:space="preserve">)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74D08"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F74D08"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D71F" w14:textId="77777777" w:rsidR="002C60AC" w:rsidRDefault="002C60AC">
      <w:r>
        <w:separator/>
      </w:r>
    </w:p>
  </w:endnote>
  <w:endnote w:type="continuationSeparator" w:id="0">
    <w:p w14:paraId="5E2FE74E" w14:textId="77777777" w:rsidR="002C60AC" w:rsidRDefault="002C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B94AC5" w:rsidRDefault="00B94AC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B94AC5" w:rsidRDefault="00B94AC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B94AC5" w:rsidRDefault="00B94AC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12BA" w14:textId="77777777" w:rsidR="002C60AC" w:rsidRDefault="002C60AC">
      <w:r>
        <w:separator/>
      </w:r>
    </w:p>
  </w:footnote>
  <w:footnote w:type="continuationSeparator" w:id="0">
    <w:p w14:paraId="3C7D8ED5" w14:textId="77777777" w:rsidR="002C60AC" w:rsidRDefault="002C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B94AC5" w:rsidRDefault="00B94AC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B94AC5" w:rsidRDefault="00B94AC5">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B94AC5" w:rsidRDefault="00B94AC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E7384B"/>
    <w:multiLevelType w:val="hybridMultilevel"/>
    <w:tmpl w:val="27AC4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78850">
    <w:abstractNumId w:val="0"/>
  </w:num>
  <w:num w:numId="2" w16cid:durableId="209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0E2"/>
    <w:rsid w:val="00025FDB"/>
    <w:rsid w:val="00034327"/>
    <w:rsid w:val="000419C9"/>
    <w:rsid w:val="00054121"/>
    <w:rsid w:val="000B2476"/>
    <w:rsid w:val="000D52AC"/>
    <w:rsid w:val="000E2B04"/>
    <w:rsid w:val="000E6307"/>
    <w:rsid w:val="000F4667"/>
    <w:rsid w:val="001074F0"/>
    <w:rsid w:val="00123752"/>
    <w:rsid w:val="00132B43"/>
    <w:rsid w:val="00142629"/>
    <w:rsid w:val="001608C2"/>
    <w:rsid w:val="001659B6"/>
    <w:rsid w:val="00171060"/>
    <w:rsid w:val="001740E3"/>
    <w:rsid w:val="001978F7"/>
    <w:rsid w:val="001A0C2E"/>
    <w:rsid w:val="001F2A74"/>
    <w:rsid w:val="001F3581"/>
    <w:rsid w:val="002007F0"/>
    <w:rsid w:val="00226CC7"/>
    <w:rsid w:val="00233811"/>
    <w:rsid w:val="00242706"/>
    <w:rsid w:val="00271053"/>
    <w:rsid w:val="0028060B"/>
    <w:rsid w:val="0028363D"/>
    <w:rsid w:val="002859F6"/>
    <w:rsid w:val="002A6EFC"/>
    <w:rsid w:val="002B362D"/>
    <w:rsid w:val="002C60AC"/>
    <w:rsid w:val="002D586C"/>
    <w:rsid w:val="002E3A58"/>
    <w:rsid w:val="002F4486"/>
    <w:rsid w:val="00324AAC"/>
    <w:rsid w:val="00327C7C"/>
    <w:rsid w:val="003334BF"/>
    <w:rsid w:val="003418F0"/>
    <w:rsid w:val="003969E1"/>
    <w:rsid w:val="003C177C"/>
    <w:rsid w:val="003D0A58"/>
    <w:rsid w:val="003D5AD7"/>
    <w:rsid w:val="004012E3"/>
    <w:rsid w:val="00401327"/>
    <w:rsid w:val="00407CF0"/>
    <w:rsid w:val="004346C8"/>
    <w:rsid w:val="004547A3"/>
    <w:rsid w:val="00466E54"/>
    <w:rsid w:val="004A050D"/>
    <w:rsid w:val="004B1A85"/>
    <w:rsid w:val="004D1507"/>
    <w:rsid w:val="00505D38"/>
    <w:rsid w:val="00522510"/>
    <w:rsid w:val="005404AB"/>
    <w:rsid w:val="00551FA8"/>
    <w:rsid w:val="00577527"/>
    <w:rsid w:val="005B4EF0"/>
    <w:rsid w:val="005B6381"/>
    <w:rsid w:val="005C09F5"/>
    <w:rsid w:val="005F65D3"/>
    <w:rsid w:val="005F6B4C"/>
    <w:rsid w:val="00646D84"/>
    <w:rsid w:val="006809FF"/>
    <w:rsid w:val="00696593"/>
    <w:rsid w:val="006B5110"/>
    <w:rsid w:val="006B57CD"/>
    <w:rsid w:val="006C74A2"/>
    <w:rsid w:val="006D57AB"/>
    <w:rsid w:val="006E2E8E"/>
    <w:rsid w:val="006F3797"/>
    <w:rsid w:val="006F5BA7"/>
    <w:rsid w:val="006F69A2"/>
    <w:rsid w:val="007029A5"/>
    <w:rsid w:val="00754870"/>
    <w:rsid w:val="007C7D80"/>
    <w:rsid w:val="007D2C2F"/>
    <w:rsid w:val="007E3B0C"/>
    <w:rsid w:val="007F6831"/>
    <w:rsid w:val="007F6B7A"/>
    <w:rsid w:val="00802B8D"/>
    <w:rsid w:val="00805C9A"/>
    <w:rsid w:val="008231D8"/>
    <w:rsid w:val="0083391E"/>
    <w:rsid w:val="00844F42"/>
    <w:rsid w:val="008615B9"/>
    <w:rsid w:val="00881857"/>
    <w:rsid w:val="008873A0"/>
    <w:rsid w:val="00887B56"/>
    <w:rsid w:val="00892B93"/>
    <w:rsid w:val="00896D87"/>
    <w:rsid w:val="008A17CD"/>
    <w:rsid w:val="0090598A"/>
    <w:rsid w:val="0091563D"/>
    <w:rsid w:val="00937A25"/>
    <w:rsid w:val="00960ED5"/>
    <w:rsid w:val="009632BE"/>
    <w:rsid w:val="0099654E"/>
    <w:rsid w:val="009A6376"/>
    <w:rsid w:val="009A7251"/>
    <w:rsid w:val="009E4362"/>
    <w:rsid w:val="009E589E"/>
    <w:rsid w:val="009E65BD"/>
    <w:rsid w:val="00A02660"/>
    <w:rsid w:val="00A2147F"/>
    <w:rsid w:val="00A30F41"/>
    <w:rsid w:val="00A61408"/>
    <w:rsid w:val="00A61B54"/>
    <w:rsid w:val="00AF2D88"/>
    <w:rsid w:val="00B16690"/>
    <w:rsid w:val="00B273D3"/>
    <w:rsid w:val="00B3682E"/>
    <w:rsid w:val="00B4129B"/>
    <w:rsid w:val="00B4703C"/>
    <w:rsid w:val="00B71A61"/>
    <w:rsid w:val="00B90CB5"/>
    <w:rsid w:val="00B94AC5"/>
    <w:rsid w:val="00B979D7"/>
    <w:rsid w:val="00BA0145"/>
    <w:rsid w:val="00BA236F"/>
    <w:rsid w:val="00BE497C"/>
    <w:rsid w:val="00C12DC0"/>
    <w:rsid w:val="00C17984"/>
    <w:rsid w:val="00C36C7A"/>
    <w:rsid w:val="00C516DE"/>
    <w:rsid w:val="00C7081A"/>
    <w:rsid w:val="00C735AD"/>
    <w:rsid w:val="00C91E72"/>
    <w:rsid w:val="00CA3901"/>
    <w:rsid w:val="00CD4094"/>
    <w:rsid w:val="00CE28DA"/>
    <w:rsid w:val="00D16F44"/>
    <w:rsid w:val="00D20EE8"/>
    <w:rsid w:val="00D25315"/>
    <w:rsid w:val="00D81341"/>
    <w:rsid w:val="00D9186E"/>
    <w:rsid w:val="00D94B94"/>
    <w:rsid w:val="00D96FD2"/>
    <w:rsid w:val="00DE1404"/>
    <w:rsid w:val="00E02AE0"/>
    <w:rsid w:val="00E068EA"/>
    <w:rsid w:val="00E24878"/>
    <w:rsid w:val="00E265FD"/>
    <w:rsid w:val="00E442E3"/>
    <w:rsid w:val="00EA3F9D"/>
    <w:rsid w:val="00ED413C"/>
    <w:rsid w:val="00EE3697"/>
    <w:rsid w:val="00EF2BB2"/>
    <w:rsid w:val="00F038A5"/>
    <w:rsid w:val="00F130C8"/>
    <w:rsid w:val="00F528BE"/>
    <w:rsid w:val="00F74272"/>
    <w:rsid w:val="00F74D08"/>
    <w:rsid w:val="00F75254"/>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5404AB"/>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5404AB"/>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bignevas.marti&#353;evskis@santa.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54121"/>
    <w:rsid w:val="0006786A"/>
    <w:rsid w:val="00133535"/>
    <w:rsid w:val="00151BE0"/>
    <w:rsid w:val="001770A8"/>
    <w:rsid w:val="001A46B6"/>
    <w:rsid w:val="0023032B"/>
    <w:rsid w:val="00324AAC"/>
    <w:rsid w:val="004A0F25"/>
    <w:rsid w:val="004F191C"/>
    <w:rsid w:val="00692F4C"/>
    <w:rsid w:val="00825A10"/>
    <w:rsid w:val="0089742A"/>
    <w:rsid w:val="008B3528"/>
    <w:rsid w:val="00906F92"/>
    <w:rsid w:val="00956454"/>
    <w:rsid w:val="00980C67"/>
    <w:rsid w:val="009A6376"/>
    <w:rsid w:val="009E4362"/>
    <w:rsid w:val="00A02660"/>
    <w:rsid w:val="00B3682E"/>
    <w:rsid w:val="00B6360D"/>
    <w:rsid w:val="00BC0F15"/>
    <w:rsid w:val="00C1794C"/>
    <w:rsid w:val="00C205B3"/>
    <w:rsid w:val="00CE28DA"/>
    <w:rsid w:val="00CE2A41"/>
    <w:rsid w:val="00CF0B0C"/>
    <w:rsid w:val="00D57B1F"/>
    <w:rsid w:val="00E3744F"/>
    <w:rsid w:val="00E768A4"/>
    <w:rsid w:val="00EE4D01"/>
    <w:rsid w:val="00FC6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70C16D13-5AA4-40DC-8AAE-46DABEC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64624</Words>
  <Characters>36837</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Aleknė</cp:lastModifiedBy>
  <cp:revision>4</cp:revision>
  <dcterms:created xsi:type="dcterms:W3CDTF">2024-12-15T16:36:00Z</dcterms:created>
  <dcterms:modified xsi:type="dcterms:W3CDTF">2024-12-15T17:06:00Z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