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67BE" w14:textId="3D6398B3" w:rsidR="00253F76" w:rsidRPr="00F659FD" w:rsidRDefault="00B87ADA" w:rsidP="00253F76">
      <w:pPr>
        <w:pStyle w:val="Heading2"/>
        <w:spacing w:before="0"/>
        <w:ind w:left="5103"/>
        <w:rPr>
          <w:rFonts w:ascii="Arial" w:eastAsia="Calibri" w:hAnsi="Arial" w:cs="Arial"/>
          <w:color w:val="00435B"/>
          <w:sz w:val="21"/>
          <w:szCs w:val="21"/>
        </w:rPr>
      </w:pPr>
      <w:bookmarkStart w:id="0" w:name="_Ref39484039"/>
      <w:bookmarkStart w:id="1" w:name="_Ref40278562"/>
      <w:bookmarkStart w:id="2" w:name="_Toc133269707"/>
      <w:r>
        <w:rPr>
          <w:rFonts w:ascii="Arial" w:eastAsia="Calibri" w:hAnsi="Arial" w:cs="Arial"/>
          <w:color w:val="00435B"/>
          <w:sz w:val="21"/>
          <w:szCs w:val="21"/>
        </w:rPr>
        <w:t>P</w:t>
      </w:r>
      <w:r w:rsidR="008175E8" w:rsidRPr="00F659FD">
        <w:rPr>
          <w:rFonts w:ascii="Arial" w:eastAsia="Calibri" w:hAnsi="Arial" w:cs="Arial"/>
          <w:color w:val="00435B"/>
          <w:sz w:val="21"/>
          <w:szCs w:val="21"/>
        </w:rPr>
        <w:t>irkimo sąlygų 7</w:t>
      </w:r>
      <w:r w:rsidR="008330DD" w:rsidRPr="00F659FD">
        <w:rPr>
          <w:rFonts w:ascii="Arial" w:eastAsia="Calibri" w:hAnsi="Arial" w:cs="Arial"/>
          <w:color w:val="00435B"/>
          <w:sz w:val="21"/>
          <w:szCs w:val="21"/>
        </w:rPr>
        <w:t xml:space="preserve"> </w:t>
      </w:r>
      <w:r w:rsidR="00543E1E" w:rsidRPr="00F659FD">
        <w:rPr>
          <w:rFonts w:ascii="Arial" w:eastAsia="Calibri" w:hAnsi="Arial" w:cs="Arial"/>
          <w:color w:val="00435B"/>
          <w:sz w:val="21"/>
          <w:szCs w:val="21"/>
        </w:rPr>
        <w:t xml:space="preserve"> priedas </w:t>
      </w:r>
    </w:p>
    <w:p w14:paraId="43073D9F" w14:textId="2040BBB9" w:rsidR="00543E1E" w:rsidRDefault="00543E1E" w:rsidP="00253F76">
      <w:pPr>
        <w:pStyle w:val="Heading2"/>
        <w:spacing w:before="0"/>
        <w:ind w:left="5103"/>
        <w:rPr>
          <w:rFonts w:ascii="Arial" w:eastAsia="Calibri" w:hAnsi="Arial" w:cs="Arial"/>
          <w:color w:val="00435B"/>
          <w:sz w:val="21"/>
          <w:szCs w:val="21"/>
        </w:rPr>
      </w:pPr>
      <w:r w:rsidRPr="00F659FD">
        <w:rPr>
          <w:rFonts w:ascii="Arial" w:eastAsia="Calibri" w:hAnsi="Arial" w:cs="Arial"/>
          <w:color w:val="00435B"/>
          <w:sz w:val="21"/>
          <w:szCs w:val="21"/>
        </w:rPr>
        <w:t>„Pasiūlymų vertinimo kriterijai ir sąlygos“</w:t>
      </w:r>
      <w:bookmarkEnd w:id="0"/>
      <w:bookmarkEnd w:id="1"/>
      <w:bookmarkEnd w:id="2"/>
    </w:p>
    <w:p w14:paraId="07D3C885" w14:textId="77777777" w:rsidR="00543E1E" w:rsidRPr="00F659FD" w:rsidRDefault="00543E1E" w:rsidP="00543E1E">
      <w:pPr>
        <w:jc w:val="center"/>
        <w:rPr>
          <w:rFonts w:ascii="Arial" w:hAnsi="Arial" w:cs="Arial"/>
          <w:b/>
          <w:color w:val="00435B"/>
          <w:szCs w:val="24"/>
        </w:rPr>
      </w:pPr>
    </w:p>
    <w:p w14:paraId="62C03BEE" w14:textId="77777777" w:rsidR="00543E1E" w:rsidRPr="00F659FD" w:rsidRDefault="00543E1E" w:rsidP="00543E1E">
      <w:pPr>
        <w:spacing w:line="240" w:lineRule="auto"/>
        <w:jc w:val="center"/>
        <w:rPr>
          <w:rFonts w:ascii="Arial" w:hAnsi="Arial" w:cs="Arial"/>
          <w:bCs/>
          <w:color w:val="00435B"/>
          <w:sz w:val="28"/>
          <w:szCs w:val="28"/>
        </w:rPr>
      </w:pPr>
      <w:r w:rsidRPr="00F659FD">
        <w:rPr>
          <w:rFonts w:ascii="Arial" w:hAnsi="Arial" w:cs="Arial"/>
          <w:bCs/>
          <w:color w:val="00435B"/>
          <w:sz w:val="28"/>
          <w:szCs w:val="28"/>
        </w:rPr>
        <w:t xml:space="preserve">PASIŪLYMO VERTINIMO KRITERIJAI IR SĄLYGOS </w:t>
      </w:r>
    </w:p>
    <w:p w14:paraId="40B47023" w14:textId="77777777" w:rsidR="001E1F4D" w:rsidRPr="001E1F4D" w:rsidRDefault="001E1F4D" w:rsidP="001E1F4D">
      <w:pPr>
        <w:tabs>
          <w:tab w:val="left" w:pos="284"/>
        </w:tabs>
        <w:spacing w:line="240" w:lineRule="auto"/>
        <w:jc w:val="center"/>
        <w:rPr>
          <w:rFonts w:ascii="Arial" w:eastAsia="Calibri" w:hAnsi="Arial" w:cs="Arial"/>
          <w:b/>
          <w:bCs/>
          <w:color w:val="00435B"/>
          <w:sz w:val="20"/>
          <w:szCs w:val="20"/>
        </w:rPr>
      </w:pPr>
    </w:p>
    <w:p w14:paraId="653EB392" w14:textId="77777777" w:rsidR="001E1F4D" w:rsidRPr="001E1F4D"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bookmarkStart w:id="3" w:name="_Hlk143601781"/>
      <w:r w:rsidRPr="001E1F4D">
        <w:rPr>
          <w:rFonts w:ascii="Arial" w:eastAsia="Times New Roman" w:hAnsi="Arial" w:cs="Arial"/>
          <w:color w:val="00435B"/>
          <w:sz w:val="20"/>
          <w:szCs w:val="20"/>
          <w:lang w:eastAsia="lt-LT"/>
        </w:rPr>
        <w:t xml:space="preserve">Perkančioji organizacija ekonomiškai naudingiausią pasiūlymą išrenka pagal kainą ir su pirkimo objektu susijusius kriterijus, vadovaudamasi šiame priede nustatyta vertinimo tvarka. </w:t>
      </w:r>
    </w:p>
    <w:p w14:paraId="317BE578" w14:textId="339B20A0" w:rsidR="001E1F4D" w:rsidRPr="00817DC9"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z w:val="20"/>
          <w:szCs w:val="20"/>
          <w:lang w:eastAsia="lt-LT"/>
        </w:rPr>
        <w:t xml:space="preserve">Neatmesti pasiūlymai bus vertinami pagal </w:t>
      </w:r>
      <w:r w:rsidRPr="001E1F4D">
        <w:rPr>
          <w:rFonts w:ascii="Arial" w:eastAsia="Times New Roman" w:hAnsi="Arial" w:cs="Arial"/>
          <w:b/>
          <w:color w:val="00435B"/>
          <w:sz w:val="20"/>
          <w:szCs w:val="20"/>
          <w:lang w:eastAsia="lt-LT"/>
        </w:rPr>
        <w:t xml:space="preserve">kainos ir kokybės kriterijus. </w:t>
      </w:r>
      <w:r w:rsidRPr="001E1F4D">
        <w:rPr>
          <w:rFonts w:ascii="Arial" w:eastAsia="Times New Roman" w:hAnsi="Arial" w:cs="Arial"/>
          <w:color w:val="00435B"/>
          <w:sz w:val="20"/>
          <w:szCs w:val="20"/>
          <w:lang w:eastAsia="lt-LT"/>
        </w:rPr>
        <w:t xml:space="preserve">Ekonomiškai </w:t>
      </w:r>
      <w:r w:rsidRPr="00817DC9">
        <w:rPr>
          <w:rFonts w:ascii="Arial" w:eastAsia="Times New Roman" w:hAnsi="Arial" w:cs="Arial"/>
          <w:color w:val="00435B"/>
          <w:sz w:val="20"/>
          <w:szCs w:val="20"/>
          <w:lang w:eastAsia="lt-LT"/>
        </w:rPr>
        <w:t>naudingiausiu pasiūlymu laikomas pasiūlymas, kurio ekonominis naudingumas yra didžiausias</w:t>
      </w:r>
      <w:r w:rsidRPr="00817DC9">
        <w:rPr>
          <w:rFonts w:ascii="Arial" w:eastAsia="Times New Roman" w:hAnsi="Arial" w:cs="Arial"/>
          <w:bCs/>
          <w:color w:val="00435B"/>
          <w:sz w:val="20"/>
          <w:szCs w:val="20"/>
          <w:lang w:eastAsia="lt-LT"/>
        </w:rPr>
        <w:t>.</w:t>
      </w:r>
      <w:r w:rsidR="00DF57DA" w:rsidRPr="00817DC9">
        <w:rPr>
          <w:rFonts w:ascii="Arial" w:eastAsia="Times New Roman" w:hAnsi="Arial" w:cs="Arial"/>
          <w:bCs/>
          <w:color w:val="00435B"/>
          <w:sz w:val="20"/>
          <w:szCs w:val="20"/>
          <w:lang w:eastAsia="lt-LT"/>
        </w:rPr>
        <w:t xml:space="preserve"> </w:t>
      </w:r>
      <w:r w:rsidR="00DF57DA" w:rsidRPr="00817DC9">
        <w:rPr>
          <w:rFonts w:ascii="Arial" w:hAnsi="Arial" w:cs="Arial"/>
          <w:bCs/>
          <w:color w:val="00435B"/>
          <w:sz w:val="20"/>
          <w:szCs w:val="20"/>
        </w:rPr>
        <w:t xml:space="preserve">Esant situacijai, kai jau apskaičiuoti galutiniai tiekėjų pasiūlymams skiriami balai ir iš sudarytos pasiūlymų eilės yra pašalinamas </w:t>
      </w:r>
      <w:r w:rsidR="00817DC9" w:rsidRPr="00817DC9">
        <w:rPr>
          <w:rFonts w:ascii="Arial" w:hAnsi="Arial" w:cs="Arial"/>
          <w:bCs/>
          <w:color w:val="00435B"/>
          <w:sz w:val="20"/>
          <w:szCs w:val="20"/>
        </w:rPr>
        <w:t xml:space="preserve">kuris nors tiekėjas </w:t>
      </w:r>
      <w:r w:rsidR="00DF57DA" w:rsidRPr="00817DC9">
        <w:rPr>
          <w:rFonts w:ascii="Arial" w:hAnsi="Arial" w:cs="Arial"/>
          <w:bCs/>
          <w:color w:val="00435B"/>
          <w:sz w:val="20"/>
          <w:szCs w:val="20"/>
        </w:rPr>
        <w:t>(atmetamas pasiūlymas</w:t>
      </w:r>
      <w:r w:rsidR="00817DC9" w:rsidRPr="00817DC9">
        <w:rPr>
          <w:rFonts w:ascii="Arial" w:hAnsi="Arial" w:cs="Arial"/>
          <w:bCs/>
          <w:color w:val="00435B"/>
          <w:sz w:val="20"/>
          <w:szCs w:val="20"/>
        </w:rPr>
        <w:t>, tiekėjas atsiima pasiūlymą, tiekėjas nepratęsia pasiūlymo galiojimo termino ar kt.</w:t>
      </w:r>
      <w:r w:rsidR="00DF57DA" w:rsidRPr="00817DC9">
        <w:rPr>
          <w:rFonts w:ascii="Arial" w:hAnsi="Arial" w:cs="Arial"/>
          <w:bCs/>
          <w:color w:val="00435B"/>
          <w:sz w:val="20"/>
          <w:szCs w:val="20"/>
        </w:rPr>
        <w:t xml:space="preserve">), galutiniai tiekėjams skirti balai nėra perskaičiuojami. </w:t>
      </w:r>
    </w:p>
    <w:p w14:paraId="791F08FA" w14:textId="651E2AA7" w:rsidR="001E1F4D" w:rsidRPr="001E1F4D"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pacing w:val="-2"/>
          <w:sz w:val="20"/>
          <w:szCs w:val="20"/>
          <w:lang w:eastAsia="lt-LT"/>
        </w:rPr>
        <w:t xml:space="preserve">Pasiūlyme nurodytos kainos bus vertinamos eurais. </w:t>
      </w:r>
      <w:r w:rsidRPr="001E1F4D">
        <w:rPr>
          <w:rFonts w:ascii="Arial" w:eastAsia="Times New Roman" w:hAnsi="Arial" w:cs="Arial"/>
          <w:color w:val="00435B"/>
          <w:sz w:val="20"/>
          <w:szCs w:val="20"/>
          <w:lang w:eastAsia="lt-LT"/>
        </w:rPr>
        <w:t>Jeigu pasiūlyme kaina nurodyta užsienio valiuta, ji bus perskaičiuojamas vadovaujantis Viešųjų pirkimų įstatymo 35 straipsnio 2 dalies 25 punkto nuostatomis.</w:t>
      </w:r>
    </w:p>
    <w:p w14:paraId="36A85D9A" w14:textId="5E10B7CB" w:rsidR="001E1F4D" w:rsidRPr="001E1F4D" w:rsidRDefault="001E1F4D"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bCs/>
          <w:iCs/>
          <w:color w:val="00435B"/>
          <w:sz w:val="20"/>
          <w:szCs w:val="20"/>
          <w:lang w:eastAsia="lt-LT"/>
        </w:rPr>
        <w:t>Pasiūlyme</w:t>
      </w:r>
      <w:r>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nurodyta pasiūlymo kaina Eur su PVM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Eur su PVM aritmetinį vidurkį. Jeigu tiekėjas nėra PVM mokėtojas vertinama tiekėjo pasiūlymo kaina Eur.</w:t>
      </w:r>
    </w:p>
    <w:bookmarkEnd w:id="3"/>
    <w:p w14:paraId="741B9D4E" w14:textId="5B068929" w:rsidR="001E1F4D" w:rsidRPr="001E1F4D" w:rsidRDefault="00136660" w:rsidP="001E1F4D">
      <w:pPr>
        <w:numPr>
          <w:ilvl w:val="0"/>
          <w:numId w:val="17"/>
        </w:numPr>
        <w:tabs>
          <w:tab w:val="left" w:pos="0"/>
          <w:tab w:val="left" w:pos="284"/>
        </w:tabs>
        <w:spacing w:line="240" w:lineRule="auto"/>
        <w:ind w:left="0" w:firstLine="720"/>
        <w:contextualSpacing/>
        <w:jc w:val="both"/>
        <w:rPr>
          <w:rFonts w:ascii="Arial" w:eastAsia="Times New Roman" w:hAnsi="Arial" w:cs="Arial"/>
          <w:color w:val="00435B"/>
          <w:spacing w:val="-2"/>
          <w:sz w:val="20"/>
          <w:szCs w:val="20"/>
          <w:lang w:eastAsia="lt-LT"/>
        </w:rPr>
      </w:pPr>
      <w:r>
        <w:rPr>
          <w:rFonts w:ascii="Arial" w:eastAsia="Times New Roman" w:hAnsi="Arial" w:cs="Arial"/>
          <w:bCs/>
          <w:color w:val="00435B"/>
          <w:sz w:val="20"/>
          <w:szCs w:val="20"/>
          <w:lang w:eastAsia="lt-LT"/>
        </w:rPr>
        <w:t xml:space="preserve">Maksimali </w:t>
      </w:r>
      <w:r w:rsidR="003C7E88">
        <w:rPr>
          <w:rFonts w:ascii="Arial" w:eastAsia="Times New Roman" w:hAnsi="Arial" w:cs="Arial"/>
          <w:bCs/>
          <w:color w:val="00435B"/>
          <w:sz w:val="20"/>
          <w:szCs w:val="20"/>
          <w:lang w:eastAsia="lt-LT"/>
        </w:rPr>
        <w:t xml:space="preserve">pirkimui </w:t>
      </w:r>
      <w:r w:rsidR="003845CD">
        <w:rPr>
          <w:rFonts w:ascii="Arial" w:eastAsia="Times New Roman" w:hAnsi="Arial" w:cs="Arial"/>
          <w:bCs/>
          <w:color w:val="00435B"/>
          <w:sz w:val="20"/>
          <w:szCs w:val="20"/>
          <w:lang w:eastAsia="lt-LT"/>
        </w:rPr>
        <w:t xml:space="preserve">skiriama lėšų suma su visomis įskaičiuotomis išlaidomis ir mokesčiais yra </w:t>
      </w:r>
      <w:r w:rsidR="00766D4E">
        <w:rPr>
          <w:rFonts w:ascii="Arial" w:eastAsia="Times New Roman" w:hAnsi="Arial" w:cs="Arial"/>
          <w:bCs/>
          <w:color w:val="00435B"/>
          <w:sz w:val="20"/>
          <w:szCs w:val="20"/>
          <w:lang w:eastAsia="lt-LT"/>
        </w:rPr>
        <w:t xml:space="preserve">36.300,00 Eur su PVM. </w:t>
      </w:r>
      <w:r>
        <w:rPr>
          <w:rFonts w:ascii="Arial" w:eastAsia="Times New Roman" w:hAnsi="Arial" w:cs="Arial"/>
          <w:bCs/>
          <w:color w:val="00435B"/>
          <w:sz w:val="20"/>
          <w:szCs w:val="20"/>
          <w:lang w:eastAsia="lt-LT"/>
        </w:rPr>
        <w:t xml:space="preserve"> </w:t>
      </w:r>
      <w:r w:rsidR="001E1F4D" w:rsidRPr="001E1F4D">
        <w:rPr>
          <w:rFonts w:ascii="Arial" w:eastAsia="Times New Roman" w:hAnsi="Arial" w:cs="Arial"/>
          <w:bCs/>
          <w:color w:val="00435B"/>
          <w:sz w:val="20"/>
          <w:szCs w:val="20"/>
          <w:lang w:eastAsia="lt-LT"/>
        </w:rPr>
        <w:t>Laimėjusio tiekėjo pasiūlymo</w:t>
      </w:r>
      <w:r w:rsidR="001E1F4D">
        <w:rPr>
          <w:rFonts w:ascii="Arial" w:eastAsia="Times New Roman" w:hAnsi="Arial" w:cs="Arial"/>
          <w:bCs/>
          <w:color w:val="00435B"/>
          <w:sz w:val="20"/>
          <w:szCs w:val="20"/>
          <w:lang w:eastAsia="lt-LT"/>
        </w:rPr>
        <w:t xml:space="preserve"> </w:t>
      </w:r>
      <w:r w:rsidR="001E1F4D" w:rsidRPr="001E1F4D">
        <w:rPr>
          <w:rFonts w:ascii="Arial" w:eastAsia="Times New Roman" w:hAnsi="Arial" w:cs="Arial"/>
          <w:bCs/>
          <w:color w:val="00435B"/>
          <w:sz w:val="20"/>
          <w:szCs w:val="20"/>
          <w:lang w:eastAsia="lt-LT"/>
        </w:rPr>
        <w:t xml:space="preserve">kaina </w:t>
      </w:r>
      <w:r w:rsidR="00932805">
        <w:rPr>
          <w:rFonts w:ascii="Arial" w:eastAsia="Times New Roman" w:hAnsi="Arial" w:cs="Arial"/>
          <w:bCs/>
          <w:color w:val="00435B"/>
          <w:sz w:val="20"/>
          <w:szCs w:val="20"/>
          <w:lang w:eastAsia="lt-LT"/>
        </w:rPr>
        <w:t xml:space="preserve">Eur be PVM </w:t>
      </w:r>
      <w:r w:rsidR="001E1F4D" w:rsidRPr="001E1F4D">
        <w:rPr>
          <w:rFonts w:ascii="Arial" w:eastAsia="Times New Roman" w:hAnsi="Arial" w:cs="Arial"/>
          <w:bCs/>
          <w:color w:val="00435B"/>
          <w:sz w:val="20"/>
          <w:szCs w:val="20"/>
          <w:lang w:eastAsia="lt-LT"/>
        </w:rPr>
        <w:t>sudarys pradinę sutarties vertę.</w:t>
      </w:r>
    </w:p>
    <w:p w14:paraId="626EBAA9" w14:textId="3FE93C76" w:rsidR="001E1F4D" w:rsidRPr="001E1F4D" w:rsidRDefault="001E1F4D" w:rsidP="001E1F4D">
      <w:pPr>
        <w:tabs>
          <w:tab w:val="left" w:pos="284"/>
        </w:tabs>
        <w:spacing w:line="240" w:lineRule="auto"/>
        <w:ind w:firstLine="720"/>
        <w:rPr>
          <w:rFonts w:ascii="Arial" w:eastAsia="Calibri" w:hAnsi="Arial" w:cs="Arial"/>
          <w:color w:val="00435B"/>
          <w:sz w:val="20"/>
          <w:szCs w:val="20"/>
        </w:rPr>
      </w:pPr>
      <w:r w:rsidRPr="001E1F4D">
        <w:rPr>
          <w:rFonts w:ascii="Arial" w:eastAsia="Calibri" w:hAnsi="Arial" w:cs="Arial"/>
          <w:color w:val="00435B"/>
          <w:sz w:val="20"/>
          <w:szCs w:val="20"/>
        </w:rPr>
        <w:t>6. Pasiūlymų vertinimo kriterijai:</w:t>
      </w:r>
    </w:p>
    <w:tbl>
      <w:tblPr>
        <w:tblW w:w="5000" w:type="pct"/>
        <w:tblCellMar>
          <w:left w:w="10" w:type="dxa"/>
          <w:right w:w="10" w:type="dxa"/>
        </w:tblCellMar>
        <w:tblLook w:val="04A0" w:firstRow="1" w:lastRow="0" w:firstColumn="1" w:lastColumn="0" w:noHBand="0" w:noVBand="1"/>
      </w:tblPr>
      <w:tblGrid>
        <w:gridCol w:w="754"/>
        <w:gridCol w:w="3127"/>
        <w:gridCol w:w="2718"/>
        <w:gridCol w:w="1509"/>
        <w:gridCol w:w="1663"/>
      </w:tblGrid>
      <w:tr w:rsidR="001E1F4D" w:rsidRPr="001E1F4D" w14:paraId="3F2D8BF8" w14:textId="77777777" w:rsidTr="001E1F4D">
        <w:trPr>
          <w:cantSplit/>
          <w:tblHeader/>
        </w:trPr>
        <w:tc>
          <w:tcPr>
            <w:tcW w:w="198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BD304" w14:textId="77777777" w:rsidR="001E1F4D" w:rsidRPr="001E1F4D" w:rsidRDefault="001E1F4D" w:rsidP="001E1F4D">
            <w:pPr>
              <w:spacing w:line="240" w:lineRule="auto"/>
              <w:ind w:firstLine="567"/>
              <w:jc w:val="center"/>
              <w:rPr>
                <w:rFonts w:ascii="Arial" w:eastAsia="Calibri" w:hAnsi="Arial" w:cs="Arial"/>
                <w:b/>
                <w:color w:val="00435B"/>
                <w:sz w:val="20"/>
                <w:szCs w:val="20"/>
              </w:rPr>
            </w:pPr>
            <w:r w:rsidRPr="001E1F4D">
              <w:rPr>
                <w:rFonts w:ascii="Arial" w:eastAsia="Calibri" w:hAnsi="Arial" w:cs="Arial"/>
                <w:b/>
                <w:color w:val="00435B"/>
                <w:sz w:val="20"/>
                <w:szCs w:val="20"/>
              </w:rPr>
              <w:t>Vertinimo kriterijai</w:t>
            </w:r>
          </w:p>
        </w:tc>
        <w:tc>
          <w:tcPr>
            <w:tcW w:w="1391" w:type="pct"/>
            <w:tcBorders>
              <w:top w:val="single" w:sz="4" w:space="0" w:color="000000"/>
              <w:left w:val="single" w:sz="4" w:space="0" w:color="000000"/>
              <w:bottom w:val="single" w:sz="4" w:space="0" w:color="000000"/>
              <w:right w:val="single" w:sz="4" w:space="0" w:color="000000"/>
            </w:tcBorders>
            <w:vAlign w:val="center"/>
          </w:tcPr>
          <w:p w14:paraId="73DB1053" w14:textId="77777777" w:rsidR="001E1F4D" w:rsidRPr="001E1F4D" w:rsidRDefault="001E1F4D" w:rsidP="001E1F4D">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parametro vertinimo reikšmė</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E321F" w14:textId="77777777" w:rsidR="001E1F4D" w:rsidRPr="001E1F4D" w:rsidRDefault="001E1F4D" w:rsidP="001E1F4D">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funkcinio parametro lyginamasis svoris</w:t>
            </w:r>
          </w:p>
        </w:tc>
        <w:tc>
          <w:tcPr>
            <w:tcW w:w="85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A58D60" w14:textId="77777777" w:rsidR="001E1F4D" w:rsidRPr="001E1F4D" w:rsidRDefault="001E1F4D" w:rsidP="001E1F4D">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Lyginamasis svoris ekonominio naudingumo įvertinime</w:t>
            </w:r>
          </w:p>
        </w:tc>
      </w:tr>
      <w:tr w:rsidR="001E1F4D" w:rsidRPr="001E1F4D" w14:paraId="34E9F2A3" w14:textId="77777777" w:rsidTr="001E1F4D">
        <w:trPr>
          <w:cantSplit/>
        </w:trPr>
        <w:tc>
          <w:tcPr>
            <w:tcW w:w="198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E99F6" w14:textId="77777777" w:rsidR="001E1F4D" w:rsidRDefault="001E1F4D" w:rsidP="001E1F4D">
            <w:pPr>
              <w:spacing w:line="240" w:lineRule="auto"/>
              <w:jc w:val="both"/>
              <w:rPr>
                <w:rFonts w:ascii="Arial" w:eastAsia="Calibri" w:hAnsi="Arial" w:cs="Arial"/>
                <w:b/>
                <w:color w:val="00435B"/>
                <w:sz w:val="20"/>
                <w:szCs w:val="20"/>
              </w:rPr>
            </w:pPr>
            <w:r>
              <w:rPr>
                <w:rFonts w:ascii="Arial" w:eastAsia="Calibri" w:hAnsi="Arial" w:cs="Arial"/>
                <w:b/>
                <w:color w:val="00435B"/>
                <w:sz w:val="20"/>
                <w:szCs w:val="20"/>
              </w:rPr>
              <w:t>P</w:t>
            </w:r>
            <w:r w:rsidRPr="001E1F4D">
              <w:rPr>
                <w:rFonts w:ascii="Arial" w:eastAsia="Calibri" w:hAnsi="Arial" w:cs="Arial"/>
                <w:b/>
                <w:color w:val="00435B"/>
                <w:sz w:val="20"/>
                <w:szCs w:val="20"/>
              </w:rPr>
              <w:t>asiūlymo kaina, Eur su PVM (C)</w:t>
            </w:r>
          </w:p>
          <w:p w14:paraId="515F78BE" w14:textId="5E1413C5" w:rsidR="00484497" w:rsidRPr="001E1F4D" w:rsidRDefault="00484497" w:rsidP="001E1F4D">
            <w:pPr>
              <w:spacing w:line="240" w:lineRule="auto"/>
              <w:jc w:val="both"/>
              <w:rPr>
                <w:rFonts w:ascii="Arial" w:eastAsia="Calibri" w:hAnsi="Arial" w:cs="Arial"/>
                <w:bCs/>
                <w:color w:val="00435B"/>
                <w:sz w:val="20"/>
                <w:szCs w:val="20"/>
              </w:rPr>
            </w:pPr>
            <w:r>
              <w:rPr>
                <w:rFonts w:ascii="Arial" w:eastAsia="Calibri" w:hAnsi="Arial" w:cs="Arial"/>
                <w:bCs/>
                <w:color w:val="00435B"/>
                <w:sz w:val="20"/>
                <w:szCs w:val="20"/>
              </w:rPr>
              <w:t>Nurodyta tiekėjo pasiūlymo formos</w:t>
            </w:r>
            <w:r w:rsidR="00937839">
              <w:rPr>
                <w:rFonts w:ascii="Arial" w:eastAsia="Calibri" w:hAnsi="Arial" w:cs="Arial"/>
                <w:bCs/>
                <w:color w:val="00435B"/>
                <w:sz w:val="20"/>
                <w:szCs w:val="20"/>
              </w:rPr>
              <w:t xml:space="preserve"> (Pirkimo sąlygų 6 priedas)</w:t>
            </w:r>
            <w:r>
              <w:rPr>
                <w:rFonts w:ascii="Arial" w:eastAsia="Calibri" w:hAnsi="Arial" w:cs="Arial"/>
                <w:bCs/>
                <w:color w:val="00435B"/>
                <w:sz w:val="20"/>
                <w:szCs w:val="20"/>
              </w:rPr>
              <w:t xml:space="preserve"> II dalyje pasiūlymo kaina Eur su PVM</w:t>
            </w:r>
          </w:p>
        </w:tc>
        <w:tc>
          <w:tcPr>
            <w:tcW w:w="1391" w:type="pct"/>
            <w:tcBorders>
              <w:top w:val="single" w:sz="4" w:space="0" w:color="000000"/>
              <w:left w:val="single" w:sz="4" w:space="0" w:color="000000"/>
              <w:bottom w:val="single" w:sz="4" w:space="0" w:color="000000"/>
              <w:right w:val="single" w:sz="4" w:space="0" w:color="000000"/>
            </w:tcBorders>
          </w:tcPr>
          <w:p w14:paraId="56A7EE15" w14:textId="5DD6B766" w:rsidR="001E1F4D" w:rsidRPr="001E1F4D" w:rsidRDefault="001E1F4D" w:rsidP="001E1F4D">
            <w:pPr>
              <w:spacing w:line="240" w:lineRule="auto"/>
              <w:rPr>
                <w:rFonts w:ascii="Arial" w:eastAsia="Calibri" w:hAnsi="Arial" w:cs="Arial"/>
                <w:color w:val="00435B"/>
                <w:sz w:val="20"/>
                <w:szCs w:val="20"/>
              </w:rPr>
            </w:pPr>
            <w:r w:rsidRPr="001E1F4D">
              <w:rPr>
                <w:rFonts w:ascii="Arial" w:eastAsia="Calibri" w:hAnsi="Arial" w:cs="Arial"/>
                <w:color w:val="00435B"/>
                <w:sz w:val="20"/>
                <w:szCs w:val="20"/>
              </w:rPr>
              <w:t>Suteikiami balai už tiekėjo siūlomą pasiūlymo kainą apskaičiuojami pagal žemiau pateiktą formulę</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58C66" w14:textId="08770C51" w:rsidR="001E1F4D" w:rsidRPr="001E1F4D" w:rsidRDefault="001E1F4D" w:rsidP="001E1F4D">
            <w:pPr>
              <w:spacing w:line="240" w:lineRule="auto"/>
              <w:ind w:right="-8" w:firstLine="567"/>
              <w:jc w:val="both"/>
              <w:rPr>
                <w:rFonts w:ascii="Arial" w:eastAsia="Calibri" w:hAnsi="Arial" w:cs="Arial"/>
                <w:color w:val="00435B"/>
                <w:sz w:val="20"/>
                <w:szCs w:val="20"/>
              </w:rPr>
            </w:pP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69C7E6B1" w14:textId="77777777" w:rsidR="001E1F4D" w:rsidRPr="001E1F4D" w:rsidRDefault="001E1F4D" w:rsidP="001E1F4D">
            <w:pPr>
              <w:spacing w:line="240" w:lineRule="auto"/>
              <w:ind w:firstLine="567"/>
              <w:jc w:val="both"/>
              <w:rPr>
                <w:rFonts w:ascii="Arial" w:eastAsia="Calibri" w:hAnsi="Arial" w:cs="Arial"/>
                <w:b/>
                <w:bCs/>
                <w:color w:val="00435B"/>
                <w:sz w:val="20"/>
                <w:szCs w:val="20"/>
              </w:rPr>
            </w:pPr>
            <w:r w:rsidRPr="001E1F4D">
              <w:rPr>
                <w:rFonts w:ascii="Arial" w:eastAsia="Calibri" w:hAnsi="Arial" w:cs="Arial"/>
                <w:b/>
                <w:bCs/>
                <w:color w:val="00435B"/>
                <w:sz w:val="20"/>
                <w:szCs w:val="20"/>
              </w:rPr>
              <w:t>X = 40</w:t>
            </w:r>
          </w:p>
        </w:tc>
      </w:tr>
      <w:tr w:rsidR="001E1F4D" w:rsidRPr="001E1F4D" w14:paraId="5E59CE78" w14:textId="77777777" w:rsidTr="00CC3F5C">
        <w:tc>
          <w:tcPr>
            <w:tcW w:w="4149"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0E24FE" w14:textId="457063C5" w:rsidR="001E1F4D" w:rsidRPr="001E1F4D" w:rsidRDefault="001E1F4D" w:rsidP="001E1F4D">
            <w:pPr>
              <w:spacing w:line="240" w:lineRule="auto"/>
              <w:ind w:right="-8"/>
              <w:rPr>
                <w:rFonts w:ascii="Arial" w:eastAsia="Calibri" w:hAnsi="Arial" w:cs="Arial"/>
                <w:color w:val="00435B"/>
                <w:sz w:val="20"/>
                <w:szCs w:val="20"/>
              </w:rPr>
            </w:pPr>
            <w:r w:rsidRPr="001E1F4D">
              <w:rPr>
                <w:rFonts w:ascii="Arial" w:eastAsia="Calibri" w:hAnsi="Arial" w:cs="Arial"/>
                <w:b/>
                <w:color w:val="00435B"/>
                <w:sz w:val="20"/>
                <w:szCs w:val="20"/>
              </w:rPr>
              <w:t xml:space="preserve">Pirmas kriterijus </w:t>
            </w:r>
            <w:r>
              <w:rPr>
                <w:rFonts w:ascii="Arial" w:eastAsia="Calibri" w:hAnsi="Arial" w:cs="Arial"/>
                <w:b/>
                <w:color w:val="00435B"/>
                <w:sz w:val="20"/>
                <w:szCs w:val="20"/>
              </w:rPr>
              <w:t>–</w:t>
            </w:r>
            <w:r w:rsidRPr="001E1F4D">
              <w:rPr>
                <w:rFonts w:ascii="Arial" w:eastAsia="Calibri" w:hAnsi="Arial" w:cs="Arial"/>
                <w:b/>
                <w:color w:val="00435B"/>
                <w:sz w:val="20"/>
                <w:szCs w:val="20"/>
              </w:rPr>
              <w:t xml:space="preserve"> </w:t>
            </w:r>
            <w:r w:rsidR="00817DC9">
              <w:rPr>
                <w:rFonts w:ascii="Arial" w:eastAsia="Calibri" w:hAnsi="Arial" w:cs="Arial"/>
                <w:bCs/>
                <w:color w:val="00435B"/>
                <w:sz w:val="20"/>
                <w:szCs w:val="20"/>
              </w:rPr>
              <w:t>Specialisto</w:t>
            </w:r>
            <w:r w:rsidR="00484497">
              <w:rPr>
                <w:rFonts w:ascii="Arial" w:eastAsia="Calibri" w:hAnsi="Arial" w:cs="Arial"/>
                <w:bCs/>
                <w:color w:val="00435B"/>
                <w:sz w:val="20"/>
                <w:szCs w:val="20"/>
              </w:rPr>
              <w:t>*</w:t>
            </w:r>
            <w:r>
              <w:rPr>
                <w:rFonts w:ascii="Arial" w:eastAsia="Calibri" w:hAnsi="Arial" w:cs="Arial"/>
                <w:bCs/>
                <w:color w:val="00435B"/>
                <w:sz w:val="20"/>
                <w:szCs w:val="20"/>
              </w:rPr>
              <w:t xml:space="preserve"> patirtis </w:t>
            </w:r>
            <w:r w:rsidRPr="001E1F4D">
              <w:rPr>
                <w:rFonts w:ascii="Arial" w:eastAsia="Calibri" w:hAnsi="Arial" w:cs="Arial"/>
                <w:b/>
                <w:color w:val="00435B"/>
                <w:sz w:val="20"/>
                <w:szCs w:val="20"/>
              </w:rPr>
              <w:t>(T</w:t>
            </w:r>
            <w:r w:rsidR="00753522">
              <w:rPr>
                <w:rFonts w:ascii="Arial" w:eastAsia="Calibri" w:hAnsi="Arial" w:cs="Arial"/>
                <w:b/>
                <w:color w:val="00435B"/>
                <w:sz w:val="20"/>
                <w:szCs w:val="20"/>
                <w:vertAlign w:val="subscript"/>
              </w:rPr>
              <w:t>1</w:t>
            </w:r>
            <w:r w:rsidRPr="001E1F4D">
              <w:rPr>
                <w:rFonts w:ascii="Arial" w:eastAsia="Calibri" w:hAnsi="Arial" w:cs="Arial"/>
                <w:b/>
                <w:color w:val="00435B"/>
                <w:sz w:val="20"/>
                <w:szCs w:val="20"/>
              </w:rPr>
              <w:t>)</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hideMark/>
          </w:tcPr>
          <w:p w14:paraId="4FADEC94" w14:textId="77777777" w:rsidR="001E1F4D" w:rsidRPr="001E1F4D" w:rsidRDefault="001E1F4D" w:rsidP="001E1F4D">
            <w:pPr>
              <w:spacing w:line="240" w:lineRule="auto"/>
              <w:ind w:firstLine="567"/>
              <w:jc w:val="both"/>
              <w:rPr>
                <w:rFonts w:ascii="Arial" w:eastAsia="Calibri" w:hAnsi="Arial" w:cs="Arial"/>
                <w:b/>
                <w:bCs/>
                <w:color w:val="00435B"/>
                <w:sz w:val="20"/>
                <w:szCs w:val="20"/>
              </w:rPr>
            </w:pPr>
            <w:r w:rsidRPr="001E1F4D">
              <w:rPr>
                <w:rFonts w:ascii="Arial" w:eastAsia="Calibri" w:hAnsi="Arial" w:cs="Arial"/>
                <w:b/>
                <w:bCs/>
                <w:color w:val="00435B"/>
                <w:sz w:val="20"/>
                <w:szCs w:val="20"/>
              </w:rPr>
              <w:t>Y = 60</w:t>
            </w:r>
          </w:p>
        </w:tc>
      </w:tr>
      <w:tr w:rsidR="001E1F4D" w:rsidRPr="001E1F4D" w14:paraId="6F0B001E" w14:textId="77777777" w:rsidTr="00CC3F5C">
        <w:trPr>
          <w:trHeight w:val="53"/>
        </w:trPr>
        <w:tc>
          <w:tcPr>
            <w:tcW w:w="3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2B03B" w14:textId="77777777" w:rsidR="001E1F4D" w:rsidRPr="001E1F4D" w:rsidRDefault="001E1F4D" w:rsidP="001E1F4D">
            <w:pPr>
              <w:spacing w:line="240" w:lineRule="auto"/>
              <w:ind w:left="360" w:right="-915"/>
              <w:jc w:val="both"/>
              <w:rPr>
                <w:rFonts w:ascii="Arial" w:eastAsia="Calibri" w:hAnsi="Arial" w:cs="Arial"/>
                <w:color w:val="00435B"/>
                <w:sz w:val="20"/>
                <w:szCs w:val="20"/>
              </w:rPr>
            </w:pPr>
            <w:r w:rsidRPr="001E1F4D">
              <w:rPr>
                <w:rFonts w:ascii="Arial" w:eastAsia="Calibri" w:hAnsi="Arial" w:cs="Arial"/>
                <w:color w:val="00435B"/>
                <w:sz w:val="20"/>
                <w:szCs w:val="20"/>
              </w:rPr>
              <w:t>1.</w:t>
            </w:r>
          </w:p>
        </w:tc>
        <w:tc>
          <w:tcPr>
            <w:tcW w:w="16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F8AB9" w14:textId="77777777" w:rsidR="001E1F4D" w:rsidRDefault="001E1F4D" w:rsidP="001E1F4D">
            <w:pPr>
              <w:jc w:val="both"/>
              <w:rPr>
                <w:rFonts w:ascii="Arial" w:eastAsia="Times New Roman" w:hAnsi="Arial" w:cs="Arial"/>
                <w:b/>
                <w:bCs/>
                <w:color w:val="00435B"/>
                <w:sz w:val="20"/>
                <w:szCs w:val="20"/>
              </w:rPr>
            </w:pPr>
            <w:r w:rsidRPr="001E1F4D">
              <w:rPr>
                <w:rFonts w:ascii="Arial" w:eastAsia="Times New Roman" w:hAnsi="Arial" w:cs="Arial"/>
                <w:b/>
                <w:bCs/>
                <w:color w:val="00435B"/>
                <w:sz w:val="20"/>
                <w:szCs w:val="20"/>
              </w:rPr>
              <w:t>Pirmas parametras (P</w:t>
            </w:r>
            <w:r w:rsidRPr="001E1F4D">
              <w:rPr>
                <w:rFonts w:ascii="Arial" w:eastAsia="Times New Roman" w:hAnsi="Arial" w:cs="Arial"/>
                <w:b/>
                <w:bCs/>
                <w:color w:val="00435B"/>
                <w:sz w:val="20"/>
                <w:szCs w:val="20"/>
                <w:vertAlign w:val="subscript"/>
              </w:rPr>
              <w:t>1</w:t>
            </w:r>
            <w:r w:rsidRPr="001E1F4D">
              <w:rPr>
                <w:rFonts w:ascii="Arial" w:eastAsia="Times New Roman" w:hAnsi="Arial" w:cs="Arial"/>
                <w:b/>
                <w:bCs/>
                <w:color w:val="00435B"/>
                <w:sz w:val="20"/>
                <w:szCs w:val="20"/>
              </w:rPr>
              <w:t>)</w:t>
            </w:r>
          </w:p>
          <w:p w14:paraId="014386AA" w14:textId="2CA483D1" w:rsidR="00817DC9" w:rsidRPr="00817DC9" w:rsidRDefault="004405F5" w:rsidP="00817DC9">
            <w:pPr>
              <w:rPr>
                <w:rFonts w:ascii="Arial" w:eastAsia="Times New Roman" w:hAnsi="Arial" w:cs="Arial"/>
                <w:color w:val="00435B"/>
                <w:sz w:val="20"/>
                <w:szCs w:val="20"/>
                <w:lang w:val="en-US"/>
              </w:rPr>
            </w:pPr>
            <w:r>
              <w:rPr>
                <w:rFonts w:ascii="Arial" w:eastAsia="Times New Roman" w:hAnsi="Arial" w:cs="Arial"/>
                <w:color w:val="00435B"/>
                <w:sz w:val="20"/>
                <w:szCs w:val="20"/>
              </w:rPr>
              <w:t xml:space="preserve">Tiekėjo pasiūlyto </w:t>
            </w:r>
            <w:r w:rsidR="00817DC9">
              <w:rPr>
                <w:rFonts w:ascii="Arial" w:eastAsia="Times New Roman" w:hAnsi="Arial" w:cs="Arial"/>
                <w:color w:val="00435B"/>
                <w:sz w:val="20"/>
                <w:szCs w:val="20"/>
              </w:rPr>
              <w:t>specialisto</w:t>
            </w:r>
            <w:r>
              <w:rPr>
                <w:rFonts w:ascii="Arial" w:eastAsia="Times New Roman" w:hAnsi="Arial" w:cs="Arial"/>
                <w:color w:val="00435B"/>
                <w:sz w:val="20"/>
                <w:szCs w:val="20"/>
              </w:rPr>
              <w:t>, atitinkančio minimaliu</w:t>
            </w:r>
            <w:r w:rsidR="0013777D">
              <w:rPr>
                <w:rFonts w:ascii="Arial" w:eastAsia="Times New Roman" w:hAnsi="Arial" w:cs="Arial"/>
                <w:color w:val="00435B"/>
                <w:sz w:val="20"/>
                <w:szCs w:val="20"/>
              </w:rPr>
              <w:t>s</w:t>
            </w:r>
            <w:r>
              <w:rPr>
                <w:rFonts w:ascii="Arial" w:eastAsia="Times New Roman" w:hAnsi="Arial" w:cs="Arial"/>
                <w:color w:val="00435B"/>
                <w:sz w:val="20"/>
                <w:szCs w:val="20"/>
              </w:rPr>
              <w:t xml:space="preserve"> kvalifikacijos reikalavimus, patirtis per pastaruosius </w:t>
            </w:r>
            <w:r w:rsidR="00817DC9">
              <w:rPr>
                <w:rFonts w:ascii="Arial" w:eastAsia="Times New Roman" w:hAnsi="Arial" w:cs="Arial"/>
                <w:color w:val="00435B"/>
                <w:sz w:val="20"/>
                <w:szCs w:val="20"/>
              </w:rPr>
              <w:t>3</w:t>
            </w:r>
            <w:r>
              <w:rPr>
                <w:rFonts w:ascii="Arial" w:eastAsia="Times New Roman" w:hAnsi="Arial" w:cs="Arial"/>
                <w:color w:val="00435B"/>
                <w:sz w:val="20"/>
                <w:szCs w:val="20"/>
              </w:rPr>
              <w:t xml:space="preserve"> (</w:t>
            </w:r>
            <w:r w:rsidR="00817DC9">
              <w:rPr>
                <w:rFonts w:ascii="Arial" w:eastAsia="Times New Roman" w:hAnsi="Arial" w:cs="Arial"/>
                <w:color w:val="00435B"/>
                <w:sz w:val="20"/>
                <w:szCs w:val="20"/>
              </w:rPr>
              <w:t>tris</w:t>
            </w:r>
            <w:r>
              <w:rPr>
                <w:rFonts w:ascii="Arial" w:eastAsia="Times New Roman" w:hAnsi="Arial" w:cs="Arial"/>
                <w:color w:val="00435B"/>
                <w:sz w:val="20"/>
                <w:szCs w:val="20"/>
              </w:rPr>
              <w:t>) metus iki pasiūlymo pateikimo dienos</w:t>
            </w:r>
            <w:r w:rsidR="00817DC9">
              <w:rPr>
                <w:rFonts w:ascii="Arial" w:eastAsia="Times New Roman" w:hAnsi="Arial" w:cs="Arial"/>
                <w:color w:val="00435B"/>
                <w:sz w:val="20"/>
                <w:szCs w:val="20"/>
              </w:rPr>
              <w:t xml:space="preserve"> </w:t>
            </w:r>
            <w:r w:rsidR="00817DC9" w:rsidRPr="00817DC9">
              <w:rPr>
                <w:rFonts w:ascii="Arial" w:eastAsia="Times New Roman" w:hAnsi="Arial" w:cs="Arial"/>
                <w:iCs/>
                <w:color w:val="00435B"/>
                <w:sz w:val="20"/>
                <w:szCs w:val="20"/>
              </w:rPr>
              <w:t>laiku ir kokybiškai</w:t>
            </w:r>
            <w:r>
              <w:rPr>
                <w:rFonts w:ascii="Arial" w:eastAsia="Times New Roman" w:hAnsi="Arial" w:cs="Arial"/>
                <w:color w:val="00435B"/>
                <w:sz w:val="20"/>
                <w:szCs w:val="20"/>
              </w:rPr>
              <w:t xml:space="preserve"> įvykdyt</w:t>
            </w:r>
            <w:r w:rsidR="00817DC9">
              <w:rPr>
                <w:rFonts w:ascii="Arial" w:eastAsia="Times New Roman" w:hAnsi="Arial" w:cs="Arial"/>
                <w:color w:val="00435B"/>
                <w:sz w:val="20"/>
                <w:szCs w:val="20"/>
              </w:rPr>
              <w:t>ame</w:t>
            </w:r>
            <w:r>
              <w:rPr>
                <w:rFonts w:ascii="Arial" w:eastAsia="Times New Roman" w:hAnsi="Arial" w:cs="Arial"/>
                <w:color w:val="00435B"/>
                <w:sz w:val="20"/>
                <w:szCs w:val="20"/>
              </w:rPr>
              <w:t xml:space="preserve"> projekte, </w:t>
            </w:r>
            <w:r w:rsidR="00817DC9" w:rsidRPr="00817DC9">
              <w:rPr>
                <w:rFonts w:ascii="Arial" w:eastAsia="Times New Roman" w:hAnsi="Arial" w:cs="Arial"/>
                <w:iCs/>
                <w:color w:val="00435B"/>
                <w:sz w:val="20"/>
                <w:szCs w:val="20"/>
              </w:rPr>
              <w:t>susijusiame su Europos Sąjungos tvariųjų finansų reglamentavimo taikymu</w:t>
            </w:r>
            <w:r w:rsidR="00817DC9" w:rsidRPr="00817DC9">
              <w:rPr>
                <w:rFonts w:ascii="Arial" w:eastAsia="Times New Roman" w:hAnsi="Arial" w:cs="Arial"/>
                <w:iCs/>
                <w:color w:val="00435B"/>
                <w:sz w:val="20"/>
                <w:szCs w:val="20"/>
                <w:vertAlign w:val="superscript"/>
              </w:rPr>
              <w:footnoteReference w:id="1"/>
            </w:r>
            <w:r w:rsidR="00817DC9" w:rsidRPr="00817DC9">
              <w:rPr>
                <w:rFonts w:ascii="Arial" w:eastAsia="Times New Roman" w:hAnsi="Arial" w:cs="Arial"/>
                <w:iCs/>
                <w:color w:val="00435B"/>
                <w:sz w:val="20"/>
                <w:szCs w:val="20"/>
              </w:rPr>
              <w:t xml:space="preserve">, kurio vertė būtų ne mažesnė kaip </w:t>
            </w:r>
            <w:r w:rsidR="00817DC9" w:rsidRPr="00817DC9">
              <w:rPr>
                <w:rFonts w:ascii="Arial" w:eastAsia="Times New Roman" w:hAnsi="Arial" w:cs="Arial"/>
                <w:iCs/>
                <w:color w:val="00435B"/>
                <w:sz w:val="20"/>
                <w:szCs w:val="20"/>
                <w:lang w:val="en-US"/>
              </w:rPr>
              <w:t xml:space="preserve">20 000,00 </w:t>
            </w:r>
            <w:proofErr w:type="spellStart"/>
            <w:r w:rsidR="00817DC9" w:rsidRPr="00817DC9">
              <w:rPr>
                <w:rFonts w:ascii="Arial" w:eastAsia="Times New Roman" w:hAnsi="Arial" w:cs="Arial"/>
                <w:iCs/>
                <w:color w:val="00435B"/>
                <w:sz w:val="20"/>
                <w:szCs w:val="20"/>
                <w:lang w:val="en-US"/>
              </w:rPr>
              <w:t>Eur</w:t>
            </w:r>
            <w:proofErr w:type="spellEnd"/>
            <w:r w:rsidR="00817DC9" w:rsidRPr="00817DC9">
              <w:rPr>
                <w:rFonts w:ascii="Arial" w:eastAsia="Times New Roman" w:hAnsi="Arial" w:cs="Arial"/>
                <w:iCs/>
                <w:color w:val="00435B"/>
                <w:sz w:val="20"/>
                <w:szCs w:val="20"/>
                <w:lang w:val="en-US"/>
              </w:rPr>
              <w:t xml:space="preserve"> be PVM.</w:t>
            </w:r>
            <w:r w:rsidR="00817DC9" w:rsidRPr="00817DC9">
              <w:rPr>
                <w:rFonts w:ascii="Arial" w:eastAsia="Times New Roman" w:hAnsi="Arial" w:cs="Arial"/>
                <w:color w:val="00435B"/>
                <w:sz w:val="20"/>
                <w:szCs w:val="20"/>
                <w:lang w:val="en-US"/>
              </w:rPr>
              <w:t xml:space="preserve"> </w:t>
            </w:r>
          </w:p>
          <w:p w14:paraId="29B99308" w14:textId="1691D072" w:rsidR="001E1F4D" w:rsidRPr="001E1F4D" w:rsidRDefault="001E1F4D" w:rsidP="001E1F4D">
            <w:pPr>
              <w:snapToGrid w:val="0"/>
              <w:spacing w:line="240" w:lineRule="auto"/>
              <w:rPr>
                <w:rFonts w:ascii="Arial" w:eastAsia="Calibri" w:hAnsi="Arial" w:cs="Arial"/>
                <w:color w:val="00435B"/>
                <w:sz w:val="20"/>
                <w:szCs w:val="20"/>
              </w:rPr>
            </w:pPr>
          </w:p>
        </w:tc>
        <w:tc>
          <w:tcPr>
            <w:tcW w:w="1391" w:type="pct"/>
            <w:tcBorders>
              <w:top w:val="single" w:sz="4" w:space="0" w:color="000000"/>
              <w:left w:val="single" w:sz="4" w:space="0" w:color="000000"/>
              <w:bottom w:val="single" w:sz="4" w:space="0" w:color="000000"/>
              <w:right w:val="single" w:sz="4" w:space="0" w:color="000000"/>
            </w:tcBorders>
          </w:tcPr>
          <w:p w14:paraId="44649B4B" w14:textId="35BCC441" w:rsidR="0013777D" w:rsidRPr="0013777D" w:rsidRDefault="0013777D" w:rsidP="0013777D">
            <w:pPr>
              <w:spacing w:line="240" w:lineRule="auto"/>
              <w:rPr>
                <w:rFonts w:ascii="Arial" w:eastAsia="Calibri" w:hAnsi="Arial" w:cs="Arial"/>
                <w:color w:val="00435B"/>
                <w:sz w:val="20"/>
                <w:szCs w:val="20"/>
              </w:rPr>
            </w:pPr>
            <w:r w:rsidRPr="0013777D">
              <w:rPr>
                <w:rFonts w:ascii="Arial" w:eastAsia="Calibri" w:hAnsi="Arial" w:cs="Arial"/>
                <w:color w:val="00435B"/>
                <w:sz w:val="20"/>
                <w:szCs w:val="20"/>
              </w:rPr>
              <w:t xml:space="preserve">Suteikiami balai už tiekėjo siūlomo </w:t>
            </w:r>
            <w:r w:rsidR="00E66A1D">
              <w:rPr>
                <w:rFonts w:ascii="Arial" w:eastAsia="Calibri" w:hAnsi="Arial" w:cs="Arial"/>
                <w:color w:val="00435B"/>
                <w:sz w:val="20"/>
                <w:szCs w:val="20"/>
              </w:rPr>
              <w:t>specialisto</w:t>
            </w:r>
            <w:r w:rsidRPr="0013777D">
              <w:rPr>
                <w:rFonts w:ascii="Arial" w:eastAsia="Calibri" w:hAnsi="Arial" w:cs="Arial"/>
                <w:color w:val="00435B"/>
                <w:sz w:val="20"/>
                <w:szCs w:val="20"/>
              </w:rPr>
              <w:t xml:space="preserve">, atitinkančio minimalius kvalifikacijos reikalavimus, nurodytus </w:t>
            </w:r>
            <w:r w:rsidR="0057578E">
              <w:rPr>
                <w:rFonts w:ascii="Arial" w:eastAsia="Calibri" w:hAnsi="Arial" w:cs="Arial"/>
                <w:color w:val="00435B"/>
                <w:sz w:val="20"/>
                <w:szCs w:val="20"/>
              </w:rPr>
              <w:t>P</w:t>
            </w:r>
            <w:r w:rsidRPr="0013777D">
              <w:rPr>
                <w:rFonts w:ascii="Arial" w:eastAsia="Calibri" w:hAnsi="Arial" w:cs="Arial"/>
                <w:color w:val="00435B"/>
                <w:sz w:val="20"/>
                <w:szCs w:val="20"/>
              </w:rPr>
              <w:t xml:space="preserve">irkimo sąlygų (toliau - PS)  4 priedo </w:t>
            </w:r>
            <w:r>
              <w:rPr>
                <w:rFonts w:ascii="Arial" w:eastAsia="Calibri" w:hAnsi="Arial" w:cs="Arial"/>
                <w:color w:val="00435B"/>
                <w:sz w:val="20"/>
                <w:szCs w:val="20"/>
              </w:rPr>
              <w:t>6</w:t>
            </w:r>
            <w:r w:rsidRPr="0013777D">
              <w:rPr>
                <w:rFonts w:ascii="Arial" w:eastAsia="Calibri" w:hAnsi="Arial" w:cs="Arial"/>
                <w:color w:val="00435B"/>
                <w:sz w:val="20"/>
                <w:szCs w:val="20"/>
              </w:rPr>
              <w:t xml:space="preserve"> punkto </w:t>
            </w:r>
            <w:r>
              <w:rPr>
                <w:rFonts w:ascii="Arial" w:eastAsia="Calibri" w:hAnsi="Arial" w:cs="Arial"/>
                <w:color w:val="00435B"/>
                <w:sz w:val="20"/>
                <w:szCs w:val="20"/>
              </w:rPr>
              <w:t>lentelė</w:t>
            </w:r>
            <w:r w:rsidR="00753522">
              <w:rPr>
                <w:rFonts w:ascii="Arial" w:eastAsia="Calibri" w:hAnsi="Arial" w:cs="Arial"/>
                <w:color w:val="00435B"/>
                <w:sz w:val="20"/>
                <w:szCs w:val="20"/>
              </w:rPr>
              <w:t>je</w:t>
            </w:r>
            <w:r w:rsidRPr="0013777D">
              <w:rPr>
                <w:rFonts w:ascii="Arial" w:eastAsia="Calibri" w:hAnsi="Arial" w:cs="Arial"/>
                <w:color w:val="00435B"/>
                <w:sz w:val="20"/>
                <w:szCs w:val="20"/>
              </w:rPr>
              <w:t xml:space="preserve">, </w:t>
            </w:r>
            <w:r w:rsidR="00753522">
              <w:rPr>
                <w:rFonts w:ascii="Arial" w:eastAsia="Calibri" w:hAnsi="Arial" w:cs="Arial"/>
                <w:color w:val="00435B"/>
                <w:sz w:val="20"/>
                <w:szCs w:val="20"/>
              </w:rPr>
              <w:t xml:space="preserve">laiku ir kokybiškai įvykdytų projektų, </w:t>
            </w:r>
            <w:r w:rsidR="00E66A1D" w:rsidRPr="00817DC9">
              <w:rPr>
                <w:rFonts w:ascii="Arial" w:eastAsia="Times New Roman" w:hAnsi="Arial" w:cs="Arial"/>
                <w:iCs/>
                <w:color w:val="00435B"/>
                <w:sz w:val="20"/>
                <w:szCs w:val="20"/>
              </w:rPr>
              <w:t>susijusi</w:t>
            </w:r>
            <w:r w:rsidR="00753522">
              <w:rPr>
                <w:rFonts w:ascii="Arial" w:eastAsia="Times New Roman" w:hAnsi="Arial" w:cs="Arial"/>
                <w:iCs/>
                <w:color w:val="00435B"/>
                <w:sz w:val="20"/>
                <w:szCs w:val="20"/>
              </w:rPr>
              <w:t>ų</w:t>
            </w:r>
            <w:r w:rsidR="00E66A1D" w:rsidRPr="00817DC9">
              <w:rPr>
                <w:rFonts w:ascii="Arial" w:eastAsia="Times New Roman" w:hAnsi="Arial" w:cs="Arial"/>
                <w:iCs/>
                <w:color w:val="00435B"/>
                <w:sz w:val="20"/>
                <w:szCs w:val="20"/>
              </w:rPr>
              <w:t xml:space="preserve"> su Europos Sąjungos tvariųjų finansų reglamentavimo taikymu</w:t>
            </w:r>
            <w:r w:rsidR="00E66A1D" w:rsidRPr="00817DC9">
              <w:rPr>
                <w:rFonts w:ascii="Arial" w:eastAsia="Times New Roman" w:hAnsi="Arial" w:cs="Arial"/>
                <w:iCs/>
                <w:color w:val="00435B"/>
                <w:sz w:val="20"/>
                <w:szCs w:val="20"/>
                <w:vertAlign w:val="superscript"/>
              </w:rPr>
              <w:footnoteReference w:id="2"/>
            </w:r>
            <w:r w:rsidR="00E66A1D" w:rsidRPr="00817DC9">
              <w:rPr>
                <w:rFonts w:ascii="Arial" w:eastAsia="Times New Roman" w:hAnsi="Arial" w:cs="Arial"/>
                <w:iCs/>
                <w:color w:val="00435B"/>
                <w:sz w:val="20"/>
                <w:szCs w:val="20"/>
              </w:rPr>
              <w:t>, kuri</w:t>
            </w:r>
            <w:r w:rsidR="00753522">
              <w:rPr>
                <w:rFonts w:ascii="Arial" w:eastAsia="Times New Roman" w:hAnsi="Arial" w:cs="Arial"/>
                <w:iCs/>
                <w:color w:val="00435B"/>
                <w:sz w:val="20"/>
                <w:szCs w:val="20"/>
              </w:rPr>
              <w:t>ų kiekvieno</w:t>
            </w:r>
            <w:r w:rsidR="00E66A1D" w:rsidRPr="00817DC9">
              <w:rPr>
                <w:rFonts w:ascii="Arial" w:eastAsia="Times New Roman" w:hAnsi="Arial" w:cs="Arial"/>
                <w:iCs/>
                <w:color w:val="00435B"/>
                <w:sz w:val="20"/>
                <w:szCs w:val="20"/>
              </w:rPr>
              <w:t xml:space="preserve"> vertė būtų ne mažesnė kaip </w:t>
            </w:r>
            <w:r w:rsidR="00E66A1D" w:rsidRPr="00817DC9">
              <w:rPr>
                <w:rFonts w:ascii="Arial" w:eastAsia="Times New Roman" w:hAnsi="Arial" w:cs="Arial"/>
                <w:iCs/>
                <w:color w:val="00435B"/>
                <w:sz w:val="20"/>
                <w:szCs w:val="20"/>
                <w:lang w:val="en-US"/>
              </w:rPr>
              <w:t xml:space="preserve">20 000,00 </w:t>
            </w:r>
            <w:proofErr w:type="spellStart"/>
            <w:r w:rsidR="00E66A1D" w:rsidRPr="00817DC9">
              <w:rPr>
                <w:rFonts w:ascii="Arial" w:eastAsia="Times New Roman" w:hAnsi="Arial" w:cs="Arial"/>
                <w:iCs/>
                <w:color w:val="00435B"/>
                <w:sz w:val="20"/>
                <w:szCs w:val="20"/>
                <w:lang w:val="en-US"/>
              </w:rPr>
              <w:t>Eur</w:t>
            </w:r>
            <w:proofErr w:type="spellEnd"/>
            <w:r w:rsidR="00E66A1D" w:rsidRPr="00817DC9">
              <w:rPr>
                <w:rFonts w:ascii="Arial" w:eastAsia="Times New Roman" w:hAnsi="Arial" w:cs="Arial"/>
                <w:iCs/>
                <w:color w:val="00435B"/>
                <w:sz w:val="20"/>
                <w:szCs w:val="20"/>
                <w:lang w:val="en-US"/>
              </w:rPr>
              <w:t xml:space="preserve"> be PVM</w:t>
            </w:r>
            <w:r w:rsidRPr="0013777D">
              <w:rPr>
                <w:rFonts w:ascii="Arial" w:eastAsia="Calibri" w:hAnsi="Arial" w:cs="Arial"/>
                <w:color w:val="00435B"/>
                <w:sz w:val="20"/>
                <w:szCs w:val="20"/>
              </w:rPr>
              <w:t xml:space="preserve">, patirtį per pastaruosius </w:t>
            </w:r>
            <w:r w:rsidR="00E66A1D">
              <w:rPr>
                <w:rFonts w:ascii="Arial" w:eastAsia="Calibri" w:hAnsi="Arial" w:cs="Arial"/>
                <w:color w:val="00435B"/>
                <w:sz w:val="20"/>
                <w:szCs w:val="20"/>
              </w:rPr>
              <w:t>3</w:t>
            </w:r>
            <w:r w:rsidRPr="0013777D">
              <w:rPr>
                <w:rFonts w:ascii="Arial" w:eastAsia="Calibri" w:hAnsi="Arial" w:cs="Arial"/>
                <w:color w:val="00435B"/>
                <w:sz w:val="20"/>
                <w:szCs w:val="20"/>
              </w:rPr>
              <w:t xml:space="preserve"> (</w:t>
            </w:r>
            <w:r w:rsidR="00753522">
              <w:rPr>
                <w:rFonts w:ascii="Arial" w:eastAsia="Calibri" w:hAnsi="Arial" w:cs="Arial"/>
                <w:color w:val="00435B"/>
                <w:sz w:val="20"/>
                <w:szCs w:val="20"/>
              </w:rPr>
              <w:t>tris</w:t>
            </w:r>
            <w:r w:rsidRPr="0013777D">
              <w:rPr>
                <w:rFonts w:ascii="Arial" w:eastAsia="Calibri" w:hAnsi="Arial" w:cs="Arial"/>
                <w:color w:val="00435B"/>
                <w:sz w:val="20"/>
                <w:szCs w:val="20"/>
              </w:rPr>
              <w:t>) metus iki pasiūlymų pateikimo dienos (R</w:t>
            </w:r>
            <w:r w:rsidRPr="0013777D">
              <w:rPr>
                <w:rFonts w:ascii="Arial" w:eastAsia="Calibri" w:hAnsi="Arial" w:cs="Arial"/>
                <w:color w:val="00435B"/>
                <w:sz w:val="20"/>
                <w:szCs w:val="20"/>
                <w:vertAlign w:val="subscript"/>
              </w:rPr>
              <w:t>1</w:t>
            </w:r>
            <w:r w:rsidRPr="0013777D">
              <w:rPr>
                <w:rFonts w:ascii="Arial" w:eastAsia="Calibri" w:hAnsi="Arial" w:cs="Arial"/>
                <w:color w:val="00435B"/>
                <w:sz w:val="20"/>
                <w:szCs w:val="20"/>
              </w:rPr>
              <w:t>) - R</w:t>
            </w:r>
            <w:r w:rsidRPr="0013777D">
              <w:rPr>
                <w:rFonts w:ascii="Arial" w:eastAsia="Calibri" w:hAnsi="Arial" w:cs="Arial"/>
                <w:color w:val="00435B"/>
                <w:sz w:val="20"/>
                <w:szCs w:val="20"/>
                <w:vertAlign w:val="subscript"/>
              </w:rPr>
              <w:t>1max</w:t>
            </w:r>
            <w:r w:rsidRPr="0013777D">
              <w:rPr>
                <w:rFonts w:ascii="Arial" w:eastAsia="Calibri" w:hAnsi="Arial" w:cs="Arial"/>
                <w:color w:val="00435B"/>
                <w:sz w:val="20"/>
                <w:szCs w:val="20"/>
              </w:rPr>
              <w:t>=3:</w:t>
            </w:r>
          </w:p>
          <w:p w14:paraId="62A6731F" w14:textId="0F39DD05" w:rsidR="0013777D" w:rsidRPr="0013777D" w:rsidRDefault="0013777D" w:rsidP="0013777D">
            <w:pPr>
              <w:spacing w:line="240" w:lineRule="auto"/>
              <w:rPr>
                <w:rFonts w:ascii="Arial" w:eastAsia="Calibri" w:hAnsi="Arial" w:cs="Arial"/>
                <w:color w:val="00435B"/>
                <w:sz w:val="20"/>
                <w:szCs w:val="20"/>
              </w:rPr>
            </w:pPr>
            <w:r w:rsidRPr="0013777D">
              <w:rPr>
                <w:rFonts w:ascii="Arial" w:eastAsia="Calibri" w:hAnsi="Arial" w:cs="Arial"/>
                <w:color w:val="00435B"/>
                <w:sz w:val="20"/>
                <w:szCs w:val="20"/>
              </w:rPr>
              <w:t xml:space="preserve">- įvykdžius </w:t>
            </w:r>
            <w:r>
              <w:rPr>
                <w:rFonts w:ascii="Arial" w:eastAsia="Calibri" w:hAnsi="Arial" w:cs="Arial"/>
                <w:color w:val="00435B"/>
                <w:sz w:val="20"/>
                <w:szCs w:val="20"/>
              </w:rPr>
              <w:t xml:space="preserve">2 </w:t>
            </w:r>
            <w:r w:rsidRPr="0013777D">
              <w:rPr>
                <w:rFonts w:ascii="Arial" w:eastAsia="Calibri" w:hAnsi="Arial" w:cs="Arial"/>
                <w:color w:val="00435B"/>
                <w:sz w:val="20"/>
                <w:szCs w:val="20"/>
              </w:rPr>
              <w:t>projektus skiriamas 1 balas;</w:t>
            </w:r>
          </w:p>
          <w:p w14:paraId="269B552A" w14:textId="047EA583" w:rsidR="0013777D" w:rsidRPr="0013777D" w:rsidRDefault="0013777D" w:rsidP="0013777D">
            <w:pPr>
              <w:spacing w:line="240" w:lineRule="auto"/>
              <w:rPr>
                <w:rFonts w:ascii="Arial" w:eastAsia="Calibri" w:hAnsi="Arial" w:cs="Arial"/>
                <w:color w:val="00435B"/>
                <w:sz w:val="20"/>
                <w:szCs w:val="20"/>
              </w:rPr>
            </w:pPr>
            <w:r w:rsidRPr="0013777D">
              <w:rPr>
                <w:rFonts w:ascii="Arial" w:eastAsia="Calibri" w:hAnsi="Arial" w:cs="Arial"/>
                <w:color w:val="00435B"/>
                <w:sz w:val="20"/>
                <w:szCs w:val="20"/>
              </w:rPr>
              <w:t xml:space="preserve">- įvykdžius </w:t>
            </w:r>
            <w:r>
              <w:rPr>
                <w:rFonts w:ascii="Arial" w:eastAsia="Calibri" w:hAnsi="Arial" w:cs="Arial"/>
                <w:color w:val="00435B"/>
                <w:sz w:val="20"/>
                <w:szCs w:val="20"/>
              </w:rPr>
              <w:t xml:space="preserve">3 </w:t>
            </w:r>
            <w:r w:rsidRPr="0013777D">
              <w:rPr>
                <w:rFonts w:ascii="Arial" w:eastAsia="Calibri" w:hAnsi="Arial" w:cs="Arial"/>
                <w:color w:val="00435B"/>
                <w:sz w:val="20"/>
                <w:szCs w:val="20"/>
              </w:rPr>
              <w:t>projektus – 2 balai;</w:t>
            </w:r>
          </w:p>
          <w:p w14:paraId="4BDDD220" w14:textId="7DE75E18" w:rsidR="001E1F4D" w:rsidRDefault="0013777D" w:rsidP="001E1F4D">
            <w:pPr>
              <w:spacing w:line="240" w:lineRule="auto"/>
              <w:rPr>
                <w:rFonts w:ascii="Arial" w:eastAsia="Calibri" w:hAnsi="Arial" w:cs="Arial"/>
                <w:color w:val="00435B"/>
                <w:sz w:val="20"/>
                <w:szCs w:val="20"/>
              </w:rPr>
            </w:pPr>
            <w:r w:rsidRPr="0013777D">
              <w:rPr>
                <w:rFonts w:ascii="Arial" w:eastAsia="Calibri" w:hAnsi="Arial" w:cs="Arial"/>
                <w:color w:val="00435B"/>
                <w:sz w:val="20"/>
                <w:szCs w:val="20"/>
              </w:rPr>
              <w:t xml:space="preserve">- įvykdžius </w:t>
            </w:r>
            <w:r>
              <w:rPr>
                <w:rFonts w:ascii="Arial" w:eastAsia="Calibri" w:hAnsi="Arial" w:cs="Arial"/>
                <w:color w:val="00435B"/>
                <w:sz w:val="20"/>
                <w:szCs w:val="20"/>
              </w:rPr>
              <w:t>4</w:t>
            </w:r>
            <w:r w:rsidR="00E51A6F">
              <w:rPr>
                <w:rFonts w:ascii="Arial" w:eastAsia="Calibri" w:hAnsi="Arial" w:cs="Arial"/>
                <w:color w:val="00435B"/>
                <w:sz w:val="20"/>
                <w:szCs w:val="20"/>
              </w:rPr>
              <w:t xml:space="preserve"> ir daugiau</w:t>
            </w:r>
            <w:r>
              <w:rPr>
                <w:rFonts w:ascii="Arial" w:eastAsia="Calibri" w:hAnsi="Arial" w:cs="Arial"/>
                <w:color w:val="00435B"/>
                <w:sz w:val="20"/>
                <w:szCs w:val="20"/>
              </w:rPr>
              <w:t xml:space="preserve"> </w:t>
            </w:r>
            <w:r w:rsidRPr="0013777D">
              <w:rPr>
                <w:rFonts w:ascii="Arial" w:eastAsia="Calibri" w:hAnsi="Arial" w:cs="Arial"/>
                <w:color w:val="00435B"/>
                <w:sz w:val="20"/>
                <w:szCs w:val="20"/>
              </w:rPr>
              <w:t>projekt</w:t>
            </w:r>
            <w:r w:rsidR="00E51A6F">
              <w:rPr>
                <w:rFonts w:ascii="Arial" w:eastAsia="Calibri" w:hAnsi="Arial" w:cs="Arial"/>
                <w:color w:val="00435B"/>
                <w:sz w:val="20"/>
                <w:szCs w:val="20"/>
              </w:rPr>
              <w:t>ų</w:t>
            </w:r>
            <w:r w:rsidRPr="0013777D">
              <w:rPr>
                <w:rFonts w:ascii="Arial" w:eastAsia="Calibri" w:hAnsi="Arial" w:cs="Arial"/>
                <w:color w:val="00435B"/>
                <w:sz w:val="20"/>
                <w:szCs w:val="20"/>
              </w:rPr>
              <w:t xml:space="preserve"> – 3 balai.</w:t>
            </w:r>
          </w:p>
          <w:p w14:paraId="4F4A59BF" w14:textId="357A91C0" w:rsidR="001E1F4D" w:rsidRPr="001E1F4D" w:rsidRDefault="001E1F4D" w:rsidP="001E1F4D">
            <w:pPr>
              <w:spacing w:line="240" w:lineRule="auto"/>
              <w:rPr>
                <w:rFonts w:ascii="Arial" w:eastAsia="Calibri" w:hAnsi="Arial" w:cs="Arial"/>
                <w:color w:val="00435B"/>
                <w:sz w:val="20"/>
                <w:szCs w:val="20"/>
              </w:rPr>
            </w:pPr>
            <w:r w:rsidRPr="001E1F4D">
              <w:rPr>
                <w:rFonts w:ascii="Arial" w:eastAsia="Calibri" w:hAnsi="Arial" w:cs="Arial"/>
                <w:color w:val="00435B"/>
                <w:sz w:val="20"/>
                <w:szCs w:val="20"/>
              </w:rPr>
              <w:lastRenderedPageBreak/>
              <w:t>Kriterijaus parametro įvertinamas apskaičiuojamas pagal formulę, pateiktą  1</w:t>
            </w:r>
            <w:r w:rsidR="00B23F26">
              <w:rPr>
                <w:rFonts w:ascii="Arial" w:eastAsia="Calibri" w:hAnsi="Arial" w:cs="Arial"/>
                <w:color w:val="00435B"/>
                <w:sz w:val="20"/>
                <w:szCs w:val="20"/>
              </w:rPr>
              <w:t>2</w:t>
            </w:r>
            <w:r w:rsidRPr="001E1F4D">
              <w:rPr>
                <w:rFonts w:ascii="Arial" w:eastAsia="Calibri" w:hAnsi="Arial" w:cs="Arial"/>
                <w:color w:val="00435B"/>
                <w:sz w:val="20"/>
                <w:szCs w:val="20"/>
              </w:rPr>
              <w:t xml:space="preserve"> punkte.</w:t>
            </w:r>
          </w:p>
        </w:tc>
        <w:tc>
          <w:tcPr>
            <w:tcW w:w="77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1C4EF" w14:textId="03B06505" w:rsidR="001E1F4D" w:rsidRPr="001E1F4D" w:rsidRDefault="0013777D" w:rsidP="001E1F4D">
            <w:pPr>
              <w:spacing w:line="240" w:lineRule="auto"/>
              <w:ind w:right="-8" w:firstLine="567"/>
              <w:jc w:val="both"/>
              <w:rPr>
                <w:rFonts w:ascii="Arial" w:eastAsia="Calibri" w:hAnsi="Arial" w:cs="Arial"/>
                <w:color w:val="00435B"/>
                <w:sz w:val="20"/>
                <w:szCs w:val="20"/>
              </w:rPr>
            </w:pPr>
            <w:r>
              <w:rPr>
                <w:rFonts w:ascii="Arial" w:eastAsia="Calibri" w:hAnsi="Arial" w:cs="Arial"/>
                <w:color w:val="00435B"/>
                <w:sz w:val="20"/>
                <w:szCs w:val="20"/>
              </w:rPr>
              <w:lastRenderedPageBreak/>
              <w:t>L</w:t>
            </w:r>
            <w:r w:rsidR="00753522">
              <w:rPr>
                <w:rFonts w:ascii="Arial" w:eastAsia="Calibri" w:hAnsi="Arial" w:cs="Arial"/>
                <w:color w:val="00435B"/>
                <w:sz w:val="20"/>
                <w:szCs w:val="20"/>
                <w:vertAlign w:val="subscript"/>
              </w:rPr>
              <w:t>1</w:t>
            </w:r>
            <w:r>
              <w:rPr>
                <w:rFonts w:ascii="Arial" w:eastAsia="Calibri" w:hAnsi="Arial" w:cs="Arial"/>
                <w:color w:val="00435B"/>
                <w:sz w:val="20"/>
                <w:szCs w:val="20"/>
              </w:rPr>
              <w:sym w:font="Symbol" w:char="F03D"/>
            </w:r>
            <w:r w:rsidR="001E1F4D">
              <w:rPr>
                <w:rFonts w:ascii="Arial" w:eastAsia="Calibri" w:hAnsi="Arial" w:cs="Arial"/>
                <w:color w:val="00435B"/>
                <w:sz w:val="20"/>
                <w:szCs w:val="20"/>
              </w:rPr>
              <w:t>1</w:t>
            </w:r>
          </w:p>
        </w:tc>
        <w:tc>
          <w:tcPr>
            <w:tcW w:w="85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CE8C8" w14:textId="77777777" w:rsidR="001E1F4D" w:rsidRPr="001E1F4D" w:rsidRDefault="001E1F4D" w:rsidP="001E1F4D">
            <w:pPr>
              <w:spacing w:line="240" w:lineRule="auto"/>
              <w:ind w:firstLine="567"/>
              <w:jc w:val="both"/>
              <w:rPr>
                <w:rFonts w:ascii="Arial" w:eastAsia="Calibri" w:hAnsi="Arial" w:cs="Arial"/>
                <w:color w:val="00435B"/>
                <w:sz w:val="20"/>
                <w:szCs w:val="20"/>
              </w:rPr>
            </w:pPr>
          </w:p>
        </w:tc>
      </w:tr>
    </w:tbl>
    <w:p w14:paraId="5E75D2B0" w14:textId="7B736B54" w:rsidR="00484497" w:rsidRPr="00484497" w:rsidRDefault="00484497" w:rsidP="00484497">
      <w:pPr>
        <w:jc w:val="both"/>
        <w:rPr>
          <w:rFonts w:ascii="Arial" w:hAnsi="Arial" w:cs="Arial"/>
          <w:i/>
          <w:iCs/>
          <w:color w:val="00435B"/>
          <w:sz w:val="20"/>
          <w:szCs w:val="20"/>
        </w:rPr>
      </w:pPr>
      <w:r w:rsidRPr="00484497">
        <w:rPr>
          <w:rFonts w:ascii="Arial" w:hAnsi="Arial" w:cs="Arial"/>
          <w:color w:val="00435B"/>
          <w:sz w:val="20"/>
          <w:szCs w:val="20"/>
        </w:rPr>
        <w:t>*</w:t>
      </w:r>
      <w:r w:rsidRPr="00484497">
        <w:rPr>
          <w:rFonts w:ascii="Arial" w:hAnsi="Arial" w:cs="Arial"/>
          <w:i/>
          <w:iCs/>
          <w:color w:val="00435B"/>
          <w:sz w:val="20"/>
          <w:szCs w:val="20"/>
        </w:rPr>
        <w:t>Kelių tiekėjo siūlomų specialistų sutarties vykdymui patirtis nesumuojama. Vertinimo balas suteikiamas įvertinus maksimalią vieno iš pasiūlytų specialistų patirtį.</w:t>
      </w:r>
    </w:p>
    <w:p w14:paraId="16EA5A93" w14:textId="77777777" w:rsidR="001E1F4D" w:rsidRDefault="001E1F4D" w:rsidP="001E1F4D">
      <w:pPr>
        <w:tabs>
          <w:tab w:val="left" w:pos="567"/>
          <w:tab w:val="left" w:pos="993"/>
        </w:tabs>
        <w:suppressAutoHyphens/>
        <w:autoSpaceDN w:val="0"/>
        <w:spacing w:line="240" w:lineRule="auto"/>
        <w:contextualSpacing/>
        <w:jc w:val="both"/>
        <w:textAlignment w:val="baseline"/>
        <w:rPr>
          <w:rFonts w:ascii="Arial" w:hAnsi="Arial" w:cs="Arial"/>
          <w:b/>
          <w:bCs/>
        </w:rPr>
      </w:pPr>
    </w:p>
    <w:p w14:paraId="10B62DFE" w14:textId="1C35661D" w:rsidR="001E1F4D" w:rsidRPr="0013777D" w:rsidRDefault="00B23F26"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7</w:t>
      </w:r>
      <w:r w:rsidR="0013777D" w:rsidRPr="0013777D">
        <w:rPr>
          <w:rFonts w:ascii="Arial" w:hAnsi="Arial" w:cs="Arial"/>
          <w:color w:val="00435B"/>
          <w:sz w:val="20"/>
          <w:szCs w:val="20"/>
        </w:rPr>
        <w:t xml:space="preserve">. </w:t>
      </w:r>
      <w:r w:rsidR="001E1F4D" w:rsidRPr="0013777D">
        <w:rPr>
          <w:rFonts w:ascii="Arial" w:hAnsi="Arial" w:cs="Arial"/>
          <w:color w:val="00435B"/>
          <w:sz w:val="20"/>
          <w:szCs w:val="20"/>
        </w:rPr>
        <w:t xml:space="preserve">Specialistai, kurių darbo patirtimi remiamasi nustatant ekonomiškai naudingiausią pasiūlymą, bus atsakingi už pirkimo sutarties vykdymą (tiesiogiai dalyvaus vykdant pirkimo sutartį). Sutarties vykdymo metu tokius specialistus galima keisti tik ne žemesnės kvalifikacijos ir ne mažesnės patirties specialistais. </w:t>
      </w:r>
    </w:p>
    <w:p w14:paraId="380F2C8F" w14:textId="27B14F31" w:rsidR="001E1F4D" w:rsidRDefault="00B23F26"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u w:val="single"/>
        </w:rPr>
      </w:pPr>
      <w:r>
        <w:rPr>
          <w:rFonts w:ascii="Arial" w:hAnsi="Arial" w:cs="Arial"/>
          <w:color w:val="00435B"/>
          <w:sz w:val="20"/>
          <w:szCs w:val="20"/>
          <w:u w:val="single"/>
        </w:rPr>
        <w:t>8</w:t>
      </w:r>
      <w:r w:rsidR="001E1F4D" w:rsidRPr="0013777D">
        <w:rPr>
          <w:rFonts w:ascii="Arial" w:hAnsi="Arial" w:cs="Arial"/>
          <w:color w:val="00435B"/>
          <w:sz w:val="20"/>
          <w:szCs w:val="20"/>
          <w:u w:val="single"/>
        </w:rPr>
        <w:t xml:space="preserve">. Tiekėjas kartu su Pasiūlymu privalo pateikti visus dokumentus, kuriais remiantis bus sprendžiamas balų paskirstymas pagal patirties vertinimo kriterijus. Po pasiūlymo pateikimo termino pabaigos šių dokumentų pateikti nebus galima. Tiekėjas turi atidžiai surašyti visą informaciją, kad Perkančioji organizacija galėtų objektyviai suteikti balus pagal šio priedo reikalavimus. </w:t>
      </w:r>
    </w:p>
    <w:p w14:paraId="19B9AA37" w14:textId="25C1D498" w:rsidR="001E1F4D" w:rsidRPr="001E1F4D" w:rsidRDefault="00B23F26"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9</w:t>
      </w:r>
      <w:r w:rsidR="0013777D" w:rsidRPr="0013777D">
        <w:rPr>
          <w:rFonts w:ascii="Arial" w:hAnsi="Arial" w:cs="Arial"/>
          <w:color w:val="00435B"/>
          <w:sz w:val="20"/>
          <w:szCs w:val="20"/>
        </w:rPr>
        <w:t xml:space="preserve">. </w:t>
      </w:r>
      <w:r w:rsidR="001E1F4D" w:rsidRPr="001E1F4D">
        <w:rPr>
          <w:rFonts w:ascii="Arial" w:eastAsia="Calibri" w:hAnsi="Arial" w:cs="Arial"/>
          <w:color w:val="00435B"/>
          <w:sz w:val="20"/>
          <w:szCs w:val="20"/>
        </w:rPr>
        <w:t>Ekonominis naudingumas (S) apskaičiuojamas sudedant Tiekėjo n pasiūlymo kainos C ir kriterijaus (T) balus:</w:t>
      </w:r>
    </w:p>
    <w:p w14:paraId="02C3C36C" w14:textId="77777777" w:rsidR="001E1F4D" w:rsidRPr="001E1F4D" w:rsidRDefault="001E1F4D" w:rsidP="001E1F4D">
      <w:pPr>
        <w:tabs>
          <w:tab w:val="left" w:pos="1360"/>
        </w:tabs>
        <w:spacing w:after="160" w:line="240" w:lineRule="auto"/>
        <w:ind w:firstLine="567"/>
        <w:rPr>
          <w:rFonts w:ascii="Arial" w:eastAsia="Calibri" w:hAnsi="Arial" w:cs="Arial"/>
          <w:i/>
          <w:color w:val="00435B"/>
          <w:sz w:val="20"/>
          <w:szCs w:val="20"/>
        </w:rPr>
      </w:pPr>
    </w:p>
    <w:p w14:paraId="2B2CA5A2" w14:textId="77777777" w:rsidR="001E1F4D" w:rsidRPr="001E1F4D" w:rsidRDefault="001E1F4D" w:rsidP="001E1F4D">
      <w:pPr>
        <w:tabs>
          <w:tab w:val="left" w:pos="1360"/>
        </w:tabs>
        <w:spacing w:after="160" w:line="240" w:lineRule="auto"/>
        <w:ind w:firstLine="567"/>
        <w:jc w:val="center"/>
        <w:rPr>
          <w:rFonts w:ascii="Arial" w:eastAsia="Calibri" w:hAnsi="Arial" w:cs="Arial"/>
          <w:i/>
          <w:color w:val="00435B"/>
          <w:sz w:val="20"/>
          <w:szCs w:val="20"/>
        </w:rPr>
      </w:pPr>
      <m:oMathPara>
        <m:oMath>
          <m:r>
            <w:rPr>
              <w:rFonts w:ascii="Cambria Math" w:eastAsia="Calibri" w:hAnsi="Cambria Math" w:cs="Arial"/>
              <w:color w:val="00435B"/>
              <w:sz w:val="20"/>
              <w:szCs w:val="20"/>
            </w:rPr>
            <m:t>S=C+T</m:t>
          </m:r>
        </m:oMath>
      </m:oMathPara>
    </w:p>
    <w:p w14:paraId="6ADAEF73" w14:textId="25519290" w:rsidR="001E1F4D" w:rsidRPr="00B23F26" w:rsidRDefault="00753522" w:rsidP="00753522">
      <w:pPr>
        <w:pStyle w:val="ListParagraph"/>
        <w:numPr>
          <w:ilvl w:val="0"/>
          <w:numId w:val="23"/>
        </w:numPr>
        <w:tabs>
          <w:tab w:val="left" w:pos="284"/>
          <w:tab w:val="left" w:pos="1080"/>
        </w:tabs>
        <w:spacing w:line="240" w:lineRule="auto"/>
        <w:ind w:left="0" w:firstLine="709"/>
        <w:rPr>
          <w:rFonts w:ascii="Arial" w:eastAsia="Calibri" w:hAnsi="Arial" w:cs="Arial"/>
          <w:color w:val="00435B"/>
          <w:sz w:val="20"/>
          <w:szCs w:val="20"/>
        </w:rPr>
      </w:pPr>
      <w:r>
        <w:rPr>
          <w:rFonts w:ascii="Arial" w:eastAsia="Calibri" w:hAnsi="Arial" w:cs="Arial"/>
          <w:color w:val="00435B"/>
          <w:sz w:val="20"/>
          <w:szCs w:val="20"/>
        </w:rPr>
        <w:t>P</w:t>
      </w:r>
      <w:r w:rsidR="001E1F4D" w:rsidRPr="00B23F26">
        <w:rPr>
          <w:rFonts w:ascii="Arial" w:eastAsia="Calibri" w:hAnsi="Arial" w:cs="Arial"/>
          <w:color w:val="00435B"/>
          <w:sz w:val="20"/>
          <w:szCs w:val="20"/>
        </w:rPr>
        <w:t>asiūlymo kainos (C) balai apskaičiuojami mažiausios pasiūlytos pasiūlymo kainos (</w:t>
      </w:r>
      <w:proofErr w:type="spellStart"/>
      <w:r w:rsidR="001E1F4D" w:rsidRPr="00B23F26">
        <w:rPr>
          <w:rFonts w:ascii="Arial" w:eastAsia="Calibri" w:hAnsi="Arial" w:cs="Arial"/>
          <w:color w:val="00435B"/>
          <w:sz w:val="20"/>
          <w:szCs w:val="20"/>
        </w:rPr>
        <w:t>C</w:t>
      </w:r>
      <w:r w:rsidR="001E1F4D" w:rsidRPr="00B23F26">
        <w:rPr>
          <w:rFonts w:ascii="Arial" w:eastAsia="Calibri" w:hAnsi="Arial" w:cs="Arial"/>
          <w:color w:val="00435B"/>
          <w:sz w:val="20"/>
          <w:szCs w:val="20"/>
          <w:vertAlign w:val="subscript"/>
        </w:rPr>
        <w:t>min</w:t>
      </w:r>
      <w:proofErr w:type="spellEnd"/>
      <w:r w:rsidR="001E1F4D" w:rsidRPr="00B23F26">
        <w:rPr>
          <w:rFonts w:ascii="Arial" w:eastAsia="Calibri" w:hAnsi="Arial" w:cs="Arial"/>
          <w:color w:val="00435B"/>
          <w:sz w:val="20"/>
          <w:szCs w:val="20"/>
        </w:rPr>
        <w:t>) ir vertinamo pasiūlymo kainos (</w:t>
      </w:r>
      <w:proofErr w:type="spellStart"/>
      <w:r w:rsidR="001E1F4D" w:rsidRPr="00B23F26">
        <w:rPr>
          <w:rFonts w:ascii="Arial" w:eastAsia="Calibri" w:hAnsi="Arial" w:cs="Arial"/>
          <w:color w:val="00435B"/>
          <w:sz w:val="20"/>
          <w:szCs w:val="20"/>
        </w:rPr>
        <w:t>C</w:t>
      </w:r>
      <w:r w:rsidR="001E1F4D" w:rsidRPr="00B23F26">
        <w:rPr>
          <w:rFonts w:ascii="Arial" w:eastAsia="Calibri" w:hAnsi="Arial" w:cs="Arial"/>
          <w:color w:val="00435B"/>
          <w:sz w:val="20"/>
          <w:szCs w:val="20"/>
          <w:vertAlign w:val="subscript"/>
        </w:rPr>
        <w:t>p</w:t>
      </w:r>
      <w:proofErr w:type="spellEnd"/>
      <w:r w:rsidR="001E1F4D" w:rsidRPr="00B23F26">
        <w:rPr>
          <w:rFonts w:ascii="Arial" w:eastAsia="Calibri" w:hAnsi="Arial" w:cs="Arial"/>
          <w:color w:val="00435B"/>
          <w:sz w:val="20"/>
          <w:szCs w:val="20"/>
        </w:rPr>
        <w:t>) santykį padauginant iš kainos lyginamojo svorio (X):</w:t>
      </w:r>
    </w:p>
    <w:p w14:paraId="6C20F713" w14:textId="77777777" w:rsidR="001E1F4D" w:rsidRPr="001E1F4D" w:rsidRDefault="001E1F4D" w:rsidP="001E1F4D">
      <w:pPr>
        <w:tabs>
          <w:tab w:val="left" w:pos="660"/>
        </w:tabs>
        <w:spacing w:after="160" w:line="240" w:lineRule="auto"/>
        <w:ind w:firstLine="567"/>
        <w:rPr>
          <w:rFonts w:ascii="Arial" w:eastAsia="Calibri" w:hAnsi="Arial" w:cs="Arial"/>
          <w:color w:val="00435B"/>
          <w:sz w:val="20"/>
          <w:szCs w:val="20"/>
        </w:rPr>
      </w:pPr>
    </w:p>
    <w:p w14:paraId="47B38E1C" w14:textId="77777777" w:rsidR="001E1F4D" w:rsidRPr="001E1F4D" w:rsidRDefault="001E1F4D" w:rsidP="001E1F4D">
      <w:pPr>
        <w:spacing w:after="160" w:line="240" w:lineRule="auto"/>
        <w:ind w:firstLine="567"/>
        <w:jc w:val="center"/>
        <w:rPr>
          <w:rFonts w:ascii="Arial" w:eastAsia="Times New Roman" w:hAnsi="Arial" w:cs="Arial"/>
          <w:i/>
          <w:color w:val="00435B"/>
          <w:sz w:val="20"/>
          <w:szCs w:val="20"/>
          <w:lang w:val="en-GB"/>
        </w:rPr>
      </w:pPr>
      <m:oMathPara>
        <m:oMath>
          <m:r>
            <w:rPr>
              <w:rFonts w:ascii="Cambria Math" w:eastAsia="Times New Roman" w:hAnsi="Cambria Math" w:cs="Arial"/>
              <w:color w:val="00435B"/>
              <w:sz w:val="20"/>
              <w:szCs w:val="20"/>
            </w:rPr>
            <m:t>C</m:t>
          </m:r>
          <m:r>
            <w:rPr>
              <w:rFonts w:ascii="Cambria Math" w:eastAsia="Times New Roman" w:hAnsi="Cambria Math" w:cs="Arial"/>
              <w:color w:val="00435B"/>
              <w:sz w:val="20"/>
              <w:szCs w:val="20"/>
              <w:lang w:val="en-GB"/>
            </w:rPr>
            <m:t>=</m:t>
          </m:r>
          <m:f>
            <m:fPr>
              <m:ctrlPr>
                <w:rPr>
                  <w:rFonts w:ascii="Cambria Math" w:eastAsia="Times New Roman" w:hAnsi="Cambria Math" w:cs="Arial"/>
                  <w:i/>
                  <w:color w:val="00435B"/>
                  <w:sz w:val="20"/>
                  <w:szCs w:val="20"/>
                  <w:lang w:val="en-GB"/>
                </w:rPr>
              </m:ctrlPr>
            </m:fPr>
            <m:num>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min</m:t>
                  </m:r>
                </m:sub>
              </m:sSub>
            </m:num>
            <m:den>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p</m:t>
                  </m:r>
                </m:sub>
              </m:sSub>
            </m:den>
          </m:f>
          <m:r>
            <w:rPr>
              <w:rFonts w:ascii="Cambria Math" w:eastAsia="Times New Roman" w:hAnsi="Cambria Math" w:cs="Arial"/>
              <w:color w:val="00435B"/>
              <w:sz w:val="20"/>
              <w:szCs w:val="20"/>
              <w:lang w:val="en-GB"/>
            </w:rPr>
            <m:t>×X</m:t>
          </m:r>
        </m:oMath>
      </m:oMathPara>
    </w:p>
    <w:p w14:paraId="4E5FABE7" w14:textId="77777777" w:rsidR="001E1F4D" w:rsidRPr="001E1F4D" w:rsidRDefault="001E1F4D" w:rsidP="001E1F4D">
      <w:pPr>
        <w:tabs>
          <w:tab w:val="left" w:pos="1080"/>
        </w:tabs>
        <w:spacing w:line="240" w:lineRule="auto"/>
        <w:ind w:firstLine="567"/>
        <w:contextualSpacing/>
        <w:rPr>
          <w:rFonts w:ascii="Arial" w:eastAsia="Calibri" w:hAnsi="Arial" w:cs="Arial"/>
          <w:color w:val="00435B"/>
          <w:sz w:val="20"/>
          <w:szCs w:val="20"/>
        </w:rPr>
      </w:pPr>
    </w:p>
    <w:p w14:paraId="451291CC" w14:textId="06094AE7" w:rsidR="001E1F4D" w:rsidRPr="0013777D" w:rsidRDefault="001E1F4D" w:rsidP="0013777D">
      <w:pPr>
        <w:pStyle w:val="ListParagraph"/>
        <w:numPr>
          <w:ilvl w:val="0"/>
          <w:numId w:val="21"/>
        </w:numPr>
        <w:tabs>
          <w:tab w:val="left" w:pos="142"/>
          <w:tab w:val="left" w:pos="426"/>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w:t>
      </w:r>
      <w:bookmarkStart w:id="4" w:name="_Hlk158034287"/>
      <w:r w:rsidRPr="0013777D">
        <w:rPr>
          <w:rFonts w:ascii="Arial" w:eastAsia="Calibri" w:hAnsi="Arial" w:cs="Arial"/>
          <w:color w:val="00435B"/>
          <w:sz w:val="20"/>
          <w:szCs w:val="20"/>
        </w:rPr>
        <w:t>T</w:t>
      </w:r>
      <w:r w:rsidRPr="0013777D">
        <w:rPr>
          <w:rFonts w:ascii="Arial" w:eastAsia="Calibri" w:hAnsi="Arial" w:cs="Arial"/>
          <w:color w:val="00435B"/>
          <w:sz w:val="20"/>
          <w:szCs w:val="20"/>
          <w:vertAlign w:val="subscript"/>
        </w:rPr>
        <w:t xml:space="preserve"> </w:t>
      </w:r>
      <w:bookmarkEnd w:id="4"/>
      <w:r w:rsidRPr="0013777D">
        <w:rPr>
          <w:rFonts w:ascii="Arial" w:eastAsia="Calibri" w:hAnsi="Arial" w:cs="Arial"/>
          <w:color w:val="00435B"/>
          <w:sz w:val="20"/>
          <w:szCs w:val="20"/>
        </w:rPr>
        <w:t>balai apskaičiuojami šio kriterijaus įvertinimą (</w:t>
      </w:r>
      <w:proofErr w:type="spellStart"/>
      <w:r w:rsidRPr="0013777D">
        <w:rPr>
          <w:rFonts w:ascii="Arial" w:eastAsia="Calibri" w:hAnsi="Arial" w:cs="Arial"/>
          <w:color w:val="00435B"/>
          <w:sz w:val="20"/>
          <w:szCs w:val="20"/>
        </w:rPr>
        <w:t>P</w:t>
      </w:r>
      <w:r w:rsidRPr="0013777D">
        <w:rPr>
          <w:rFonts w:ascii="Arial" w:eastAsia="Calibri" w:hAnsi="Arial" w:cs="Arial"/>
          <w:color w:val="00435B"/>
          <w:sz w:val="20"/>
          <w:szCs w:val="20"/>
          <w:vertAlign w:val="subscript"/>
        </w:rPr>
        <w:t>j</w:t>
      </w:r>
      <w:proofErr w:type="spellEnd"/>
      <w:r w:rsidRPr="0013777D">
        <w:rPr>
          <w:rFonts w:ascii="Arial" w:eastAsia="Calibri" w:hAnsi="Arial" w:cs="Arial"/>
          <w:color w:val="00435B"/>
          <w:sz w:val="20"/>
          <w:szCs w:val="20"/>
        </w:rPr>
        <w:t>) padauginant iš vertinamo kriterijaus lyginamojo svorio (Y):</w:t>
      </w:r>
    </w:p>
    <w:p w14:paraId="7470186C"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B65D4DC" w14:textId="49939530" w:rsidR="001E1F4D" w:rsidRPr="001E1F4D" w:rsidRDefault="00932805" w:rsidP="001E1F4D">
      <w:pPr>
        <w:tabs>
          <w:tab w:val="left" w:pos="426"/>
          <w:tab w:val="left" w:pos="709"/>
        </w:tabs>
        <w:spacing w:line="240" w:lineRule="auto"/>
        <w:ind w:left="567"/>
        <w:contextualSpacing/>
        <w:jc w:val="center"/>
        <w:rPr>
          <w:rFonts w:ascii="Arial" w:eastAsia="Calibri" w:hAnsi="Arial" w:cs="Arial"/>
          <w:bCs/>
          <w:color w:val="00435B"/>
        </w:rPr>
      </w:pPr>
      <m:oMath>
        <m:sSub>
          <m:sSubPr>
            <m:ctrlPr>
              <w:rPr>
                <w:rFonts w:ascii="Cambria Math" w:eastAsia="Calibri" w:hAnsi="Cambria Math" w:cs="Arial"/>
                <w:i/>
                <w:color w:val="00435B"/>
              </w:rPr>
            </m:ctrlPr>
          </m:sSubPr>
          <m:e>
            <m:r>
              <w:rPr>
                <w:rFonts w:ascii="Cambria Math" w:eastAsia="Calibri" w:hAnsi="Cambria Math" w:cs="Arial"/>
                <w:color w:val="00435B"/>
              </w:rPr>
              <m:t>T</m:t>
            </m:r>
          </m:e>
          <m:sub/>
        </m:sSub>
        <m:r>
          <w:rPr>
            <w:rFonts w:ascii="Cambria Math" w:eastAsia="Calibri" w:hAnsi="Cambria Math" w:cs="Arial"/>
            <w:color w:val="00435B"/>
          </w:rPr>
          <m:t>=</m:t>
        </m:r>
        <m:d>
          <m:dPr>
            <m:ctrlPr>
              <w:rPr>
                <w:rFonts w:ascii="Cambria Math" w:eastAsia="Calibri" w:hAnsi="Cambria Math" w:cs="Arial"/>
                <w:bCs/>
                <w:i/>
                <w:color w:val="00435B"/>
              </w:rPr>
            </m:ctrlPr>
          </m:dPr>
          <m:e>
            <m:nary>
              <m:naryPr>
                <m:chr m:val="∑"/>
                <m:supHide m:val="1"/>
                <m:ctrlPr>
                  <w:rPr>
                    <w:rFonts w:ascii="Cambria Math" w:eastAsia="Calibri" w:hAnsi="Cambria Math" w:cs="Arial"/>
                    <w:bCs/>
                    <w:i/>
                    <w:color w:val="00435B"/>
                  </w:rPr>
                </m:ctrlPr>
              </m:naryPr>
              <m:sub/>
              <m:sup/>
              <m:e>
                <m:sSub>
                  <m:sSubPr>
                    <m:ctrlPr>
                      <w:rPr>
                        <w:rFonts w:ascii="Cambria Math" w:eastAsia="Calibri" w:hAnsi="Cambria Math" w:cs="Arial"/>
                        <w:bCs/>
                        <w:i/>
                        <w:color w:val="00435B"/>
                      </w:rPr>
                    </m:ctrlPr>
                  </m:sSubPr>
                  <m:e>
                    <m:r>
                      <w:rPr>
                        <w:rFonts w:ascii="Cambria Math" w:eastAsia="Calibri" w:hAnsi="Cambria Math" w:cs="Arial"/>
                        <w:color w:val="00435B"/>
                      </w:rPr>
                      <m:t>P</m:t>
                    </m:r>
                  </m:e>
                  <m:sub>
                    <m:r>
                      <w:rPr>
                        <w:rFonts w:ascii="Cambria Math" w:eastAsia="Calibri" w:hAnsi="Cambria Math" w:cs="Arial"/>
                        <w:color w:val="00435B"/>
                      </w:rPr>
                      <m:t>ip</m:t>
                    </m:r>
                  </m:sub>
                </m:sSub>
              </m:e>
            </m:nary>
          </m:e>
        </m:d>
        <m:r>
          <w:rPr>
            <w:rFonts w:ascii="Cambria Math" w:eastAsia="Times New Roman" w:hAnsi="Cambria Math" w:cs="Arial"/>
            <w:color w:val="00435B"/>
            <w:sz w:val="20"/>
            <w:szCs w:val="20"/>
            <w:lang w:val="en-GB"/>
          </w:rPr>
          <m:t>×</m:t>
        </m:r>
        <m:sSub>
          <m:sSubPr>
            <m:ctrlPr>
              <w:rPr>
                <w:rFonts w:ascii="Cambria Math" w:eastAsia="Calibri" w:hAnsi="Cambria Math" w:cs="Arial"/>
                <w:bCs/>
                <w:i/>
                <w:color w:val="00435B"/>
              </w:rPr>
            </m:ctrlPr>
          </m:sSubPr>
          <m:e>
            <m:r>
              <w:rPr>
                <w:rFonts w:ascii="Cambria Math" w:eastAsia="Calibri" w:hAnsi="Cambria Math" w:cs="Arial"/>
                <w:color w:val="00435B"/>
              </w:rPr>
              <m:t>Y</m:t>
            </m:r>
          </m:e>
          <m:sub/>
        </m:sSub>
        <m:r>
          <w:rPr>
            <w:rFonts w:ascii="Cambria Math" w:eastAsia="Calibri" w:hAnsi="Cambria Math" w:cs="Arial"/>
            <w:color w:val="00435B"/>
          </w:rPr>
          <m:t xml:space="preserve"> </m:t>
        </m:r>
      </m:oMath>
      <w:r w:rsidR="001E1F4D" w:rsidRPr="001E1F4D">
        <w:rPr>
          <w:rFonts w:ascii="Arial" w:eastAsia="Calibri" w:hAnsi="Arial" w:cs="Arial"/>
          <w:bCs/>
          <w:color w:val="00435B"/>
        </w:rPr>
        <w:t>;</w:t>
      </w:r>
    </w:p>
    <w:p w14:paraId="5CA3A581"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D113ECD" w14:textId="7328A7A1" w:rsidR="001E1F4D" w:rsidRPr="0013777D" w:rsidRDefault="001E1F4D" w:rsidP="0013777D">
      <w:pPr>
        <w:pStyle w:val="ListParagraph"/>
        <w:numPr>
          <w:ilvl w:val="0"/>
          <w:numId w:val="21"/>
        </w:numPr>
        <w:tabs>
          <w:tab w:val="left" w:pos="567"/>
          <w:tab w:val="left" w:pos="851"/>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parametro </w:t>
      </w:r>
      <w:bookmarkStart w:id="5" w:name="_Hlk535494434"/>
      <w:r w:rsidRPr="0013777D">
        <w:rPr>
          <w:rFonts w:ascii="Arial" w:eastAsia="Calibri" w:hAnsi="Arial" w:cs="Arial"/>
          <w:color w:val="00435B"/>
          <w:sz w:val="20"/>
          <w:szCs w:val="20"/>
        </w:rPr>
        <w:t>įvertinimas (</w:t>
      </w:r>
      <w:proofErr w:type="spellStart"/>
      <w:r w:rsidRPr="0013777D">
        <w:rPr>
          <w:rFonts w:ascii="Arial" w:eastAsia="Calibri" w:hAnsi="Arial" w:cs="Arial"/>
          <w:color w:val="00435B"/>
          <w:sz w:val="20"/>
          <w:szCs w:val="20"/>
        </w:rPr>
        <w:t>P</w:t>
      </w:r>
      <w:r w:rsidR="00753522">
        <w:rPr>
          <w:rFonts w:ascii="Arial" w:eastAsia="Calibri" w:hAnsi="Arial" w:cs="Arial"/>
          <w:color w:val="00435B"/>
          <w:sz w:val="20"/>
          <w:szCs w:val="20"/>
          <w:vertAlign w:val="subscript"/>
        </w:rPr>
        <w:t>i</w:t>
      </w:r>
      <w:r w:rsidR="00482126">
        <w:rPr>
          <w:rFonts w:ascii="Arial" w:eastAsia="Calibri" w:hAnsi="Arial" w:cs="Arial"/>
          <w:color w:val="00435B"/>
          <w:sz w:val="20"/>
          <w:szCs w:val="20"/>
          <w:vertAlign w:val="subscript"/>
        </w:rPr>
        <w:t>p</w:t>
      </w:r>
      <w:proofErr w:type="spellEnd"/>
      <w:r w:rsidRPr="0013777D">
        <w:rPr>
          <w:rFonts w:ascii="Arial" w:eastAsia="Calibri" w:hAnsi="Arial" w:cs="Arial"/>
          <w:color w:val="00435B"/>
          <w:sz w:val="20"/>
          <w:szCs w:val="20"/>
        </w:rPr>
        <w:t>) apskaičiuojamas parametro reikšmę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vertAlign w:val="subscript"/>
        </w:rPr>
        <w:t>p</w:t>
      </w:r>
      <w:proofErr w:type="spellEnd"/>
      <w:r w:rsidRPr="0013777D">
        <w:rPr>
          <w:rFonts w:ascii="Arial" w:eastAsia="Calibri" w:hAnsi="Arial" w:cs="Arial"/>
          <w:color w:val="00435B"/>
          <w:sz w:val="20"/>
          <w:szCs w:val="20"/>
        </w:rPr>
        <w:t>) palyginant su geriausiai įvertinta to paties parametro reikšme (</w:t>
      </w:r>
      <w:proofErr w:type="spellStart"/>
      <w:r w:rsidRPr="0013777D">
        <w:rPr>
          <w:rFonts w:ascii="Arial" w:eastAsia="Calibri" w:hAnsi="Arial" w:cs="Arial"/>
          <w:color w:val="00435B"/>
          <w:sz w:val="20"/>
          <w:szCs w:val="20"/>
        </w:rPr>
        <w:t>R</w:t>
      </w:r>
      <w:r w:rsidR="00753522" w:rsidRP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vertAlign w:val="subscript"/>
        </w:rPr>
        <w:t>max</w:t>
      </w:r>
      <w:proofErr w:type="spellEnd"/>
      <w:r w:rsidRPr="0013777D">
        <w:rPr>
          <w:rFonts w:ascii="Arial" w:eastAsia="Calibri" w:hAnsi="Arial" w:cs="Arial"/>
          <w:color w:val="00435B"/>
          <w:sz w:val="20"/>
          <w:szCs w:val="20"/>
        </w:rPr>
        <w:t>) ir padauginant iš kriterijaus funkcinio parametro lyginamojo svorio (</w:t>
      </w:r>
      <w:proofErr w:type="spellStart"/>
      <w:r w:rsidRPr="0013777D">
        <w:rPr>
          <w:rFonts w:ascii="Arial" w:eastAsia="Calibri" w:hAnsi="Arial" w:cs="Arial"/>
          <w:color w:val="00435B"/>
          <w:sz w:val="20"/>
          <w:szCs w:val="20"/>
        </w:rPr>
        <w:t>L</w:t>
      </w:r>
      <w:r w:rsidR="00753522">
        <w:rPr>
          <w:rFonts w:ascii="Arial" w:eastAsia="Calibri" w:hAnsi="Arial" w:cs="Arial"/>
          <w:color w:val="00435B"/>
          <w:sz w:val="20"/>
          <w:szCs w:val="20"/>
          <w:vertAlign w:val="subscript"/>
        </w:rPr>
        <w:t>i</w:t>
      </w:r>
      <w:proofErr w:type="spellEnd"/>
      <w:r w:rsidRPr="0013777D">
        <w:rPr>
          <w:rFonts w:ascii="Arial" w:eastAsia="Calibri" w:hAnsi="Arial" w:cs="Arial"/>
          <w:color w:val="00435B"/>
          <w:sz w:val="20"/>
          <w:szCs w:val="20"/>
        </w:rPr>
        <w:t>)</w:t>
      </w:r>
      <w:bookmarkEnd w:id="5"/>
      <w:r w:rsidRPr="0013777D">
        <w:rPr>
          <w:rFonts w:ascii="Arial" w:eastAsia="Calibri" w:hAnsi="Arial" w:cs="Arial"/>
          <w:color w:val="00435B"/>
          <w:sz w:val="20"/>
          <w:szCs w:val="20"/>
        </w:rPr>
        <w:t>:</w:t>
      </w:r>
    </w:p>
    <w:p w14:paraId="69A2F864" w14:textId="77777777" w:rsidR="001E1F4D" w:rsidRPr="001E1F4D" w:rsidRDefault="001E1F4D" w:rsidP="001E1F4D">
      <w:pPr>
        <w:tabs>
          <w:tab w:val="left" w:pos="567"/>
          <w:tab w:val="left" w:pos="709"/>
        </w:tabs>
        <w:spacing w:line="240" w:lineRule="auto"/>
        <w:contextualSpacing/>
        <w:jc w:val="both"/>
        <w:rPr>
          <w:rFonts w:ascii="Arial" w:eastAsia="Calibri" w:hAnsi="Arial" w:cs="Arial"/>
          <w:color w:val="00435B"/>
        </w:rPr>
      </w:pPr>
    </w:p>
    <w:bookmarkStart w:id="6" w:name="_Hlk535494810"/>
    <w:p w14:paraId="2C1FFDD4" w14:textId="431115DE" w:rsidR="001E1F4D" w:rsidRPr="001E1F4D" w:rsidRDefault="00932805" w:rsidP="001E1F4D">
      <w:pPr>
        <w:tabs>
          <w:tab w:val="left" w:pos="567"/>
          <w:tab w:val="left" w:pos="709"/>
        </w:tabs>
        <w:spacing w:line="240" w:lineRule="auto"/>
        <w:ind w:left="567"/>
        <w:contextualSpacing/>
        <w:jc w:val="both"/>
        <w:rPr>
          <w:rFonts w:ascii="Arial" w:eastAsia="Calibri" w:hAnsi="Arial" w:cs="Arial"/>
          <w:color w:val="00435B"/>
        </w:rPr>
      </w:pPr>
      <m:oMathPara>
        <m:oMathParaPr>
          <m:jc m:val="center"/>
        </m:oMathParaPr>
        <m:oMath>
          <m:sSub>
            <m:sSubPr>
              <m:ctrlPr>
                <w:rPr>
                  <w:rFonts w:ascii="Cambria Math" w:eastAsia="Calibri" w:hAnsi="Cambria Math" w:cs="Arial"/>
                  <w:i/>
                  <w:color w:val="00435B"/>
                </w:rPr>
              </m:ctrlPr>
            </m:sSubPr>
            <m:e>
              <m:r>
                <w:rPr>
                  <w:rFonts w:ascii="Cambria Math" w:eastAsia="Calibri" w:hAnsi="Cambria Math" w:cs="Arial"/>
                  <w:color w:val="00435B"/>
                </w:rPr>
                <m:t>P</m:t>
              </m:r>
            </m:e>
            <m:sub>
              <m:r>
                <w:rPr>
                  <w:rFonts w:ascii="Cambria Math" w:eastAsia="Calibri" w:hAnsi="Cambria Math" w:cs="Arial"/>
                  <w:color w:val="00435B"/>
                </w:rPr>
                <m:t>i</m:t>
              </m:r>
            </m:sub>
          </m:sSub>
          <m:r>
            <w:rPr>
              <w:rFonts w:ascii="Cambria Math" w:eastAsia="Calibri" w:hAnsi="Cambria Math" w:cs="Arial"/>
              <w:color w:val="00435B"/>
            </w:rPr>
            <m:t>=</m:t>
          </m:r>
          <m:f>
            <m:fPr>
              <m:ctrlPr>
                <w:rPr>
                  <w:rFonts w:ascii="Cambria Math" w:eastAsia="Calibri" w:hAnsi="Cambria Math" w:cs="Arial"/>
                  <w:i/>
                  <w:color w:val="00435B"/>
                </w:rPr>
              </m:ctrlPr>
            </m:fPr>
            <m:num>
              <m:sSub>
                <m:sSubPr>
                  <m:ctrlPr>
                    <w:rPr>
                      <w:rFonts w:ascii="Cambria Math" w:eastAsia="Calibri" w:hAnsi="Cambria Math" w:cs="Arial"/>
                      <w:i/>
                      <w:color w:val="00435B"/>
                    </w:rPr>
                  </m:ctrlPr>
                </m:sSubPr>
                <m:e>
                  <m:r>
                    <w:rPr>
                      <w:rFonts w:ascii="Cambria Math" w:eastAsia="Calibri" w:hAnsi="Cambria Math" w:cs="Arial"/>
                      <w:color w:val="00435B"/>
                    </w:rPr>
                    <m:t>R</m:t>
                  </m:r>
                </m:e>
                <m:sub>
                  <m:r>
                    <w:rPr>
                      <w:rFonts w:ascii="Cambria Math" w:eastAsia="Calibri" w:hAnsi="Cambria Math" w:cs="Arial"/>
                      <w:color w:val="00435B"/>
                    </w:rPr>
                    <m:t>ip</m:t>
                  </m:r>
                </m:sub>
              </m:sSub>
            </m:num>
            <m:den>
              <m:sSub>
                <m:sSubPr>
                  <m:ctrlPr>
                    <w:rPr>
                      <w:rFonts w:ascii="Cambria Math" w:eastAsia="Calibri" w:hAnsi="Cambria Math" w:cs="Arial"/>
                      <w:i/>
                      <w:color w:val="00435B"/>
                    </w:rPr>
                  </m:ctrlPr>
                </m:sSubPr>
                <m:e>
                  <m:r>
                    <w:rPr>
                      <w:rFonts w:ascii="Cambria Math" w:eastAsia="Calibri" w:hAnsi="Cambria Math" w:cs="Arial"/>
                      <w:color w:val="00435B"/>
                    </w:rPr>
                    <m:t>R</m:t>
                  </m:r>
                </m:e>
                <m:sub>
                  <m:r>
                    <m:rPr>
                      <m:nor/>
                    </m:rPr>
                    <w:rPr>
                      <w:rFonts w:ascii="Cambria Math" w:eastAsia="Calibri" w:hAnsi="Arial" w:cs="Arial"/>
                      <w:color w:val="00435B"/>
                    </w:rPr>
                    <m:t xml:space="preserve"> </m:t>
                  </m:r>
                  <m:r>
                    <w:rPr>
                      <w:rFonts w:ascii="Cambria Math" w:eastAsia="Calibri" w:hAnsi="Cambria Math" w:cs="Arial"/>
                      <w:color w:val="00435B"/>
                    </w:rPr>
                    <m:t>i</m:t>
                  </m:r>
                  <m:r>
                    <m:rPr>
                      <m:nor/>
                    </m:rPr>
                    <w:rPr>
                      <w:rFonts w:ascii="Arial" w:eastAsia="Calibri" w:hAnsi="Arial" w:cs="Arial"/>
                      <w:color w:val="00435B"/>
                    </w:rPr>
                    <m:t>max</m:t>
                  </m:r>
                  <m:ctrlPr>
                    <w:rPr>
                      <w:rFonts w:ascii="Cambria Math" w:eastAsia="Calibri" w:hAnsi="Cambria Math" w:cs="Arial"/>
                      <w:color w:val="00435B"/>
                    </w:rPr>
                  </m:ctrlPr>
                </m:sub>
              </m:sSub>
            </m:den>
          </m:f>
          <m:r>
            <w:rPr>
              <w:rFonts w:ascii="Cambria Math" w:eastAsia="Calibri" w:hAnsi="Cambria Math" w:cs="Arial"/>
              <w:color w:val="00435B"/>
            </w:rPr>
            <m:t>⋅</m:t>
          </m:r>
          <m:sSub>
            <m:sSubPr>
              <m:ctrlPr>
                <w:rPr>
                  <w:rFonts w:ascii="Cambria Math" w:eastAsia="Calibri" w:hAnsi="Cambria Math" w:cs="Arial"/>
                  <w:i/>
                  <w:color w:val="00435B"/>
                </w:rPr>
              </m:ctrlPr>
            </m:sSubPr>
            <m:e>
              <m:r>
                <w:rPr>
                  <w:rFonts w:ascii="Cambria Math" w:eastAsia="Calibri" w:hAnsi="Cambria Math" w:cs="Arial"/>
                  <w:color w:val="00435B"/>
                </w:rPr>
                <m:t>L</m:t>
              </m:r>
            </m:e>
            <m:sub>
              <m:r>
                <w:rPr>
                  <w:rFonts w:ascii="Cambria Math" w:eastAsia="Calibri" w:hAnsi="Cambria Math" w:cs="Arial"/>
                  <w:color w:val="00435B"/>
                </w:rPr>
                <m:t>i</m:t>
              </m:r>
            </m:sub>
          </m:sSub>
        </m:oMath>
      </m:oMathPara>
      <w:bookmarkEnd w:id="6"/>
    </w:p>
    <w:p w14:paraId="62597E43" w14:textId="77777777" w:rsidR="001E1F4D" w:rsidRPr="001E1F4D" w:rsidRDefault="001E1F4D" w:rsidP="001E1F4D">
      <w:pPr>
        <w:tabs>
          <w:tab w:val="left" w:pos="709"/>
        </w:tabs>
        <w:spacing w:line="240" w:lineRule="auto"/>
        <w:ind w:firstLine="567"/>
        <w:contextualSpacing/>
        <w:jc w:val="both"/>
        <w:rPr>
          <w:rFonts w:ascii="Arial" w:eastAsia="Calibri" w:hAnsi="Arial" w:cs="Arial"/>
          <w:color w:val="00435B"/>
        </w:rPr>
      </w:pPr>
    </w:p>
    <w:p w14:paraId="1E4DBEC9" w14:textId="77777777"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i p</w:t>
      </w:r>
      <w:r w:rsidRPr="001E1F4D">
        <w:rPr>
          <w:rFonts w:ascii="Arial" w:eastAsia="Calibri" w:hAnsi="Arial" w:cs="Arial"/>
          <w:color w:val="00435B"/>
          <w:sz w:val="20"/>
          <w:szCs w:val="20"/>
        </w:rPr>
        <w:t xml:space="preserve"> – vertinamo parametro reikšmė, kurią sudaro vertinimo metu i parametrui suteiktų balų skaičius;</w:t>
      </w:r>
    </w:p>
    <w:p w14:paraId="279CF4D2" w14:textId="77777777"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w:t>
      </w:r>
      <w:proofErr w:type="spellStart"/>
      <w:r w:rsidRPr="001E1F4D">
        <w:rPr>
          <w:rFonts w:ascii="Arial" w:eastAsia="Calibri" w:hAnsi="Arial" w:cs="Arial"/>
          <w:color w:val="00435B"/>
          <w:sz w:val="20"/>
          <w:szCs w:val="20"/>
          <w:vertAlign w:val="subscript"/>
        </w:rPr>
        <w:t>max</w:t>
      </w:r>
      <w:proofErr w:type="spellEnd"/>
      <w:r w:rsidRPr="001E1F4D">
        <w:rPr>
          <w:rFonts w:ascii="Arial" w:eastAsia="Calibri" w:hAnsi="Arial" w:cs="Arial"/>
          <w:color w:val="00435B"/>
          <w:sz w:val="20"/>
          <w:szCs w:val="20"/>
          <w:vertAlign w:val="subscript"/>
        </w:rPr>
        <w:t xml:space="preserve"> </w:t>
      </w:r>
      <w:r w:rsidRPr="001E1F4D">
        <w:rPr>
          <w:rFonts w:ascii="Arial" w:eastAsia="Calibri" w:hAnsi="Arial" w:cs="Arial"/>
          <w:color w:val="00435B"/>
          <w:sz w:val="20"/>
          <w:szCs w:val="20"/>
        </w:rPr>
        <w:t>– maksimalus galimas balų skaičius i parametrui;</w:t>
      </w:r>
    </w:p>
    <w:p w14:paraId="4B68E0EC" w14:textId="37D630C0" w:rsidR="001E1F4D" w:rsidRDefault="00753522"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i</w:t>
      </w:r>
      <w:r w:rsidR="001E1F4D" w:rsidRPr="001E1F4D">
        <w:rPr>
          <w:rFonts w:ascii="Arial" w:eastAsia="Calibri" w:hAnsi="Arial" w:cs="Arial"/>
          <w:color w:val="00435B"/>
          <w:sz w:val="20"/>
          <w:szCs w:val="20"/>
        </w:rPr>
        <w:t xml:space="preserve"> – kriterijaus parametro eilės numeris</w:t>
      </w:r>
      <w:r w:rsidR="00482126">
        <w:rPr>
          <w:rFonts w:ascii="Arial" w:eastAsia="Calibri" w:hAnsi="Arial" w:cs="Arial"/>
          <w:color w:val="00435B"/>
          <w:sz w:val="20"/>
          <w:szCs w:val="20"/>
        </w:rPr>
        <w:t>;</w:t>
      </w:r>
    </w:p>
    <w:p w14:paraId="6E63F1F1" w14:textId="3EE4701E" w:rsidR="00482126" w:rsidRPr="001E1F4D" w:rsidRDefault="00482126"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p – pirkimo dalyvio pasiūlymui suteiktas numeris.</w:t>
      </w:r>
    </w:p>
    <w:p w14:paraId="1189A643" w14:textId="77777777" w:rsidR="001E1F4D" w:rsidRPr="001E1F4D" w:rsidRDefault="001E1F4D" w:rsidP="001E1F4D">
      <w:pPr>
        <w:tabs>
          <w:tab w:val="left" w:pos="709"/>
          <w:tab w:val="left" w:pos="1080"/>
        </w:tabs>
        <w:spacing w:line="240" w:lineRule="auto"/>
        <w:ind w:left="567"/>
        <w:contextualSpacing/>
        <w:jc w:val="both"/>
        <w:rPr>
          <w:rFonts w:ascii="Arial" w:eastAsia="Calibri" w:hAnsi="Arial" w:cs="Arial"/>
          <w:color w:val="00435B"/>
          <w:sz w:val="20"/>
          <w:szCs w:val="20"/>
        </w:rPr>
      </w:pPr>
    </w:p>
    <w:p w14:paraId="43696852" w14:textId="3D6FB432" w:rsidR="00DF57DA" w:rsidRPr="00B23F26" w:rsidRDefault="001E1F4D" w:rsidP="00B23F26">
      <w:pPr>
        <w:pStyle w:val="ListParagraph"/>
        <w:numPr>
          <w:ilvl w:val="0"/>
          <w:numId w:val="21"/>
        </w:numPr>
        <w:tabs>
          <w:tab w:val="left" w:pos="567"/>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Pasiūlymų eilė sudaroma ekonominio naudingumo balų mažėjimo tvarka. Tais atvejais, kai kelių tiekėjų pasiūlymų ekonominio naudingumo balai yra vienodi, sudarant pasiūlymų eilę, pirmesnis į šią eilę įrašomas tiekėjas, kurio pasiūlymas pateiktas anksčiau</w:t>
      </w:r>
      <w:r w:rsidR="00B23F26">
        <w:rPr>
          <w:rFonts w:ascii="Arial" w:eastAsia="Calibri" w:hAnsi="Arial" w:cs="Arial"/>
          <w:color w:val="00435B"/>
          <w:sz w:val="20"/>
          <w:szCs w:val="20"/>
        </w:rPr>
        <w:t>.</w:t>
      </w:r>
    </w:p>
    <w:p w14:paraId="370A891D" w14:textId="4BF9222A" w:rsidR="0013777D" w:rsidRPr="0013777D" w:rsidRDefault="0013777D" w:rsidP="0013777D">
      <w:pPr>
        <w:tabs>
          <w:tab w:val="left" w:pos="567"/>
        </w:tabs>
        <w:spacing w:line="240" w:lineRule="auto"/>
        <w:ind w:left="360"/>
        <w:jc w:val="center"/>
        <w:rPr>
          <w:rFonts w:ascii="Arial" w:eastAsia="Calibri" w:hAnsi="Arial" w:cs="Arial"/>
          <w:color w:val="00435B"/>
          <w:sz w:val="20"/>
          <w:szCs w:val="20"/>
        </w:rPr>
      </w:pPr>
      <w:r>
        <w:rPr>
          <w:rFonts w:ascii="Arial" w:eastAsia="Calibri" w:hAnsi="Arial" w:cs="Arial"/>
          <w:color w:val="00435B"/>
          <w:sz w:val="20"/>
          <w:szCs w:val="20"/>
        </w:rPr>
        <w:t>___________</w:t>
      </w:r>
      <w:r w:rsidRPr="0013777D">
        <w:rPr>
          <w:rFonts w:ascii="Arial" w:eastAsia="Calibri" w:hAnsi="Arial" w:cs="Arial"/>
          <w:color w:val="00435B"/>
          <w:sz w:val="20"/>
          <w:szCs w:val="20"/>
        </w:rPr>
        <w:t>_</w:t>
      </w:r>
    </w:p>
    <w:p w14:paraId="1FE0DC6A" w14:textId="75EA831A" w:rsidR="002B4706" w:rsidRPr="00F659FD" w:rsidRDefault="002B4706" w:rsidP="001E1F4D">
      <w:pPr>
        <w:pStyle w:val="ListParagraph"/>
        <w:tabs>
          <w:tab w:val="left" w:pos="0"/>
        </w:tabs>
        <w:spacing w:after="0" w:line="240" w:lineRule="auto"/>
        <w:ind w:left="567"/>
        <w:jc w:val="both"/>
        <w:rPr>
          <w:color w:val="00435B"/>
        </w:rPr>
      </w:pPr>
    </w:p>
    <w:sectPr w:rsidR="002B4706" w:rsidRPr="00F659FD" w:rsidSect="007D1F77">
      <w:headerReference w:type="default" r:id="rId11"/>
      <w:pgSz w:w="11906" w:h="16838"/>
      <w:pgMar w:top="1134"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21B9" w14:textId="77777777" w:rsidR="007D1F77" w:rsidRDefault="007D1F77" w:rsidP="00DD3A79">
      <w:pPr>
        <w:spacing w:line="240" w:lineRule="auto"/>
      </w:pPr>
      <w:r>
        <w:separator/>
      </w:r>
    </w:p>
  </w:endnote>
  <w:endnote w:type="continuationSeparator" w:id="0">
    <w:p w14:paraId="48A574DE" w14:textId="77777777" w:rsidR="007D1F77" w:rsidRDefault="007D1F77"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DA13" w14:textId="77777777" w:rsidR="007D1F77" w:rsidRDefault="007D1F77" w:rsidP="00DD3A79">
      <w:pPr>
        <w:spacing w:line="240" w:lineRule="auto"/>
      </w:pPr>
      <w:r>
        <w:separator/>
      </w:r>
    </w:p>
  </w:footnote>
  <w:footnote w:type="continuationSeparator" w:id="0">
    <w:p w14:paraId="1D7E4B4D" w14:textId="77777777" w:rsidR="007D1F77" w:rsidRDefault="007D1F77" w:rsidP="00DD3A79">
      <w:pPr>
        <w:spacing w:line="240" w:lineRule="auto"/>
      </w:pPr>
      <w:r>
        <w:continuationSeparator/>
      </w:r>
    </w:p>
  </w:footnote>
  <w:footnote w:id="1">
    <w:p w14:paraId="72F67117" w14:textId="77777777" w:rsidR="00817DC9" w:rsidRDefault="00817DC9" w:rsidP="00817DC9">
      <w:pPr>
        <w:pStyle w:val="FootnoteText"/>
        <w:rPr>
          <w:rFonts w:ascii="Arial" w:hAnsi="Arial" w:cs="Arial"/>
        </w:rPr>
      </w:pPr>
      <w:r>
        <w:rPr>
          <w:rFonts w:ascii="Arial" w:hAnsi="Arial" w:cs="Arial"/>
          <w:color w:val="44546A" w:themeColor="text2"/>
          <w:vertAlign w:val="superscript"/>
        </w:rPr>
        <w:footnoteRef/>
      </w:r>
      <w:r>
        <w:rPr>
          <w:rFonts w:ascii="Arial" w:hAnsi="Arial" w:cs="Arial"/>
          <w:color w:val="00435B"/>
          <w:sz w:val="18"/>
          <w:szCs w:val="18"/>
        </w:rPr>
        <w:t xml:space="preserve"> Žr. Žaliųjų finansų instituto interneto svetainės skiltį Reguliavimas: </w:t>
      </w:r>
      <w:hyperlink r:id="rId1" w:history="1">
        <w:r>
          <w:rPr>
            <w:rStyle w:val="Hyperlink"/>
            <w:rFonts w:ascii="Arial" w:hAnsi="Arial" w:cs="Arial"/>
            <w:sz w:val="18"/>
            <w:szCs w:val="18"/>
          </w:rPr>
          <w:t>https://ilte.lt/apie-mus/zaliuju-finansu-institutas/reguliavimas-susijes-su-zaliaisiais-finansais/364#c-70</w:t>
        </w:r>
      </w:hyperlink>
    </w:p>
  </w:footnote>
  <w:footnote w:id="2">
    <w:p w14:paraId="4ECB42C3" w14:textId="77777777" w:rsidR="00E66A1D" w:rsidRDefault="00E66A1D" w:rsidP="00E66A1D">
      <w:pPr>
        <w:pStyle w:val="FootnoteText"/>
        <w:rPr>
          <w:rFonts w:ascii="Arial" w:hAnsi="Arial" w:cs="Arial"/>
        </w:rPr>
      </w:pPr>
      <w:r>
        <w:rPr>
          <w:rFonts w:ascii="Arial" w:hAnsi="Arial" w:cs="Arial"/>
          <w:color w:val="44546A" w:themeColor="text2"/>
          <w:vertAlign w:val="superscript"/>
        </w:rPr>
        <w:footnoteRef/>
      </w:r>
      <w:r>
        <w:rPr>
          <w:rFonts w:ascii="Arial" w:hAnsi="Arial" w:cs="Arial"/>
          <w:color w:val="00435B"/>
          <w:sz w:val="18"/>
          <w:szCs w:val="18"/>
        </w:rPr>
        <w:t xml:space="preserve"> Žr. Žaliųjų finansų instituto interneto svetainės skiltį Reguliavimas: </w:t>
      </w:r>
      <w:hyperlink r:id="rId2" w:history="1">
        <w:r>
          <w:rPr>
            <w:rStyle w:val="Hyperlink"/>
            <w:rFonts w:ascii="Arial" w:hAnsi="Arial" w:cs="Arial"/>
            <w:sz w:val="18"/>
            <w:szCs w:val="18"/>
          </w:rPr>
          <w:t>https://ilte.lt/apie-mus/zaliuju-finansu-institutas/reguliavimas-susijes-su-zaliaisiais-finansais/364#c-70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E469" w14:textId="41B0C449" w:rsidR="00FB2544" w:rsidRPr="00F350AC" w:rsidRDefault="00FB2544" w:rsidP="00B76466">
    <w:pPr>
      <w:pStyle w:val="Header"/>
      <w:jc w:val="right"/>
      <w:rPr>
        <w:rFonts w:cs="Tahoma"/>
      </w:rPr>
    </w:pPr>
  </w:p>
  <w:p w14:paraId="7F3291FE" w14:textId="47D0E61E" w:rsidR="00FB2544" w:rsidRPr="00F350AC" w:rsidRDefault="00FB2544" w:rsidP="00C55BAE">
    <w:pPr>
      <w:pStyle w:val="Header"/>
      <w:jc w:val="cent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5EF"/>
    <w:multiLevelType w:val="multilevel"/>
    <w:tmpl w:val="4FCCA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354F88"/>
    <w:multiLevelType w:val="hybridMultilevel"/>
    <w:tmpl w:val="A4F60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483B"/>
    <w:multiLevelType w:val="hybridMultilevel"/>
    <w:tmpl w:val="97AAB86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E201B"/>
    <w:multiLevelType w:val="hybridMultilevel"/>
    <w:tmpl w:val="DA5235DA"/>
    <w:lvl w:ilvl="0" w:tplc="04270001">
      <w:start w:val="1"/>
      <w:numFmt w:val="bullet"/>
      <w:lvlText w:val=""/>
      <w:lvlJc w:val="left"/>
      <w:pPr>
        <w:ind w:left="437" w:hanging="360"/>
      </w:pPr>
      <w:rPr>
        <w:rFonts w:ascii="Symbol" w:hAnsi="Symbol"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4"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9F0BEE"/>
    <w:multiLevelType w:val="hybridMultilevel"/>
    <w:tmpl w:val="C6D0A2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912B4D"/>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570854"/>
    <w:multiLevelType w:val="hybridMultilevel"/>
    <w:tmpl w:val="1818DA40"/>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D94ED6"/>
    <w:multiLevelType w:val="hybridMultilevel"/>
    <w:tmpl w:val="D78EE0DC"/>
    <w:lvl w:ilvl="0" w:tplc="40C2BA26">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2C253114"/>
    <w:multiLevelType w:val="hybridMultilevel"/>
    <w:tmpl w:val="07300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AA06A6"/>
    <w:multiLevelType w:val="hybridMultilevel"/>
    <w:tmpl w:val="C4081128"/>
    <w:lvl w:ilvl="0" w:tplc="0427000F">
      <w:start w:val="12"/>
      <w:numFmt w:val="decimal"/>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22F578E"/>
    <w:multiLevelType w:val="hybridMultilevel"/>
    <w:tmpl w:val="5A0E262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156BA0"/>
    <w:multiLevelType w:val="multilevel"/>
    <w:tmpl w:val="E9203220"/>
    <w:lvl w:ilvl="0">
      <w:start w:val="1"/>
      <w:numFmt w:val="decimal"/>
      <w:lvlText w:val="%1."/>
      <w:lvlJc w:val="left"/>
      <w:pPr>
        <w:ind w:left="360" w:hanging="360"/>
      </w:pPr>
      <w:rPr>
        <w:rFonts w:ascii="Times New Roman" w:hAnsi="Times New Roman" w:cs="Times New Roman" w:hint="default"/>
        <w:b w:val="0"/>
        <w:i w:val="0"/>
        <w:iCs/>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CC4100"/>
    <w:multiLevelType w:val="hybridMultilevel"/>
    <w:tmpl w:val="C6C29F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6D7A44"/>
    <w:multiLevelType w:val="hybridMultilevel"/>
    <w:tmpl w:val="DC08D79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5" w15:restartNumberingAfterBreak="0">
    <w:nsid w:val="51AA3DF7"/>
    <w:multiLevelType w:val="hybridMultilevel"/>
    <w:tmpl w:val="2D3CD0CA"/>
    <w:lvl w:ilvl="0" w:tplc="703069DE">
      <w:start w:val="1"/>
      <w:numFmt w:val="decimal"/>
      <w:lvlText w:val="%1."/>
      <w:lvlJc w:val="left"/>
      <w:pPr>
        <w:ind w:left="1069" w:hanging="360"/>
      </w:pPr>
      <w:rPr>
        <w:rFonts w:ascii="Arial" w:eastAsia="Arial" w:hAnsi="Arial" w:cs="Arial" w:hint="default"/>
        <w:color w:val="00435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26D5ADC"/>
    <w:multiLevelType w:val="hybridMultilevel"/>
    <w:tmpl w:val="07300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CC51A9"/>
    <w:multiLevelType w:val="hybridMultilevel"/>
    <w:tmpl w:val="2E48DCBA"/>
    <w:lvl w:ilvl="0" w:tplc="C6962232">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8090054"/>
    <w:multiLevelType w:val="hybridMultilevel"/>
    <w:tmpl w:val="98741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2B30FBA"/>
    <w:multiLevelType w:val="hybridMultilevel"/>
    <w:tmpl w:val="02EEA24C"/>
    <w:lvl w:ilvl="0" w:tplc="237CABBE">
      <w:start w:val="4"/>
      <w:numFmt w:val="bullet"/>
      <w:lvlText w:val="-"/>
      <w:lvlJc w:val="left"/>
      <w:pPr>
        <w:ind w:left="720" w:hanging="360"/>
      </w:pPr>
      <w:rPr>
        <w:rFonts w:ascii="Brandon Grotesque Regular" w:eastAsiaTheme="minorHAnsi" w:hAnsi="Brandon Grotesque Regular" w:cs="Brandon Grotesque 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4343C7B"/>
    <w:multiLevelType w:val="hybridMultilevel"/>
    <w:tmpl w:val="D94CF78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556BF6"/>
    <w:multiLevelType w:val="hybridMultilevel"/>
    <w:tmpl w:val="5BFEAC74"/>
    <w:lvl w:ilvl="0" w:tplc="93A6B0D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F897628"/>
    <w:multiLevelType w:val="hybridMultilevel"/>
    <w:tmpl w:val="5040123A"/>
    <w:lvl w:ilvl="0" w:tplc="7B887408">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6855">
    <w:abstractNumId w:val="4"/>
  </w:num>
  <w:num w:numId="2" w16cid:durableId="1824656167">
    <w:abstractNumId w:val="0"/>
  </w:num>
  <w:num w:numId="3" w16cid:durableId="1194537974">
    <w:abstractNumId w:val="22"/>
  </w:num>
  <w:num w:numId="4" w16cid:durableId="1187403137">
    <w:abstractNumId w:val="14"/>
  </w:num>
  <w:num w:numId="5" w16cid:durableId="1329868580">
    <w:abstractNumId w:val="18"/>
  </w:num>
  <w:num w:numId="6" w16cid:durableId="1404523470">
    <w:abstractNumId w:val="2"/>
  </w:num>
  <w:num w:numId="7" w16cid:durableId="317732507">
    <w:abstractNumId w:val="3"/>
  </w:num>
  <w:num w:numId="8" w16cid:durableId="1005934937">
    <w:abstractNumId w:val="11"/>
  </w:num>
  <w:num w:numId="9" w16cid:durableId="305429865">
    <w:abstractNumId w:val="5"/>
  </w:num>
  <w:num w:numId="10" w16cid:durableId="113211611">
    <w:abstractNumId w:val="6"/>
  </w:num>
  <w:num w:numId="11" w16cid:durableId="5359730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45235">
    <w:abstractNumId w:val="21"/>
  </w:num>
  <w:num w:numId="13" w16cid:durableId="1657224413">
    <w:abstractNumId w:val="10"/>
  </w:num>
  <w:num w:numId="14" w16cid:durableId="1029603171">
    <w:abstractNumId w:val="1"/>
  </w:num>
  <w:num w:numId="15" w16cid:durableId="1072118986">
    <w:abstractNumId w:val="17"/>
  </w:num>
  <w:num w:numId="16" w16cid:durableId="1147740691">
    <w:abstractNumId w:val="19"/>
  </w:num>
  <w:num w:numId="17" w16cid:durableId="1580826518">
    <w:abstractNumId w:val="15"/>
  </w:num>
  <w:num w:numId="18" w16cid:durableId="813260569">
    <w:abstractNumId w:val="16"/>
  </w:num>
  <w:num w:numId="19" w16cid:durableId="7291349">
    <w:abstractNumId w:val="9"/>
  </w:num>
  <w:num w:numId="20" w16cid:durableId="567497492">
    <w:abstractNumId w:val="20"/>
  </w:num>
  <w:num w:numId="21" w16cid:durableId="496650274">
    <w:abstractNumId w:val="7"/>
  </w:num>
  <w:num w:numId="22" w16cid:durableId="39601123">
    <w:abstractNumId w:val="8"/>
  </w:num>
  <w:num w:numId="23" w16cid:durableId="46682129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6F"/>
    <w:rsid w:val="00003331"/>
    <w:rsid w:val="00003520"/>
    <w:rsid w:val="00005D6A"/>
    <w:rsid w:val="00015438"/>
    <w:rsid w:val="00036D71"/>
    <w:rsid w:val="00037A18"/>
    <w:rsid w:val="00044FFA"/>
    <w:rsid w:val="00054CF9"/>
    <w:rsid w:val="00055938"/>
    <w:rsid w:val="00065345"/>
    <w:rsid w:val="000708EF"/>
    <w:rsid w:val="00071052"/>
    <w:rsid w:val="00075628"/>
    <w:rsid w:val="000811C6"/>
    <w:rsid w:val="00081654"/>
    <w:rsid w:val="0008180D"/>
    <w:rsid w:val="000961F2"/>
    <w:rsid w:val="000A2100"/>
    <w:rsid w:val="000A7533"/>
    <w:rsid w:val="000B5579"/>
    <w:rsid w:val="000C504D"/>
    <w:rsid w:val="000D299A"/>
    <w:rsid w:val="000D3E2D"/>
    <w:rsid w:val="000D4282"/>
    <w:rsid w:val="000D6893"/>
    <w:rsid w:val="000F77B4"/>
    <w:rsid w:val="0010242B"/>
    <w:rsid w:val="00104B80"/>
    <w:rsid w:val="0012047F"/>
    <w:rsid w:val="00120C79"/>
    <w:rsid w:val="001262A9"/>
    <w:rsid w:val="00135C22"/>
    <w:rsid w:val="00136660"/>
    <w:rsid w:val="0013777D"/>
    <w:rsid w:val="00140A7F"/>
    <w:rsid w:val="00142B00"/>
    <w:rsid w:val="00144564"/>
    <w:rsid w:val="001446BA"/>
    <w:rsid w:val="0015082E"/>
    <w:rsid w:val="00150897"/>
    <w:rsid w:val="00153BF2"/>
    <w:rsid w:val="00157E85"/>
    <w:rsid w:val="00175A35"/>
    <w:rsid w:val="00182D6E"/>
    <w:rsid w:val="00185B4F"/>
    <w:rsid w:val="00186AAF"/>
    <w:rsid w:val="00187F67"/>
    <w:rsid w:val="001A1EC7"/>
    <w:rsid w:val="001A2082"/>
    <w:rsid w:val="001A3AF4"/>
    <w:rsid w:val="001A5E41"/>
    <w:rsid w:val="001B0141"/>
    <w:rsid w:val="001B10E3"/>
    <w:rsid w:val="001B1B9E"/>
    <w:rsid w:val="001B1DCF"/>
    <w:rsid w:val="001D0BE3"/>
    <w:rsid w:val="001D3DB9"/>
    <w:rsid w:val="001D3E05"/>
    <w:rsid w:val="001D422A"/>
    <w:rsid w:val="001D56D7"/>
    <w:rsid w:val="001E1F4D"/>
    <w:rsid w:val="001E410C"/>
    <w:rsid w:val="001E47F3"/>
    <w:rsid w:val="00201548"/>
    <w:rsid w:val="00202225"/>
    <w:rsid w:val="00203EA4"/>
    <w:rsid w:val="00210250"/>
    <w:rsid w:val="00216E83"/>
    <w:rsid w:val="00217749"/>
    <w:rsid w:val="00224ECC"/>
    <w:rsid w:val="00225D6E"/>
    <w:rsid w:val="00227F4D"/>
    <w:rsid w:val="00235F64"/>
    <w:rsid w:val="00237084"/>
    <w:rsid w:val="00240274"/>
    <w:rsid w:val="00244644"/>
    <w:rsid w:val="00252DE1"/>
    <w:rsid w:val="00253F76"/>
    <w:rsid w:val="00254541"/>
    <w:rsid w:val="002545B4"/>
    <w:rsid w:val="002565C6"/>
    <w:rsid w:val="00256C8A"/>
    <w:rsid w:val="002616C5"/>
    <w:rsid w:val="00265A82"/>
    <w:rsid w:val="002761D6"/>
    <w:rsid w:val="00282973"/>
    <w:rsid w:val="00291416"/>
    <w:rsid w:val="002A4E36"/>
    <w:rsid w:val="002A7375"/>
    <w:rsid w:val="002B2A80"/>
    <w:rsid w:val="002B4687"/>
    <w:rsid w:val="002B4706"/>
    <w:rsid w:val="002B4EB3"/>
    <w:rsid w:val="002B6B8A"/>
    <w:rsid w:val="002B778A"/>
    <w:rsid w:val="002C0C79"/>
    <w:rsid w:val="002C1D4D"/>
    <w:rsid w:val="002C786E"/>
    <w:rsid w:val="002E10B7"/>
    <w:rsid w:val="002E67FA"/>
    <w:rsid w:val="002F46FE"/>
    <w:rsid w:val="003036C0"/>
    <w:rsid w:val="00327F47"/>
    <w:rsid w:val="00335468"/>
    <w:rsid w:val="00345E87"/>
    <w:rsid w:val="00353B4A"/>
    <w:rsid w:val="00356524"/>
    <w:rsid w:val="003574A7"/>
    <w:rsid w:val="00366D61"/>
    <w:rsid w:val="003718A0"/>
    <w:rsid w:val="0037326C"/>
    <w:rsid w:val="00373A95"/>
    <w:rsid w:val="00382DCB"/>
    <w:rsid w:val="003845CD"/>
    <w:rsid w:val="00390F11"/>
    <w:rsid w:val="003A4552"/>
    <w:rsid w:val="003B2924"/>
    <w:rsid w:val="003B7028"/>
    <w:rsid w:val="003C7E88"/>
    <w:rsid w:val="003D4772"/>
    <w:rsid w:val="003E3BF3"/>
    <w:rsid w:val="003E48E6"/>
    <w:rsid w:val="003E49CE"/>
    <w:rsid w:val="0040299C"/>
    <w:rsid w:val="00412653"/>
    <w:rsid w:val="004150A1"/>
    <w:rsid w:val="00426417"/>
    <w:rsid w:val="004405F5"/>
    <w:rsid w:val="00443EFC"/>
    <w:rsid w:val="00446911"/>
    <w:rsid w:val="00455513"/>
    <w:rsid w:val="0046047E"/>
    <w:rsid w:val="004664F8"/>
    <w:rsid w:val="004672BC"/>
    <w:rsid w:val="0047499A"/>
    <w:rsid w:val="00477291"/>
    <w:rsid w:val="00482126"/>
    <w:rsid w:val="00483A0D"/>
    <w:rsid w:val="00484315"/>
    <w:rsid w:val="00484497"/>
    <w:rsid w:val="00484ECC"/>
    <w:rsid w:val="00487DD2"/>
    <w:rsid w:val="004906A3"/>
    <w:rsid w:val="00492053"/>
    <w:rsid w:val="00493E02"/>
    <w:rsid w:val="004C14B8"/>
    <w:rsid w:val="004D336D"/>
    <w:rsid w:val="004D4147"/>
    <w:rsid w:val="004D72B2"/>
    <w:rsid w:val="004E7366"/>
    <w:rsid w:val="004F6E88"/>
    <w:rsid w:val="00504245"/>
    <w:rsid w:val="00513E19"/>
    <w:rsid w:val="00517641"/>
    <w:rsid w:val="00531583"/>
    <w:rsid w:val="00531B8D"/>
    <w:rsid w:val="00531FD3"/>
    <w:rsid w:val="005407C9"/>
    <w:rsid w:val="00543E1E"/>
    <w:rsid w:val="00545F70"/>
    <w:rsid w:val="00551E60"/>
    <w:rsid w:val="00555441"/>
    <w:rsid w:val="0057578E"/>
    <w:rsid w:val="00576E96"/>
    <w:rsid w:val="005806B6"/>
    <w:rsid w:val="005938F9"/>
    <w:rsid w:val="00594203"/>
    <w:rsid w:val="005B25D8"/>
    <w:rsid w:val="005B5AA0"/>
    <w:rsid w:val="005B61D3"/>
    <w:rsid w:val="005C060A"/>
    <w:rsid w:val="005C0750"/>
    <w:rsid w:val="005C44C2"/>
    <w:rsid w:val="005C4C57"/>
    <w:rsid w:val="005D7D6E"/>
    <w:rsid w:val="005F0514"/>
    <w:rsid w:val="006018C6"/>
    <w:rsid w:val="0060519E"/>
    <w:rsid w:val="00606A16"/>
    <w:rsid w:val="0061726D"/>
    <w:rsid w:val="00625DE4"/>
    <w:rsid w:val="006270E7"/>
    <w:rsid w:val="00640E25"/>
    <w:rsid w:val="0065125E"/>
    <w:rsid w:val="00651A32"/>
    <w:rsid w:val="006562C2"/>
    <w:rsid w:val="0066700F"/>
    <w:rsid w:val="00667B85"/>
    <w:rsid w:val="006723F7"/>
    <w:rsid w:val="00672D56"/>
    <w:rsid w:val="00675F7E"/>
    <w:rsid w:val="0067666D"/>
    <w:rsid w:val="00684251"/>
    <w:rsid w:val="0068581D"/>
    <w:rsid w:val="00692FAB"/>
    <w:rsid w:val="00693C57"/>
    <w:rsid w:val="006B22BF"/>
    <w:rsid w:val="006B7C85"/>
    <w:rsid w:val="006C0217"/>
    <w:rsid w:val="006C4624"/>
    <w:rsid w:val="006C7C5C"/>
    <w:rsid w:val="006D227D"/>
    <w:rsid w:val="006D58C8"/>
    <w:rsid w:val="006E0B0C"/>
    <w:rsid w:val="006E5FB1"/>
    <w:rsid w:val="006F122D"/>
    <w:rsid w:val="006F3FBC"/>
    <w:rsid w:val="00706B27"/>
    <w:rsid w:val="00722215"/>
    <w:rsid w:val="0073073B"/>
    <w:rsid w:val="0074090C"/>
    <w:rsid w:val="00741716"/>
    <w:rsid w:val="007475E9"/>
    <w:rsid w:val="007529E6"/>
    <w:rsid w:val="00753522"/>
    <w:rsid w:val="0076228B"/>
    <w:rsid w:val="0076648F"/>
    <w:rsid w:val="00766D4E"/>
    <w:rsid w:val="00767529"/>
    <w:rsid w:val="0076755C"/>
    <w:rsid w:val="00772B37"/>
    <w:rsid w:val="0079310D"/>
    <w:rsid w:val="0079571C"/>
    <w:rsid w:val="007963D6"/>
    <w:rsid w:val="00797EE9"/>
    <w:rsid w:val="007B1747"/>
    <w:rsid w:val="007C0983"/>
    <w:rsid w:val="007C47B8"/>
    <w:rsid w:val="007D1F77"/>
    <w:rsid w:val="007F1373"/>
    <w:rsid w:val="007F4E7D"/>
    <w:rsid w:val="007F4E80"/>
    <w:rsid w:val="007F5C3C"/>
    <w:rsid w:val="008002ED"/>
    <w:rsid w:val="008134DD"/>
    <w:rsid w:val="008142BF"/>
    <w:rsid w:val="0081506E"/>
    <w:rsid w:val="008175E8"/>
    <w:rsid w:val="00817DC9"/>
    <w:rsid w:val="0082326E"/>
    <w:rsid w:val="008330DD"/>
    <w:rsid w:val="008435F7"/>
    <w:rsid w:val="0084511B"/>
    <w:rsid w:val="00847EF2"/>
    <w:rsid w:val="00852616"/>
    <w:rsid w:val="008563C3"/>
    <w:rsid w:val="00860B7E"/>
    <w:rsid w:val="00871427"/>
    <w:rsid w:val="00877C70"/>
    <w:rsid w:val="00881C54"/>
    <w:rsid w:val="0088498E"/>
    <w:rsid w:val="008870DD"/>
    <w:rsid w:val="00890115"/>
    <w:rsid w:val="00895661"/>
    <w:rsid w:val="008A2790"/>
    <w:rsid w:val="008A61D2"/>
    <w:rsid w:val="008B160E"/>
    <w:rsid w:val="008C5C13"/>
    <w:rsid w:val="008C7667"/>
    <w:rsid w:val="008D4E85"/>
    <w:rsid w:val="008D5C1B"/>
    <w:rsid w:val="008F2AB0"/>
    <w:rsid w:val="00916EAE"/>
    <w:rsid w:val="00920EFE"/>
    <w:rsid w:val="00932805"/>
    <w:rsid w:val="00934147"/>
    <w:rsid w:val="009366EE"/>
    <w:rsid w:val="00937839"/>
    <w:rsid w:val="00937938"/>
    <w:rsid w:val="00941D46"/>
    <w:rsid w:val="00943C82"/>
    <w:rsid w:val="009452D9"/>
    <w:rsid w:val="009471AB"/>
    <w:rsid w:val="00953354"/>
    <w:rsid w:val="009549EF"/>
    <w:rsid w:val="009675DD"/>
    <w:rsid w:val="00973DA2"/>
    <w:rsid w:val="00977846"/>
    <w:rsid w:val="00980516"/>
    <w:rsid w:val="00986FFF"/>
    <w:rsid w:val="00992BA4"/>
    <w:rsid w:val="009A512D"/>
    <w:rsid w:val="009A6D38"/>
    <w:rsid w:val="009B0EE8"/>
    <w:rsid w:val="009C017C"/>
    <w:rsid w:val="009C0253"/>
    <w:rsid w:val="009C4DDE"/>
    <w:rsid w:val="009F6178"/>
    <w:rsid w:val="009F78AB"/>
    <w:rsid w:val="00A22A7C"/>
    <w:rsid w:val="00A23C92"/>
    <w:rsid w:val="00A27FD0"/>
    <w:rsid w:val="00A33953"/>
    <w:rsid w:val="00A3398C"/>
    <w:rsid w:val="00A34BAB"/>
    <w:rsid w:val="00A40F62"/>
    <w:rsid w:val="00A41F8B"/>
    <w:rsid w:val="00A4602B"/>
    <w:rsid w:val="00A52D2B"/>
    <w:rsid w:val="00A5320E"/>
    <w:rsid w:val="00A64040"/>
    <w:rsid w:val="00A663EB"/>
    <w:rsid w:val="00A6686D"/>
    <w:rsid w:val="00A7594E"/>
    <w:rsid w:val="00A761D1"/>
    <w:rsid w:val="00A829EE"/>
    <w:rsid w:val="00A83818"/>
    <w:rsid w:val="00AA7E54"/>
    <w:rsid w:val="00AB57A3"/>
    <w:rsid w:val="00AC53B9"/>
    <w:rsid w:val="00AC7380"/>
    <w:rsid w:val="00AD071C"/>
    <w:rsid w:val="00AD2DF6"/>
    <w:rsid w:val="00AE3777"/>
    <w:rsid w:val="00AF19F6"/>
    <w:rsid w:val="00AF2908"/>
    <w:rsid w:val="00AF2F9A"/>
    <w:rsid w:val="00AF47B2"/>
    <w:rsid w:val="00B012EF"/>
    <w:rsid w:val="00B05918"/>
    <w:rsid w:val="00B13166"/>
    <w:rsid w:val="00B171C2"/>
    <w:rsid w:val="00B1729B"/>
    <w:rsid w:val="00B21744"/>
    <w:rsid w:val="00B22BCC"/>
    <w:rsid w:val="00B23F26"/>
    <w:rsid w:val="00B32FC9"/>
    <w:rsid w:val="00B34A1C"/>
    <w:rsid w:val="00B34E47"/>
    <w:rsid w:val="00B5107B"/>
    <w:rsid w:val="00B524FD"/>
    <w:rsid w:val="00B55DDB"/>
    <w:rsid w:val="00B60520"/>
    <w:rsid w:val="00B60587"/>
    <w:rsid w:val="00B76466"/>
    <w:rsid w:val="00B768E9"/>
    <w:rsid w:val="00B87ADA"/>
    <w:rsid w:val="00B9181D"/>
    <w:rsid w:val="00BB0568"/>
    <w:rsid w:val="00BC5213"/>
    <w:rsid w:val="00BE7991"/>
    <w:rsid w:val="00BE7AB6"/>
    <w:rsid w:val="00BF5A41"/>
    <w:rsid w:val="00BF7E5B"/>
    <w:rsid w:val="00C02C34"/>
    <w:rsid w:val="00C06860"/>
    <w:rsid w:val="00C10E2A"/>
    <w:rsid w:val="00C13474"/>
    <w:rsid w:val="00C151A3"/>
    <w:rsid w:val="00C1662E"/>
    <w:rsid w:val="00C17EB3"/>
    <w:rsid w:val="00C2081A"/>
    <w:rsid w:val="00C3236F"/>
    <w:rsid w:val="00C35B1C"/>
    <w:rsid w:val="00C36678"/>
    <w:rsid w:val="00C37739"/>
    <w:rsid w:val="00C42DA5"/>
    <w:rsid w:val="00C43512"/>
    <w:rsid w:val="00C45805"/>
    <w:rsid w:val="00C55BAE"/>
    <w:rsid w:val="00C56EF0"/>
    <w:rsid w:val="00C576CE"/>
    <w:rsid w:val="00C634DC"/>
    <w:rsid w:val="00C71811"/>
    <w:rsid w:val="00C7617C"/>
    <w:rsid w:val="00C76C6F"/>
    <w:rsid w:val="00C821FC"/>
    <w:rsid w:val="00C836C5"/>
    <w:rsid w:val="00C83A6E"/>
    <w:rsid w:val="00C8490B"/>
    <w:rsid w:val="00C90189"/>
    <w:rsid w:val="00C962E3"/>
    <w:rsid w:val="00CA7E42"/>
    <w:rsid w:val="00CC3432"/>
    <w:rsid w:val="00CC40C8"/>
    <w:rsid w:val="00CC447E"/>
    <w:rsid w:val="00CE30B9"/>
    <w:rsid w:val="00CF07E5"/>
    <w:rsid w:val="00CF47CC"/>
    <w:rsid w:val="00CF5010"/>
    <w:rsid w:val="00CF5B15"/>
    <w:rsid w:val="00CF65DD"/>
    <w:rsid w:val="00D02017"/>
    <w:rsid w:val="00D10B95"/>
    <w:rsid w:val="00D31128"/>
    <w:rsid w:val="00D41FC4"/>
    <w:rsid w:val="00D436CF"/>
    <w:rsid w:val="00D45E3C"/>
    <w:rsid w:val="00D6714B"/>
    <w:rsid w:val="00D7206A"/>
    <w:rsid w:val="00D74684"/>
    <w:rsid w:val="00D75806"/>
    <w:rsid w:val="00D7659D"/>
    <w:rsid w:val="00D844AD"/>
    <w:rsid w:val="00D90787"/>
    <w:rsid w:val="00D92CD1"/>
    <w:rsid w:val="00D93D65"/>
    <w:rsid w:val="00D9539E"/>
    <w:rsid w:val="00DC3E9D"/>
    <w:rsid w:val="00DD13B8"/>
    <w:rsid w:val="00DD30A6"/>
    <w:rsid w:val="00DD3A79"/>
    <w:rsid w:val="00DF09D5"/>
    <w:rsid w:val="00DF57DA"/>
    <w:rsid w:val="00E01ECB"/>
    <w:rsid w:val="00E02BE1"/>
    <w:rsid w:val="00E03CC9"/>
    <w:rsid w:val="00E062FE"/>
    <w:rsid w:val="00E12EC0"/>
    <w:rsid w:val="00E131EE"/>
    <w:rsid w:val="00E134B9"/>
    <w:rsid w:val="00E20C8B"/>
    <w:rsid w:val="00E36B7A"/>
    <w:rsid w:val="00E4140E"/>
    <w:rsid w:val="00E43B3A"/>
    <w:rsid w:val="00E51A6F"/>
    <w:rsid w:val="00E52636"/>
    <w:rsid w:val="00E531DF"/>
    <w:rsid w:val="00E57A49"/>
    <w:rsid w:val="00E66A1D"/>
    <w:rsid w:val="00E70FFD"/>
    <w:rsid w:val="00E81309"/>
    <w:rsid w:val="00EA2D06"/>
    <w:rsid w:val="00EA2E03"/>
    <w:rsid w:val="00EA3190"/>
    <w:rsid w:val="00EA3414"/>
    <w:rsid w:val="00EA7477"/>
    <w:rsid w:val="00EB0A44"/>
    <w:rsid w:val="00EB213F"/>
    <w:rsid w:val="00EB44DF"/>
    <w:rsid w:val="00EB6006"/>
    <w:rsid w:val="00EB68EA"/>
    <w:rsid w:val="00EC43B8"/>
    <w:rsid w:val="00EC785A"/>
    <w:rsid w:val="00ED3075"/>
    <w:rsid w:val="00ED3317"/>
    <w:rsid w:val="00ED4543"/>
    <w:rsid w:val="00EE2FE3"/>
    <w:rsid w:val="00EE5C33"/>
    <w:rsid w:val="00EF01C1"/>
    <w:rsid w:val="00EF718D"/>
    <w:rsid w:val="00EF7979"/>
    <w:rsid w:val="00F0518B"/>
    <w:rsid w:val="00F17AA5"/>
    <w:rsid w:val="00F22D60"/>
    <w:rsid w:val="00F27747"/>
    <w:rsid w:val="00F32120"/>
    <w:rsid w:val="00F330A9"/>
    <w:rsid w:val="00F350AC"/>
    <w:rsid w:val="00F43346"/>
    <w:rsid w:val="00F517AB"/>
    <w:rsid w:val="00F53D47"/>
    <w:rsid w:val="00F56AB2"/>
    <w:rsid w:val="00F63B2D"/>
    <w:rsid w:val="00F659FD"/>
    <w:rsid w:val="00F72750"/>
    <w:rsid w:val="00F727C2"/>
    <w:rsid w:val="00FA45ED"/>
    <w:rsid w:val="00FB2544"/>
    <w:rsid w:val="00FB54EB"/>
    <w:rsid w:val="00FB646A"/>
    <w:rsid w:val="00FC1FE0"/>
    <w:rsid w:val="00FD2F99"/>
    <w:rsid w:val="00FD2FBD"/>
    <w:rsid w:val="00FD77C2"/>
    <w:rsid w:val="00FE0EB1"/>
    <w:rsid w:val="00FF0C2A"/>
    <w:rsid w:val="02E2EAC1"/>
    <w:rsid w:val="05B6B228"/>
    <w:rsid w:val="08D07BB2"/>
    <w:rsid w:val="09BB87D1"/>
    <w:rsid w:val="09D67FD0"/>
    <w:rsid w:val="09DF35A1"/>
    <w:rsid w:val="0CDF4474"/>
    <w:rsid w:val="0CEBEED4"/>
    <w:rsid w:val="1752BCA1"/>
    <w:rsid w:val="1885A35B"/>
    <w:rsid w:val="1A68F36B"/>
    <w:rsid w:val="1D381ADE"/>
    <w:rsid w:val="1D692906"/>
    <w:rsid w:val="23907828"/>
    <w:rsid w:val="26C0D2FD"/>
    <w:rsid w:val="328FA86B"/>
    <w:rsid w:val="338BAD5A"/>
    <w:rsid w:val="3910B28F"/>
    <w:rsid w:val="3A572B9A"/>
    <w:rsid w:val="3EAB10DF"/>
    <w:rsid w:val="41FFB7C3"/>
    <w:rsid w:val="439B8824"/>
    <w:rsid w:val="4453C4F3"/>
    <w:rsid w:val="4855D0EA"/>
    <w:rsid w:val="48B9B13A"/>
    <w:rsid w:val="4941A657"/>
    <w:rsid w:val="49DC387A"/>
    <w:rsid w:val="4D08671F"/>
    <w:rsid w:val="4DBC56A6"/>
    <w:rsid w:val="4FB0E7DB"/>
    <w:rsid w:val="58A29850"/>
    <w:rsid w:val="5E63DE6C"/>
    <w:rsid w:val="5E807B69"/>
    <w:rsid w:val="5FCEF92B"/>
    <w:rsid w:val="616AC98C"/>
    <w:rsid w:val="61738060"/>
    <w:rsid w:val="630F50C1"/>
    <w:rsid w:val="656655BB"/>
    <w:rsid w:val="6E7E57FF"/>
    <w:rsid w:val="6EACAFC4"/>
    <w:rsid w:val="711DA406"/>
    <w:rsid w:val="725B87EC"/>
    <w:rsid w:val="74E4EE63"/>
    <w:rsid w:val="779B2400"/>
    <w:rsid w:val="78B833A2"/>
    <w:rsid w:val="7A83214E"/>
    <w:rsid w:val="7B6A95BE"/>
    <w:rsid w:val="7C026A32"/>
    <w:rsid w:val="7D5F8616"/>
    <w:rsid w:val="7FC54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3291"/>
  <w15:docId w15:val="{FBAEDD83-AFC6-45CE-AC70-89B178A9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semiHidden/>
    <w:unhideWhenUsed/>
    <w:qFormat/>
    <w:rsid w:val="002B4706"/>
    <w:pPr>
      <w:keepNext/>
      <w:keepLines/>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11"/>
    <w:qFormat/>
    <w:rsid w:val="00CF47CC"/>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CF47CC"/>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47C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F47CC"/>
    <w:pPr>
      <w:spacing w:after="160" w:line="276" w:lineRule="auto"/>
      <w:ind w:left="720"/>
      <w:contextualSpacing/>
    </w:pPr>
  </w:style>
  <w:style w:type="character" w:styleId="CommentReference">
    <w:name w:val="annotation reference"/>
    <w:basedOn w:val="DefaultParagraphFont"/>
    <w:uiPriority w:val="99"/>
    <w:semiHidden/>
    <w:unhideWhenUsed/>
    <w:rsid w:val="00CF47CC"/>
    <w:rPr>
      <w:sz w:val="16"/>
      <w:szCs w:val="16"/>
    </w:rPr>
  </w:style>
  <w:style w:type="paragraph" w:styleId="CommentText">
    <w:name w:val="annotation text"/>
    <w:basedOn w:val="Normal"/>
    <w:link w:val="CommentTextChar"/>
    <w:uiPriority w:val="99"/>
    <w:unhideWhenUsed/>
    <w:rsid w:val="00CF47CC"/>
    <w:pPr>
      <w:spacing w:line="240" w:lineRule="auto"/>
    </w:pPr>
    <w:rPr>
      <w:sz w:val="20"/>
      <w:szCs w:val="20"/>
    </w:rPr>
  </w:style>
  <w:style w:type="character" w:customStyle="1" w:styleId="CommentTextChar">
    <w:name w:val="Comment Text Char"/>
    <w:basedOn w:val="DefaultParagraphFont"/>
    <w:link w:val="CommentText"/>
    <w:uiPriority w:val="99"/>
    <w:rsid w:val="00CF47CC"/>
    <w:rPr>
      <w:sz w:val="20"/>
      <w:szCs w:val="20"/>
    </w:rPr>
  </w:style>
  <w:style w:type="paragraph" w:styleId="CommentSubject">
    <w:name w:val="annotation subject"/>
    <w:basedOn w:val="CommentText"/>
    <w:next w:val="CommentText"/>
    <w:link w:val="CommentSubjectChar"/>
    <w:uiPriority w:val="99"/>
    <w:semiHidden/>
    <w:unhideWhenUsed/>
    <w:rsid w:val="00CF47CC"/>
    <w:rPr>
      <w:b/>
      <w:bCs/>
    </w:rPr>
  </w:style>
  <w:style w:type="character" w:customStyle="1" w:styleId="CommentSubjectChar">
    <w:name w:val="Comment Subject Char"/>
    <w:basedOn w:val="CommentTextChar"/>
    <w:link w:val="CommentSubject"/>
    <w:uiPriority w:val="99"/>
    <w:semiHidden/>
    <w:rsid w:val="00CF47CC"/>
    <w:rPr>
      <w:b/>
      <w:bCs/>
      <w:sz w:val="20"/>
      <w:szCs w:val="20"/>
    </w:rPr>
  </w:style>
  <w:style w:type="paragraph" w:styleId="BalloonText">
    <w:name w:val="Balloon Text"/>
    <w:basedOn w:val="Normal"/>
    <w:link w:val="BalloonTextChar"/>
    <w:uiPriority w:val="99"/>
    <w:semiHidden/>
    <w:unhideWhenUsed/>
    <w:rsid w:val="00CF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CC"/>
    <w:rPr>
      <w:rFonts w:ascii="Segoe UI" w:hAnsi="Segoe UI" w:cs="Segoe UI"/>
      <w:sz w:val="18"/>
      <w:szCs w:val="18"/>
    </w:rPr>
  </w:style>
  <w:style w:type="character" w:styleId="Hyperlink">
    <w:name w:val="Hyperlink"/>
    <w:aliases w:val="Alna"/>
    <w:basedOn w:val="DefaultParagraphFont"/>
    <w:uiPriority w:val="99"/>
    <w:unhideWhenUsed/>
    <w:rsid w:val="00D9539E"/>
    <w:rPr>
      <w:strike w:val="0"/>
      <w:dstrike w:val="0"/>
      <w:color w:val="auto"/>
      <w:u w:val="none"/>
      <w:effect w:val="none"/>
    </w:rPr>
  </w:style>
  <w:style w:type="paragraph" w:customStyle="1" w:styleId="paragraph">
    <w:name w:val="paragraph"/>
    <w:basedOn w:val="Normal"/>
    <w:rsid w:val="00860B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60B7E"/>
  </w:style>
  <w:style w:type="table" w:customStyle="1" w:styleId="TableNormal1">
    <w:name w:val="Table Normal1"/>
    <w:uiPriority w:val="2"/>
    <w:semiHidden/>
    <w:unhideWhenUsed/>
    <w:qFormat/>
    <w:rsid w:val="0073073B"/>
    <w:pPr>
      <w:widowControl w:val="0"/>
      <w:autoSpaceDE w:val="0"/>
      <w:autoSpaceDN w:val="0"/>
      <w:spacing w:line="240" w:lineRule="auto"/>
      <w:ind w:firstLine="0"/>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73B"/>
    <w:pPr>
      <w:widowControl w:val="0"/>
      <w:autoSpaceDE w:val="0"/>
      <w:autoSpaceDN w:val="0"/>
      <w:spacing w:line="240" w:lineRule="auto"/>
      <w:ind w:left="105"/>
    </w:pPr>
    <w:rPr>
      <w:rFonts w:ascii="Times New Roman" w:eastAsia="Times New Roman" w:hAnsi="Times New Roman" w:cs="Times New Roman"/>
    </w:rPr>
  </w:style>
  <w:style w:type="character" w:styleId="PlaceholderText">
    <w:name w:val="Placeholder Text"/>
    <w:basedOn w:val="DefaultParagraphFont"/>
    <w:uiPriority w:val="99"/>
    <w:semiHidden/>
    <w:rsid w:val="00240274"/>
    <w:rPr>
      <w:color w:val="808080"/>
    </w:rPr>
  </w:style>
  <w:style w:type="paragraph" w:styleId="Revision">
    <w:name w:val="Revision"/>
    <w:hidden/>
    <w:uiPriority w:val="99"/>
    <w:semiHidden/>
    <w:rsid w:val="00225D6E"/>
    <w:pPr>
      <w:spacing w:line="240" w:lineRule="auto"/>
      <w:ind w:firstLine="0"/>
    </w:pPr>
  </w:style>
  <w:style w:type="character" w:customStyle="1" w:styleId="Heading2Char">
    <w:name w:val="Heading 2 Char"/>
    <w:basedOn w:val="DefaultParagraphFont"/>
    <w:link w:val="Heading2"/>
    <w:uiPriority w:val="9"/>
    <w:semiHidden/>
    <w:rsid w:val="002B4706"/>
    <w:rPr>
      <w:rFonts w:asciiTheme="majorHAnsi" w:eastAsiaTheme="majorEastAsia" w:hAnsiTheme="majorHAnsi" w:cstheme="majorBidi"/>
      <w:color w:val="ED7D31" w:themeColor="accent2"/>
      <w:sz w:val="36"/>
      <w:szCs w:val="36"/>
      <w:lang w:eastAsia="lt-LT"/>
    </w:rPr>
  </w:style>
  <w:style w:type="paragraph" w:styleId="FootnoteText">
    <w:name w:val="footnote text"/>
    <w:basedOn w:val="Normal"/>
    <w:link w:val="FootnoteTextChar"/>
    <w:uiPriority w:val="99"/>
    <w:semiHidden/>
    <w:unhideWhenUsed/>
    <w:rsid w:val="00817DC9"/>
    <w:pPr>
      <w:spacing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817DC9"/>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781245">
      <w:bodyDiv w:val="1"/>
      <w:marLeft w:val="0"/>
      <w:marRight w:val="0"/>
      <w:marTop w:val="0"/>
      <w:marBottom w:val="0"/>
      <w:divBdr>
        <w:top w:val="none" w:sz="0" w:space="0" w:color="auto"/>
        <w:left w:val="none" w:sz="0" w:space="0" w:color="auto"/>
        <w:bottom w:val="none" w:sz="0" w:space="0" w:color="auto"/>
        <w:right w:val="none" w:sz="0" w:space="0" w:color="auto"/>
      </w:divBdr>
    </w:div>
    <w:div w:id="198353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ilte.lt/apie-mus/zaliuju-finansu-institutas/reguliavimas-susijes-su-zaliaisiais-finansais/364%23c-70" TargetMode="External"/><Relationship Id="rId1" Type="http://schemas.openxmlformats.org/officeDocument/2006/relationships/hyperlink" Target="https://ilte.lt/apie-mus/zaliuju-finansu-institutas/reguliavimas-susijes-su-zaliaisiais-finansais/364%23c-7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5" ma:contentTypeDescription="Create a new document." ma:contentTypeScope="" ma:versionID="7b7f83eda02d909f2e121d7a4959c276">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65ec29705d2b403b6c890860731d4ee"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1ad57-7ac7-4fbd-9a30-a12364399e26}"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B07201-8B82-4521-A89D-82186CB4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4D90F-B82C-4B76-9D42-B7C3537DB833}">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058D67BB-6F64-4F36-97D7-F0CB6B07E050}">
  <ds:schemaRefs>
    <ds:schemaRef ds:uri="http://schemas.openxmlformats.org/officeDocument/2006/bibliography"/>
  </ds:schemaRefs>
</ds:datastoreItem>
</file>

<file path=customXml/itemProps4.xml><?xml version="1.0" encoding="utf-8"?>
<ds:datastoreItem xmlns:ds="http://schemas.openxmlformats.org/officeDocument/2006/customXml" ds:itemID="{D47949D3-F952-4147-B53E-E61FFC7DF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Jurkienė</dc:creator>
  <cp:keywords/>
  <dc:description/>
  <cp:lastModifiedBy>Jūratė Strakšienė</cp:lastModifiedBy>
  <cp:revision>18</cp:revision>
  <dcterms:created xsi:type="dcterms:W3CDTF">2025-03-05T15:43:00Z</dcterms:created>
  <dcterms:modified xsi:type="dcterms:W3CDTF">2025-03-07T11:39:00Z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ies>
</file>