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firstLine="1276" w:left="4253"/>
        <w:rPr>
          <w:bCs/>
          <w:caps/>
        </w:rPr>
      </w:pPr>
      <w:r>
        <w:rPr>
          <w:bCs/>
          <w:caps/>
        </w:rPr>
        <w:t xml:space="preserve">  </w:t>
      </w:r>
      <w:r>
        <w:rPr>
          <w:bCs/>
          <w:caps/>
        </w:rPr>
        <w:t>PATVIRTINTA</w:t>
      </w:r>
    </w:p>
    <w:p>
      <w:pPr>
        <w:pStyle w:val="Normal"/>
        <w:spacing w:lineRule="auto" w:line="276"/>
        <w:ind w:hanging="284" w:left="5245"/>
        <w:jc w:val="center"/>
        <w:rPr>
          <w:bCs/>
          <w:caps/>
        </w:rPr>
      </w:pPr>
      <w:r>
        <w:rPr>
          <w:bCs/>
        </w:rPr>
        <w:t xml:space="preserve">Viešųjų pirkimų tarnybos direktoriaus </w:t>
      </w:r>
    </w:p>
    <w:p>
      <w:pPr>
        <w:pStyle w:val="Normal"/>
        <w:spacing w:lineRule="auto" w:line="276"/>
        <w:ind w:firstLine="142" w:left="5387"/>
        <w:jc w:val="center"/>
        <w:rPr>
          <w:bCs/>
          <w:caps/>
        </w:rPr>
      </w:pPr>
      <w:r>
        <w:rPr>
          <w:bCs/>
        </w:rPr>
        <w:t>2024 m. gruodžio 30 d. įsakymu Nr. 1S-209</w:t>
      </w:r>
    </w:p>
    <w:p>
      <w:pPr>
        <w:pStyle w:val="Normal"/>
        <w:tabs>
          <w:tab w:val="clear" w:pos="1296"/>
          <w:tab w:val="left" w:pos="5400" w:leader="none"/>
        </w:tabs>
        <w:ind w:firstLine="62"/>
        <w:textAlignment w:val="center"/>
        <w:rPr/>
      </w:pPr>
      <w:r>
        <w:rPr/>
      </w:r>
    </w:p>
    <w:p>
      <w:pPr>
        <w:pStyle w:val="Normal"/>
        <w:tabs>
          <w:tab w:val="clear" w:pos="1296"/>
          <w:tab w:val="left" w:pos="5400" w:leader="none"/>
        </w:tabs>
        <w:textAlignment w:val="center"/>
        <w:rPr>
          <w:szCs w:val="24"/>
        </w:rPr>
      </w:pPr>
      <w:r>
        <w:rPr>
          <w:szCs w:val="24"/>
        </w:rPr>
      </w:r>
    </w:p>
    <w:p>
      <w:pPr>
        <w:pStyle w:val="Normal"/>
        <w:widowControl w:val="false"/>
        <w:tabs>
          <w:tab w:val="clear" w:pos="1296"/>
          <w:tab w:val="left" w:pos="567" w:leader="none"/>
          <w:tab w:val="left" w:pos="851" w:leader="none"/>
        </w:tabs>
        <w:jc w:val="center"/>
        <w:rPr>
          <w:b/>
          <w:bCs/>
          <w:caps/>
          <w:szCs w:val="24"/>
        </w:rPr>
      </w:pPr>
      <w:r>
        <w:rPr>
          <w:b/>
          <w:bCs/>
          <w:caps/>
          <w:szCs w:val="24"/>
        </w:rPr>
        <w:t>paslaugų pirkimo-pardavimo sutarties Specialiosios sąlygos</w:t>
      </w:r>
    </w:p>
    <w:p>
      <w:pPr>
        <w:pStyle w:val="Normal"/>
        <w:widowControl w:val="false"/>
        <w:tabs>
          <w:tab w:val="clear" w:pos="1296"/>
          <w:tab w:val="left" w:pos="567" w:leader="none"/>
          <w:tab w:val="left" w:pos="851" w:leader="none"/>
        </w:tabs>
        <w:jc w:val="center"/>
        <w:rPr>
          <w:b/>
          <w:bCs/>
          <w:caps/>
          <w:szCs w:val="24"/>
        </w:rPr>
      </w:pPr>
      <w:r>
        <w:rPr>
          <w:b/>
          <w:bCs/>
          <w:caps/>
          <w:szCs w:val="24"/>
        </w:rPr>
      </w:r>
    </w:p>
    <w:p>
      <w:pPr>
        <w:pStyle w:val="Normal"/>
        <w:tabs>
          <w:tab w:val="clear" w:pos="1296"/>
          <w:tab w:val="left" w:pos="5400" w:leader="none"/>
        </w:tabs>
        <w:textAlignment w:val="center"/>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46"/>
        <w:gridCol w:w="2179"/>
        <w:gridCol w:w="2361"/>
        <w:gridCol w:w="2571"/>
      </w:tblGrid>
      <w:tr>
        <w:trPr/>
        <w:tc>
          <w:tcPr>
            <w:tcW w:w="2446"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Arial" w:hAnsi="Arial" w:cs="Arial"/>
                <w:b/>
                <w:bCs/>
                <w:caps/>
                <w:sz w:val="28"/>
                <w:szCs w:val="28"/>
                <w:shd w:fill="FFFFFF" w:val="clear"/>
              </w:rPr>
            </w:pPr>
            <w:r>
              <w:rPr>
                <w:rFonts w:cs="Arial" w:ascii="Arial" w:hAnsi="Arial"/>
                <w:b/>
                <w:bCs/>
                <w:sz w:val="28"/>
                <w:szCs w:val="28"/>
                <w:shd w:fill="FFFFFF" w:val="clear"/>
              </w:rPr>
              <w:t>PRIENŲ R. SAV. PILIAKALNIŲ TVARKYBOS DARBŲ PROJEKTAVIMAS</w:t>
            </w:r>
          </w:p>
        </w:tc>
      </w:tr>
      <w:tr>
        <w:trPr/>
        <w:tc>
          <w:tcPr>
            <w:tcW w:w="2446"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data</w:t>
            </w:r>
          </w:p>
        </w:tc>
        <w:tc>
          <w:tcPr>
            <w:tcW w:w="2179"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c>
          <w:tcPr>
            <w:tcW w:w="2361" w:type="dxa"/>
            <w:tcBorders>
              <w:top w:val="single" w:sz="4" w:space="0" w:color="000000"/>
              <w:left w:val="single" w:sz="4" w:space="0" w:color="000000"/>
              <w:bottom w:val="single" w:sz="4" w:space="0" w:color="000000"/>
              <w:right w:val="single" w:sz="4" w:space="0" w:color="000000"/>
            </w:tcBorders>
          </w:tcPr>
          <w:p>
            <w:pPr>
              <w:pStyle w:val="Normal"/>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pPr>
              <w:pStyle w:val="Normal"/>
              <w:jc w:val="both"/>
              <w:rPr>
                <w:kern w:val="2"/>
                <w:szCs w:val="24"/>
              </w:rPr>
            </w:pPr>
            <w:r>
              <w:rPr>
                <w:kern w:val="2"/>
                <w:szCs w:val="24"/>
              </w:rPr>
            </w:r>
          </w:p>
        </w:tc>
      </w:tr>
    </w:tbl>
    <w:p>
      <w:pPr>
        <w:pStyle w:val="Normal"/>
        <w:jc w:val="both"/>
        <w:rPr>
          <w:szCs w:val="24"/>
        </w:rPr>
      </w:pPr>
      <w:r>
        <w:rPr>
          <w:szCs w:val="24"/>
        </w:rPr>
      </w:r>
    </w:p>
    <w:tbl>
      <w:tblPr>
        <w:tblW w:w="955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jc w:val="center"/>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Prienų rajono savivaldybės administracija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288742590</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Laisvės a. 12, LT 59126 Prienai</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 PVM mokėtojas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pPr>
            <w:r>
              <w:rPr>
                <w:rFonts w:cs="Arial"/>
                <w:kern w:val="2"/>
                <w:szCs w:val="24"/>
              </w:rPr>
              <w:t>LT087300010076935559</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pPr>
            <w:r>
              <w:rPr>
                <w:rFonts w:cs="Arial"/>
                <w:kern w:val="2"/>
                <w:szCs w:val="24"/>
              </w:rPr>
              <w:t>AB bankas „Swedbank“, 73000</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+370 319 61149</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administracija@prienai.lt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Direktorė Jūratė Mickevičienė</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Įstaigos nuostatai</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t>1.2. Tiekėjas</w:t>
            </w:r>
          </w:p>
          <w:p>
            <w:pPr>
              <w:pStyle w:val="Normal"/>
              <w:rPr>
                <w:color w:val="4472C4"/>
                <w:kern w:val="2"/>
                <w:szCs w:val="24"/>
              </w:rPr>
            </w:pPr>
            <w:r>
              <w:rPr>
                <w:color w:val="4472C4"/>
                <w:kern w:val="2"/>
                <w:szCs w:val="24"/>
              </w:rPr>
              <w:t>(jei Tiekėjas yra fizinis asmuo, skiltys atitinkamai pakoreguojamos.</w:t>
            </w:r>
          </w:p>
          <w:p>
            <w:pPr>
              <w:pStyle w:val="Normal"/>
              <w:rPr>
                <w:color w:val="4472C4"/>
                <w:kern w:val="2"/>
                <w:szCs w:val="24"/>
              </w:rPr>
            </w:pPr>
            <w:r>
              <w:rPr>
                <w:color w:val="4472C4"/>
                <w:kern w:val="2"/>
                <w:szCs w:val="24"/>
              </w:rPr>
              <w:t>Jei Tiekėjas yra tiekėjų grupė, skiltys pildomos įterpiant kiekvieno grupės nario informaciją)</w:t>
            </w:r>
          </w:p>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kern w:val="2"/>
                <w:szCs w:val="24"/>
              </w:rPr>
            </w:r>
          </w:p>
        </w:tc>
      </w:tr>
    </w:tbl>
    <w:p>
      <w:pPr>
        <w:pStyle w:val="Normal"/>
        <w:jc w:val="both"/>
        <w:rPr>
          <w:szCs w:val="24"/>
        </w:rPr>
      </w:pPr>
      <w:r>
        <w:rPr>
          <w:szCs w:val="24"/>
        </w:rPr>
      </w:r>
    </w:p>
    <w:tbl>
      <w:tblPr>
        <w:tblW w:w="953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94"/>
        <w:gridCol w:w="83"/>
        <w:gridCol w:w="2047"/>
        <w:gridCol w:w="4307"/>
      </w:tblGrid>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2. ATSAKINGI ASMENYS</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rPr>
            </w:pPr>
            <w:r>
              <w:rPr>
                <w:color w:val="000000"/>
                <w:kern w:val="2"/>
                <w:szCs w:val="24"/>
              </w:rPr>
              <w:t xml:space="preserve">Kultūros ir turizmo skyriaus vyriausioji specialistė Edita Jakimavičiūtė, Tel. +370 319 61190 </w:t>
              <w:br/>
              <w:t xml:space="preserve">El.p. </w:t>
            </w:r>
            <w:hyperlink r:id="rId2">
              <w:r>
                <w:rPr>
                  <w:rStyle w:val="Hyperlink"/>
                  <w:color w:val="000000"/>
                  <w:kern w:val="2"/>
                  <w:szCs w:val="24"/>
                </w:rPr>
                <w:t>edita.jakimaviciute@prienai.lt</w:t>
              </w:r>
            </w:hyperlink>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2.2. Tiekėjo kontaktiniai asmenys, atsakingi už Sutarties vykdymą</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t>(nurodyti padalinį / skyrių, pareigas, vardą, pavardę, tel., el. paštą)</w:t>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3. SUTARTIES DALYKAS</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3.1. Sutarties dalykas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rPr>
            </w:pPr>
            <w:r>
              <w:rPr>
                <w:kern w:val="2"/>
                <w:szCs w:val="24"/>
              </w:rPr>
              <w:t xml:space="preserve">Tiekėjas įsipareigoja Sutartyje numatytomis sąlygomis suteikti Pirkėjui </w:t>
            </w:r>
            <w:r>
              <w:rPr>
                <w:rFonts w:eastAsia="Calibri" w:cs="Arial" w:ascii="Arial" w:hAnsi="Arial"/>
                <w:b/>
                <w:bCs/>
                <w:color w:themeColor="text1" w:val="000000"/>
                <w:kern w:val="2"/>
                <w:sz w:val="20"/>
                <w:szCs w:val="20"/>
              </w:rPr>
              <w:t>Prienų r. sav. esančių piliakalnių su gyvenvietėmis tvarkybos ir pritaikymo darbų projektinės dokumentacijos parengimo paslaugas :</w:t>
            </w:r>
          </w:p>
          <w:p>
            <w:pPr>
              <w:pStyle w:val="ListParagraph"/>
              <w:tabs>
                <w:tab w:val="clear" w:pos="1296"/>
                <w:tab w:val="left" w:pos="900" w:leader="none"/>
              </w:tabs>
              <w:spacing w:lineRule="auto" w:line="240" w:before="0" w:after="0"/>
              <w:ind w:firstLine="567" w:left="0"/>
              <w:contextualSpacing/>
              <w:jc w:val="both"/>
              <w:rPr>
                <w:color w:val="FF4000"/>
                <w:sz w:val="20"/>
                <w:szCs w:val="20"/>
              </w:rPr>
            </w:pPr>
            <w:r>
              <w:rPr>
                <w:rFonts w:eastAsia="Calibri" w:cs="Arial" w:ascii="Arial" w:hAnsi="Arial"/>
                <w:b/>
                <w:color w:val="FF4000"/>
                <w:sz w:val="20"/>
                <w:szCs w:val="20"/>
              </w:rPr>
              <w:t>I pirkimo dalis.</w:t>
            </w:r>
            <w:r>
              <w:rPr>
                <w:rFonts w:eastAsia="Calibri" w:cs="Arial" w:ascii="Arial" w:hAnsi="Arial"/>
                <w:color w:val="FF4000"/>
                <w:sz w:val="20"/>
                <w:szCs w:val="20"/>
              </w:rPr>
              <w:t xml:space="preserve"> Klebiškio piliakalnis su gyvenviete (22587) Prienų r.sav., Šilavoto sen., Klebiškio k.;</w:t>
            </w:r>
          </w:p>
          <w:p>
            <w:pPr>
              <w:pStyle w:val="ListParagraph"/>
              <w:tabs>
                <w:tab w:val="clear" w:pos="1296"/>
                <w:tab w:val="left" w:pos="900" w:leader="none"/>
              </w:tabs>
              <w:spacing w:lineRule="auto" w:line="240" w:before="0" w:after="0"/>
              <w:ind w:firstLine="567" w:left="0"/>
              <w:contextualSpacing/>
              <w:jc w:val="both"/>
              <w:rPr>
                <w:color w:val="FF4000"/>
                <w:sz w:val="20"/>
                <w:szCs w:val="20"/>
              </w:rPr>
            </w:pPr>
            <w:r>
              <w:rPr>
                <w:rFonts w:eastAsia="Calibri" w:cs="Arial" w:ascii="Arial" w:hAnsi="Arial"/>
                <w:b/>
                <w:color w:val="FF4000"/>
                <w:sz w:val="20"/>
                <w:szCs w:val="20"/>
              </w:rPr>
              <w:t>II pirkimo dalis.</w:t>
            </w:r>
            <w:r>
              <w:rPr>
                <w:rFonts w:eastAsia="Calibri" w:cs="Arial" w:ascii="Arial" w:hAnsi="Arial"/>
                <w:color w:val="FF4000"/>
                <w:sz w:val="20"/>
                <w:szCs w:val="20"/>
              </w:rPr>
              <w:t xml:space="preserve">  Čiudiškių piliakalnis su gyvenviete (22579) Prienų r.sav., Išlaužo sen., Čiudiškių k.;</w:t>
            </w:r>
          </w:p>
          <w:p>
            <w:pPr>
              <w:pStyle w:val="ListParagraph"/>
              <w:tabs>
                <w:tab w:val="clear" w:pos="1296"/>
                <w:tab w:val="left" w:pos="900" w:leader="none"/>
              </w:tabs>
              <w:spacing w:lineRule="auto" w:line="240" w:before="0" w:after="0"/>
              <w:ind w:firstLine="567" w:left="0"/>
              <w:contextualSpacing/>
              <w:jc w:val="both"/>
              <w:rPr>
                <w:color w:val="FF4000"/>
                <w:sz w:val="20"/>
                <w:szCs w:val="20"/>
              </w:rPr>
            </w:pPr>
            <w:r>
              <w:rPr>
                <w:rFonts w:eastAsia="Calibri" w:cs="Arial" w:ascii="Arial" w:hAnsi="Arial"/>
                <w:b/>
                <w:color w:val="FF4000"/>
                <w:sz w:val="20"/>
                <w:szCs w:val="20"/>
              </w:rPr>
              <w:t>III pirkimo dalis.</w:t>
            </w:r>
            <w:r>
              <w:rPr>
                <w:rFonts w:eastAsia="Calibri" w:cs="Arial" w:ascii="Arial" w:hAnsi="Arial"/>
                <w:color w:val="FF4000"/>
                <w:sz w:val="20"/>
                <w:szCs w:val="20"/>
              </w:rPr>
              <w:t xml:space="preserve">  Dukurnonių piliakalnis su gyvenviete (22581) Prienų r. sav., Jiezno sen., Dukurnonių k.;</w:t>
            </w:r>
          </w:p>
          <w:p>
            <w:pPr>
              <w:pStyle w:val="ListParagraph"/>
              <w:tabs>
                <w:tab w:val="clear" w:pos="1296"/>
                <w:tab w:val="left" w:pos="900" w:leader="none"/>
              </w:tabs>
              <w:spacing w:lineRule="auto" w:line="240" w:before="0" w:after="0"/>
              <w:ind w:firstLine="567" w:left="0"/>
              <w:contextualSpacing/>
              <w:jc w:val="both"/>
              <w:rPr>
                <w:color w:val="FF4000"/>
                <w:sz w:val="20"/>
                <w:szCs w:val="20"/>
              </w:rPr>
            </w:pPr>
            <w:r>
              <w:rPr>
                <w:rFonts w:eastAsia="Calibri" w:cs="Arial" w:ascii="Arial" w:hAnsi="Arial"/>
                <w:b/>
                <w:bCs/>
                <w:color w:val="FF4000"/>
                <w:sz w:val="20"/>
                <w:szCs w:val="20"/>
              </w:rPr>
              <w:t>IV pirkimo dalis.</w:t>
            </w:r>
            <w:r>
              <w:rPr>
                <w:rFonts w:eastAsia="Calibri" w:cs="Arial" w:ascii="Arial" w:hAnsi="Arial"/>
                <w:color w:val="FF4000"/>
                <w:sz w:val="20"/>
                <w:szCs w:val="20"/>
              </w:rPr>
              <w:t xml:space="preserve"> Lepelionių piliakalnis su gyvenviete (22593) Prienų r.sav., Stakliškių sen., Lepelionių k.;</w:t>
            </w:r>
          </w:p>
          <w:p>
            <w:pPr>
              <w:pStyle w:val="ListParagraph"/>
              <w:tabs>
                <w:tab w:val="clear" w:pos="1296"/>
                <w:tab w:val="left" w:pos="900" w:leader="none"/>
              </w:tabs>
              <w:spacing w:lineRule="auto" w:line="240" w:before="0" w:after="0"/>
              <w:ind w:firstLine="567" w:left="0"/>
              <w:contextualSpacing/>
              <w:jc w:val="both"/>
              <w:rPr>
                <w:color w:val="FF4000"/>
                <w:sz w:val="20"/>
                <w:szCs w:val="20"/>
              </w:rPr>
            </w:pPr>
            <w:r>
              <w:rPr>
                <w:rFonts w:eastAsia="Calibri" w:cs="Arial" w:ascii="Arial" w:hAnsi="Arial"/>
                <w:b/>
                <w:bCs/>
                <w:color w:val="FF4000"/>
                <w:sz w:val="20"/>
                <w:szCs w:val="20"/>
              </w:rPr>
              <w:t>V pirkimo dalis.</w:t>
            </w:r>
            <w:r>
              <w:rPr>
                <w:rFonts w:eastAsia="Calibri" w:cs="Arial" w:ascii="Arial" w:hAnsi="Arial"/>
                <w:color w:val="FF4000"/>
                <w:sz w:val="20"/>
                <w:szCs w:val="20"/>
              </w:rPr>
              <w:t xml:space="preserve"> Norkūnų piliakalnis II su gyvenviete (22577) Prienų r. sav., Balbieriškio sen., Norkūnų k.;</w:t>
            </w:r>
          </w:p>
          <w:p>
            <w:pPr>
              <w:pStyle w:val="ListParagraph"/>
              <w:tabs>
                <w:tab w:val="clear" w:pos="1296"/>
                <w:tab w:val="left" w:pos="900" w:leader="none"/>
              </w:tabs>
              <w:spacing w:lineRule="auto" w:line="240" w:before="0" w:after="0"/>
              <w:ind w:firstLine="567" w:left="0"/>
              <w:contextualSpacing/>
              <w:jc w:val="both"/>
              <w:rPr>
                <w:color w:val="FF4000"/>
                <w:sz w:val="20"/>
                <w:szCs w:val="20"/>
              </w:rPr>
            </w:pPr>
            <w:r>
              <w:rPr>
                <w:rFonts w:eastAsia="Calibri" w:cs="Arial" w:ascii="Arial" w:hAnsi="Arial"/>
                <w:b/>
                <w:bCs/>
                <w:color w:val="FF4000"/>
                <w:sz w:val="20"/>
                <w:szCs w:val="20"/>
              </w:rPr>
              <w:t>VI pirkimo dalis.</w:t>
            </w:r>
            <w:r>
              <w:rPr>
                <w:rFonts w:eastAsia="Calibri" w:cs="Arial" w:ascii="Arial" w:hAnsi="Arial"/>
                <w:color w:val="FF4000"/>
                <w:sz w:val="20"/>
                <w:szCs w:val="20"/>
              </w:rPr>
              <w:t xml:space="preserve"> Norkūnų piliakalnis su gyvenviete (22575) Prienų r. sav., Balbieriškio sen., Norkūnų k.;</w:t>
            </w:r>
          </w:p>
          <w:p>
            <w:pPr>
              <w:pStyle w:val="ListParagraph"/>
              <w:tabs>
                <w:tab w:val="clear" w:pos="1296"/>
                <w:tab w:val="left" w:pos="900" w:leader="none"/>
              </w:tabs>
              <w:spacing w:lineRule="auto" w:line="240" w:before="0" w:after="0"/>
              <w:ind w:firstLine="567" w:left="0"/>
              <w:contextualSpacing/>
              <w:jc w:val="both"/>
              <w:rPr>
                <w:color w:val="FF4000"/>
                <w:sz w:val="20"/>
                <w:szCs w:val="20"/>
              </w:rPr>
            </w:pPr>
            <w:r>
              <w:rPr>
                <w:rFonts w:eastAsia="Calibri" w:cs="Arial" w:ascii="Arial" w:hAnsi="Arial"/>
                <w:b/>
                <w:bCs/>
                <w:color w:val="FF4000"/>
                <w:sz w:val="20"/>
                <w:szCs w:val="20"/>
              </w:rPr>
              <w:t>VII pirkimo dalis.</w:t>
            </w:r>
            <w:r>
              <w:rPr>
                <w:rFonts w:eastAsia="Calibri" w:cs="Arial" w:ascii="Arial" w:hAnsi="Arial"/>
                <w:color w:val="FF4000"/>
                <w:sz w:val="20"/>
                <w:szCs w:val="20"/>
              </w:rPr>
              <w:t xml:space="preserve"> Pašlavančio piliakalnis su gyvenviete (22589) Prienų r. sav., Šilavoto sen., Pašlavančio k.;</w:t>
            </w:r>
          </w:p>
          <w:p>
            <w:pPr>
              <w:pStyle w:val="ListParagraph"/>
              <w:tabs>
                <w:tab w:val="clear" w:pos="1296"/>
                <w:tab w:val="left" w:pos="900" w:leader="none"/>
              </w:tabs>
              <w:spacing w:lineRule="auto" w:line="240" w:before="0" w:after="0"/>
              <w:ind w:firstLine="567" w:left="0"/>
              <w:contextualSpacing/>
              <w:jc w:val="both"/>
              <w:rPr>
                <w:color w:val="FF4000"/>
              </w:rPr>
            </w:pPr>
            <w:r>
              <w:rPr>
                <w:rFonts w:eastAsia="Calibri" w:cs="Arial" w:ascii="Arial" w:hAnsi="Arial"/>
                <w:b/>
                <w:bCs/>
                <w:color w:val="FF4000"/>
                <w:kern w:val="2"/>
                <w:sz w:val="20"/>
                <w:szCs w:val="20"/>
              </w:rPr>
              <w:t>VIII pirkimo dalis</w:t>
            </w:r>
            <w:r>
              <w:rPr>
                <w:rFonts w:eastAsia="Calibri" w:cs="Arial" w:ascii="Arial" w:hAnsi="Arial"/>
                <w:color w:val="FF4000"/>
                <w:kern w:val="2"/>
                <w:sz w:val="20"/>
                <w:szCs w:val="20"/>
              </w:rPr>
              <w:t>. Pelekonių piliakalnis IV su gyvenviete (32637) Prienų r. sav., Jiezno sen., Pelekonių k</w:t>
            </w:r>
            <w:r>
              <w:rPr>
                <w:rFonts w:eastAsia="Calibri" w:cs="Arial" w:ascii="Arial" w:hAnsi="Arial"/>
                <w:color w:val="FF4000"/>
                <w:kern w:val="2"/>
                <w:sz w:val="24"/>
                <w:szCs w:val="24"/>
              </w:rPr>
              <w:t>.</w:t>
            </w:r>
          </w:p>
          <w:p>
            <w:pPr>
              <w:pStyle w:val="Normal"/>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3.2. Pirkimo pavadinimas ir numeris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3.3. Informacija apie Europos Sąjungos lėšomis finansuojamą projektą arba kitą projektą</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kern w:val="2"/>
                <w:szCs w:val="24"/>
              </w:rPr>
            </w:pPr>
            <w:r>
              <w:rPr>
                <w:kern w:val="2"/>
                <w:szCs w:val="24"/>
              </w:rPr>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 xml:space="preserve">Tiekėjas Paslaugas įsipareigoja teikti </w:t>
            </w:r>
            <w:r>
              <w:rPr>
                <w:b w:val="false"/>
                <w:bCs w:val="false"/>
                <w:szCs w:val="24"/>
              </w:rPr>
              <w:t>nuo</w:t>
            </w:r>
            <w:r>
              <w:rPr>
                <w:szCs w:val="24"/>
              </w:rPr>
              <w:t xml:space="preserve"> </w:t>
            </w:r>
            <w:r>
              <w:rPr>
                <w:color w:val="000000"/>
                <w:szCs w:val="24"/>
              </w:rPr>
              <w:t>Sutarties įsigaliojimo dienos.</w:t>
            </w:r>
          </w:p>
          <w:p>
            <w:pPr>
              <w:pStyle w:val="Normal"/>
              <w:spacing w:lineRule="auto" w:line="240" w:before="0" w:after="0"/>
              <w:jc w:val="both"/>
              <w:rPr/>
            </w:pPr>
            <w:r>
              <w:rPr>
                <w:rFonts w:cs="Times New Roman"/>
                <w:color w:val="000000"/>
                <w:sz w:val="24"/>
                <w:szCs w:val="24"/>
              </w:rPr>
              <w:t>Projek</w:t>
            </w:r>
            <w:r>
              <w:rPr>
                <w:rFonts w:cs="Times New Roman"/>
                <w:color w:val="000000"/>
                <w:sz w:val="24"/>
                <w:szCs w:val="24"/>
              </w:rPr>
              <w:t>tinė dokumentacija p</w:t>
            </w:r>
            <w:r>
              <w:rPr>
                <w:rFonts w:cs="Times New Roman"/>
                <w:color w:val="000000"/>
                <w:sz w:val="24"/>
                <w:szCs w:val="24"/>
              </w:rPr>
              <w:t>arengiam</w:t>
            </w:r>
            <w:r>
              <w:rPr>
                <w:rFonts w:cs="Times New Roman"/>
                <w:color w:val="000000"/>
                <w:sz w:val="24"/>
                <w:szCs w:val="24"/>
              </w:rPr>
              <w:t>a</w:t>
            </w:r>
            <w:r>
              <w:rPr>
                <w:rFonts w:cs="Times New Roman"/>
                <w:color w:val="000000"/>
                <w:sz w:val="24"/>
                <w:szCs w:val="24"/>
              </w:rPr>
              <w:t xml:space="preserve"> ir pateikiam</w:t>
            </w:r>
            <w:r>
              <w:rPr>
                <w:rFonts w:cs="Times New Roman"/>
                <w:color w:val="000000"/>
                <w:sz w:val="24"/>
                <w:szCs w:val="24"/>
              </w:rPr>
              <w:t>a</w:t>
            </w:r>
            <w:r>
              <w:rPr>
                <w:rFonts w:cs="Times New Roman"/>
                <w:color w:val="000000"/>
                <w:sz w:val="24"/>
                <w:szCs w:val="24"/>
              </w:rPr>
              <w:t xml:space="preserve"> Užsakovo suderinimui per </w:t>
            </w:r>
            <w:r>
              <w:rPr>
                <w:rFonts w:eastAsia="Calibri" w:cs="Times New Roman"/>
                <w:color w:val="000000"/>
                <w:sz w:val="24"/>
                <w:szCs w:val="24"/>
                <w:lang w:val="lt-LT" w:bidi="ar-SA"/>
              </w:rPr>
              <w:t xml:space="preserve">7 </w:t>
            </w:r>
            <w:r>
              <w:rPr>
                <w:rFonts w:cs="Times New Roman"/>
                <w:color w:val="000000"/>
                <w:sz w:val="24"/>
                <w:szCs w:val="24"/>
              </w:rPr>
              <w:t>mėnesius nuo sutarties pasirašymo dienos.</w:t>
            </w:r>
          </w:p>
          <w:p>
            <w:pPr>
              <w:pStyle w:val="Normal"/>
              <w:spacing w:lineRule="auto" w:line="240" w:before="0" w:after="0"/>
              <w:jc w:val="both"/>
              <w:rPr/>
            </w:pPr>
            <w:r>
              <w:rPr>
                <w:rFonts w:cs="Times New Roman"/>
                <w:color w:val="000000"/>
                <w:kern w:val="2"/>
                <w:sz w:val="24"/>
                <w:szCs w:val="24"/>
              </w:rPr>
              <w:t xml:space="preserve">Statybą leidžiantį dokumentą ir tvarkybos darbus leidžiantį dokumentą Projektuotojas gauna ir pateikia Užsakovui  per  </w:t>
            </w:r>
            <w:r>
              <w:rPr>
                <w:rFonts w:eastAsia="Calibri" w:cs="Times New Roman"/>
                <w:color w:val="000000"/>
                <w:kern w:val="2"/>
                <w:sz w:val="24"/>
                <w:szCs w:val="24"/>
                <w:lang w:val="lt-LT" w:bidi="ar-SA"/>
              </w:rPr>
              <w:t xml:space="preserve">9 </w:t>
            </w:r>
            <w:r>
              <w:rPr>
                <w:rFonts w:cs="Times New Roman"/>
                <w:color w:val="000000"/>
                <w:kern w:val="2"/>
                <w:sz w:val="24"/>
                <w:szCs w:val="24"/>
              </w:rPr>
              <w:t>mėnesius nuo sutarties pasirašymo dienos.</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4.2. Paslaugų / jų dalies / etapo / periodo suteikimo termino pratęsimas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Pr>
                <w:kern w:val="2"/>
                <w:szCs w:val="24"/>
              </w:rPr>
              <w:t>10 darbo dienų</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Pr>
                <w:kern w:val="2"/>
                <w:szCs w:val="24"/>
              </w:rPr>
              <w:t>3 mėnesių</w:t>
            </w:r>
            <w:r>
              <w:rPr>
                <w:kern w:val="2"/>
                <w:szCs w:val="24"/>
              </w:rPr>
              <w:t xml:space="preserve"> laikotarpiui.</w:t>
            </w:r>
          </w:p>
          <w:p>
            <w:pPr>
              <w:pStyle w:val="Normal"/>
              <w:rPr>
                <w:kern w:val="2"/>
                <w:szCs w:val="24"/>
              </w:rPr>
            </w:pPr>
            <w:r>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4.3. Užsakymų teikimo tvarka</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szCs w:val="24"/>
              </w:rPr>
              <w:t>Netaikoma</w:t>
            </w:r>
          </w:p>
          <w:p>
            <w:pPr>
              <w:pStyle w:val="Normal"/>
              <w:rPr>
                <w:szCs w:val="24"/>
              </w:rPr>
            </w:pPr>
            <w:r>
              <w:rPr>
                <w:szCs w:val="24"/>
              </w:rPr>
            </w:r>
          </w:p>
          <w:p>
            <w:pPr>
              <w:pStyle w:val="Normal"/>
              <w:rPr>
                <w:color w:val="FF0000"/>
                <w:szCs w:val="24"/>
              </w:rPr>
            </w:pPr>
            <w:r>
              <w:rPr>
                <w:color w:val="FF0000"/>
                <w:szCs w:val="24"/>
              </w:rPr>
            </w:r>
          </w:p>
        </w:tc>
      </w:tr>
      <w:tr>
        <w:trPr>
          <w:trHeight w:val="1315"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4.4. Dėl minimalios Užsakymo vertės ar apimties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4.5. Pateikiami dokumentai</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Turi būti pateikiami šie dokumentai:</w:t>
            </w:r>
            <w:r>
              <w:rPr>
                <w:color w:val="4472C4"/>
                <w:kern w:val="2"/>
                <w:szCs w:val="24"/>
              </w:rPr>
              <w:t xml:space="preserve"> </w:t>
            </w:r>
            <w:r>
              <w:rPr>
                <w:color w:val="000000"/>
                <w:kern w:val="2"/>
                <w:szCs w:val="24"/>
              </w:rPr>
              <w:t xml:space="preserve">Paslaugų perdavimo-priėmimo aktas, Sąskaita, </w:t>
            </w:r>
            <w:r>
              <w:rPr>
                <w:color w:val="000000"/>
                <w:kern w:val="2"/>
                <w:szCs w:val="24"/>
              </w:rPr>
              <w:t>p</w:t>
            </w:r>
            <w:r>
              <w:rPr>
                <w:rFonts w:cs="Times New Roman"/>
                <w:color w:val="000000"/>
                <w:sz w:val="24"/>
                <w:szCs w:val="24"/>
              </w:rPr>
              <w:t>arengt</w:t>
            </w:r>
            <w:r>
              <w:rPr>
                <w:rFonts w:cs="Times New Roman"/>
                <w:color w:val="000000"/>
                <w:sz w:val="24"/>
                <w:szCs w:val="24"/>
              </w:rPr>
              <w:t>as</w:t>
            </w:r>
            <w:r>
              <w:rPr>
                <w:rFonts w:cs="Times New Roman"/>
                <w:color w:val="000000"/>
                <w:sz w:val="24"/>
                <w:szCs w:val="24"/>
              </w:rPr>
              <w:t xml:space="preserve"> ir patvirtint</w:t>
            </w:r>
            <w:r>
              <w:rPr>
                <w:rFonts w:cs="Times New Roman"/>
                <w:color w:val="000000"/>
                <w:sz w:val="24"/>
                <w:szCs w:val="24"/>
              </w:rPr>
              <w:t>as</w:t>
            </w:r>
            <w:r>
              <w:rPr>
                <w:rFonts w:cs="Times New Roman"/>
                <w:color w:val="000000"/>
                <w:sz w:val="24"/>
                <w:szCs w:val="24"/>
              </w:rPr>
              <w:t xml:space="preserve"> projekt</w:t>
            </w:r>
            <w:r>
              <w:rPr>
                <w:rFonts w:cs="Times New Roman"/>
                <w:color w:val="000000"/>
                <w:sz w:val="24"/>
                <w:szCs w:val="24"/>
              </w:rPr>
              <w:t>as,</w:t>
            </w:r>
            <w:r>
              <w:rPr>
                <w:rFonts w:cs="Times New Roman"/>
                <w:color w:val="000000"/>
                <w:sz w:val="24"/>
                <w:szCs w:val="24"/>
              </w:rPr>
              <w:t xml:space="preserve"> suderint</w:t>
            </w:r>
            <w:r>
              <w:rPr>
                <w:rFonts w:cs="Times New Roman"/>
                <w:color w:val="000000"/>
                <w:sz w:val="24"/>
                <w:szCs w:val="24"/>
              </w:rPr>
              <w:t>as</w:t>
            </w:r>
            <w:r>
              <w:rPr>
                <w:rFonts w:cs="Times New Roman"/>
                <w:color w:val="000000"/>
                <w:sz w:val="24"/>
                <w:szCs w:val="24"/>
              </w:rPr>
              <w:t xml:space="preserve"> su atsakingomis institucijomis </w:t>
            </w:r>
            <w:r>
              <w:rPr>
                <w:rFonts w:cs="Times New Roman"/>
                <w:color w:val="000000"/>
                <w:sz w:val="24"/>
                <w:szCs w:val="24"/>
              </w:rPr>
              <w:t>(</w:t>
            </w:r>
            <w:r>
              <w:rPr>
                <w:rFonts w:cs="Times New Roman"/>
                <w:color w:val="000000"/>
                <w:kern w:val="2"/>
                <w:sz w:val="24"/>
                <w:szCs w:val="24"/>
              </w:rPr>
              <w:t xml:space="preserve"> 3 projekto egzempliori</w:t>
            </w:r>
            <w:r>
              <w:rPr>
                <w:rFonts w:cs="Times New Roman"/>
                <w:color w:val="000000"/>
                <w:kern w:val="2"/>
                <w:sz w:val="24"/>
                <w:szCs w:val="24"/>
              </w:rPr>
              <w:t>ai</w:t>
            </w:r>
            <w:r>
              <w:rPr>
                <w:rFonts w:cs="Times New Roman"/>
                <w:color w:val="000000"/>
                <w:kern w:val="2"/>
                <w:sz w:val="24"/>
                <w:szCs w:val="24"/>
              </w:rPr>
              <w:t xml:space="preserve"> ir 1 skaitmenin</w:t>
            </w:r>
            <w:r>
              <w:rPr>
                <w:rFonts w:cs="Times New Roman"/>
                <w:color w:val="000000"/>
                <w:kern w:val="2"/>
                <w:sz w:val="24"/>
                <w:szCs w:val="24"/>
              </w:rPr>
              <w:t>is</w:t>
            </w:r>
            <w:r>
              <w:rPr>
                <w:rFonts w:cs="Times New Roman"/>
                <w:color w:val="000000"/>
                <w:kern w:val="2"/>
                <w:sz w:val="24"/>
                <w:szCs w:val="24"/>
              </w:rPr>
              <w:t xml:space="preserve"> projekto egzempliori</w:t>
            </w:r>
            <w:r>
              <w:rPr>
                <w:rFonts w:cs="Times New Roman"/>
                <w:color w:val="000000"/>
                <w:kern w:val="2"/>
                <w:sz w:val="24"/>
                <w:szCs w:val="24"/>
              </w:rPr>
              <w:t>us)</w:t>
            </w:r>
            <w:r>
              <w:rPr>
                <w:color w:val="000000"/>
                <w:kern w:val="2"/>
                <w:szCs w:val="24"/>
              </w:rPr>
              <w:t>.</w:t>
            </w:r>
            <w:r>
              <w:rPr>
                <w:kern w:val="2"/>
                <w:szCs w:val="24"/>
              </w:rPr>
              <w:t xml:space="preserve"> Tiekėjui nepateikus nurodytų dokumentų, laikoma, kad Paslaugos neatitinka Sutartyje nustatytų reikalavimų.</w:t>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5. SUTARTIES KAINA IR ATSISKAITYMO TVARKA</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5.1. Sutarčiai taikomas kainos apskaičiavimo būdas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r>
          </w:p>
          <w:p>
            <w:pPr>
              <w:pStyle w:val="Normal"/>
              <w:rPr>
                <w:kern w:val="2"/>
                <w:szCs w:val="24"/>
              </w:rPr>
            </w:pPr>
            <w:r>
              <w:rPr>
                <w:kern w:val="2"/>
                <w:szCs w:val="24"/>
              </w:rPr>
              <w:t>Fiksuotos kainos kainodara</w:t>
            </w:r>
          </w:p>
          <w:p>
            <w:pPr>
              <w:pStyle w:val="Normal"/>
              <w:rPr>
                <w:kern w:val="2"/>
                <w:szCs w:val="24"/>
              </w:rPr>
            </w:pPr>
            <w:r>
              <w:rPr>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pPr>
              <w:pStyle w:val="Normal"/>
              <w:rPr>
                <w:b/>
                <w:kern w:val="2"/>
                <w:szCs w:val="24"/>
              </w:rPr>
            </w:pPr>
            <w:r>
              <w:rPr>
                <w:b/>
                <w:kern w:val="2"/>
                <w:szCs w:val="24"/>
              </w:rPr>
            </w:r>
          </w:p>
          <w:p>
            <w:pPr>
              <w:pStyle w:val="Normal"/>
              <w:rPr>
                <w:b/>
                <w:kern w:val="2"/>
                <w:szCs w:val="24"/>
              </w:rPr>
            </w:pPr>
            <w:r>
              <w:rPr>
                <w:b/>
                <w:kern w:val="2"/>
                <w:szCs w:val="24"/>
              </w:rPr>
            </w:r>
          </w:p>
          <w:p>
            <w:pPr>
              <w:pStyle w:val="Normal"/>
              <w:rPr>
                <w:b/>
                <w:kern w:val="2"/>
                <w:szCs w:val="24"/>
              </w:rPr>
            </w:pPr>
            <w:r>
              <w:rPr>
                <w:b/>
                <w:kern w:val="2"/>
                <w:szCs w:val="24"/>
              </w:rPr>
            </w:r>
          </w:p>
          <w:p>
            <w:pPr>
              <w:pStyle w:val="Normal"/>
              <w:jc w:val="both"/>
              <w:rPr>
                <w:b/>
                <w:color w:val="FF0000"/>
                <w:kern w:val="2"/>
                <w:szCs w:val="24"/>
              </w:rPr>
            </w:pPr>
            <w:r>
              <w:rPr>
                <w:b/>
                <w:color w:val="FF0000"/>
                <w:kern w:val="2"/>
                <w:szCs w:val="24"/>
              </w:rPr>
            </w:r>
          </w:p>
          <w:p>
            <w:pPr>
              <w:pStyle w:val="Normal"/>
              <w:rPr>
                <w:b/>
                <w:kern w:val="2"/>
                <w:szCs w:val="24"/>
              </w:rPr>
            </w:pPr>
            <w:r>
              <w:rPr>
                <w:b/>
                <w:kern w:val="2"/>
                <w:szCs w:val="24"/>
              </w:rPr>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pPr>
              <w:pStyle w:val="Normal"/>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pPr>
              <w:pStyle w:val="Normal"/>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pPr>
              <w:pStyle w:val="Normal"/>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pPr>
              <w:pStyle w:val="Normal"/>
              <w:rPr>
                <w:b/>
                <w:kern w:val="2"/>
                <w:szCs w:val="24"/>
              </w:rPr>
            </w:pPr>
            <w:r>
              <w:rPr>
                <w:b/>
                <w:kern w:val="2"/>
                <w:szCs w:val="24"/>
              </w:rPr>
            </w:r>
          </w:p>
          <w:p>
            <w:pPr>
              <w:pStyle w:val="Normal"/>
              <w:rPr>
                <w:kern w:val="2"/>
                <w:szCs w:val="24"/>
              </w:rPr>
            </w:pPr>
            <w:r>
              <w:rPr>
                <w:kern w:val="2"/>
                <w:szCs w:val="24"/>
              </w:rPr>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color w:val="4472C4"/>
                <w:kern w:val="2"/>
                <w:szCs w:val="24"/>
              </w:rPr>
              <w:t>(nurodyti sąlygas, dėl kurių bus atliekamas Sutarties kainos / įkainio (-ių) perskaičiavimas, pasirenkant iš nurodytų variantų arba įrašant kitas Sutarties kainos / įkainio (-ių) perskaičiavimo taisykles)</w:t>
            </w:r>
          </w:p>
          <w:p>
            <w:pPr>
              <w:pStyle w:val="Normal"/>
              <w:rPr>
                <w:kern w:val="2"/>
                <w:szCs w:val="24"/>
              </w:rPr>
            </w:pPr>
            <w:r>
              <w:rPr>
                <w:kern w:val="2"/>
                <w:szCs w:val="24"/>
              </w:rPr>
            </w:r>
          </w:p>
          <w:p>
            <w:pPr>
              <w:pStyle w:val="Normal"/>
              <w:rPr>
                <w:szCs w:val="24"/>
              </w:rPr>
            </w:pPr>
            <w:r>
              <w:rPr>
                <w:kern w:val="2"/>
                <w:szCs w:val="24"/>
              </w:rPr>
              <w:t xml:space="preserve">Sutarties </w:t>
            </w:r>
            <w:r>
              <w:rPr>
                <w:color w:val="000000"/>
                <w:kern w:val="2"/>
                <w:szCs w:val="24"/>
              </w:rPr>
              <w:t xml:space="preserve">kaina </w:t>
            </w:r>
            <w:r>
              <w:rPr>
                <w:kern w:val="2"/>
                <w:szCs w:val="24"/>
              </w:rPr>
              <w:t>bus perskaičiuojami:</w:t>
            </w:r>
          </w:p>
          <w:p>
            <w:pPr>
              <w:pStyle w:val="Normal"/>
              <w:rPr>
                <w:color w:val="FF0000"/>
                <w:kern w:val="2"/>
                <w:szCs w:val="24"/>
              </w:rPr>
            </w:pPr>
            <w:r>
              <w:rPr>
                <w:kern w:val="2"/>
                <w:szCs w:val="24"/>
              </w:rPr>
              <w:t>5.3.1. dėl PVM tarifo pasikeitimo;</w:t>
            </w:r>
          </w:p>
          <w:p>
            <w:pPr>
              <w:pStyle w:val="Normal"/>
              <w:rPr>
                <w:color w:val="000000"/>
              </w:rPr>
            </w:pPr>
            <w:r>
              <w:rPr>
                <w:color w:val="000000"/>
                <w:kern w:val="2"/>
                <w:szCs w:val="24"/>
              </w:rPr>
              <w:t>5.3.2. dėl kainų lygio pokyčio.</w:t>
            </w:r>
          </w:p>
          <w:p>
            <w:pPr>
              <w:pStyle w:val="Normal"/>
              <w:rPr>
                <w:color w:val="FF0000"/>
                <w:kern w:val="2"/>
                <w:szCs w:val="24"/>
              </w:rPr>
            </w:pPr>
            <w:r>
              <w:rPr>
                <w:color w:val="FF0000"/>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5.3.1. Sutarties kainos / įkainių peržiūra dėl PVM tarifo pasikeitimo</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pPr>
              <w:pStyle w:val="Normal"/>
              <w:rPr>
                <w:kern w:val="2"/>
                <w:szCs w:val="24"/>
              </w:rPr>
            </w:pPr>
            <w:r>
              <w:rPr>
                <w:kern w:val="2"/>
                <w:szCs w:val="24"/>
              </w:rPr>
            </w:r>
          </w:p>
          <w:p>
            <w:pPr>
              <w:pStyle w:val="Normal"/>
              <w:rPr>
                <w:kern w:val="2"/>
                <w:szCs w:val="24"/>
              </w:rPr>
            </w:pPr>
            <w:r>
              <w:rPr>
                <w:color w:val="000000"/>
                <w:kern w:val="2"/>
                <w:szCs w:val="24"/>
              </w:rPr>
              <w:t>Perskaičiavimas įforminamas Susitarimu ne vėliau kaip per 10 (dešimt) darbo dienų nuo PVM mokėjimą reglamentuojančių teisės aktų pasikeitimo, kuris tampa neatskiriama Sutarties dalimi. Perskaičiuota (-as) Sutarties kaina taikoma už tą Paslaugų dalį, kurios bus teikiamos nuo Susitarime nurodytos dienos.</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5.3.3. Sutarties kainos / įkainių peržiūra dėl kainų lygio pokyčio</w:t>
            </w:r>
          </w:p>
          <w:p>
            <w:pPr>
              <w:pStyle w:val="Normal"/>
              <w:rPr>
                <w:kern w:val="2"/>
                <w:szCs w:val="24"/>
              </w:rPr>
            </w:pPr>
            <w:r>
              <w:rPr>
                <w:kern w:val="2"/>
                <w:szCs w:val="24"/>
              </w:rPr>
            </w:r>
          </w:p>
          <w:p>
            <w:pPr>
              <w:pStyle w:val="Normal"/>
              <w:rPr>
                <w:b/>
                <w:kern w:val="2"/>
                <w:szCs w:val="24"/>
              </w:rPr>
            </w:pPr>
            <w:r>
              <w:rPr>
                <w:b/>
                <w:kern w:val="2"/>
                <w:szCs w:val="24"/>
              </w:rPr>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Paslaugų kainų pokytis (k), apskaičiuotas kaip nustatyta 5.3.3.6 punkte, viršija 5 procentus. Sutarties kainos peržiūra atliekama ne dažniau kaip kas 6 (šeši) mėnesiai. 5.3.3.2. Sutarties kaina peržiūrima tik tai Sutarties daliai, kuri nėra išpirkta, t. y. Paslaugoms, kurios nėra priimtos ir apmokėtos. Vėlesnė Sutarties kainos peržiūra negali apimti laikotarpio, už kurį jau buvo atlikta peržiūra.</w:t>
            </w:r>
          </w:p>
          <w:p>
            <w:pPr>
              <w:pStyle w:val="Normal"/>
              <w:rPr>
                <w:color w:val="000000"/>
              </w:rPr>
            </w:pPr>
            <w:r>
              <w:rPr>
                <w:color w:val="000000"/>
                <w:kern w:val="2"/>
                <w:szCs w:val="24"/>
              </w:rPr>
              <w:t>5.3.3.3. Jeigu Paslaugų teikimas vėluoja dėl Tiekėjo kaltės, uždelstų suteikti Paslaugų kaina nėra perskaičiuojama dėl kainų lygio kilimo (gali būti mažinami, tačiau negali būti didinami). 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pPr>
              <w:pStyle w:val="Normal"/>
              <w:rPr>
                <w:color w:val="000000"/>
              </w:rPr>
            </w:pPr>
            <w:r>
              <w:rPr>
                <w:color w:val="000000"/>
                <w:kern w:val="2"/>
                <w:szCs w:val="24"/>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pPr>
              <w:pStyle w:val="Normal"/>
              <w:rPr>
                <w:color w:val="000000"/>
              </w:rPr>
            </w:pPr>
            <w:r>
              <w:rPr>
                <w:color w:val="000000"/>
                <w:kern w:val="2"/>
                <w:szCs w:val="24"/>
              </w:rPr>
              <w:t>5.3.3.6. Nauja Sutarties kaina apskaičiuojami pagal žemiau pateiktą formulę:</w:t>
            </w:r>
          </w:p>
          <w:p>
            <w:pPr>
              <w:pStyle w:val="Normal"/>
              <w:rPr>
                <w:kern w:val="2"/>
                <w:szCs w:val="24"/>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color w:val="FF0000"/>
                <w:kern w:val="2"/>
                <w:szCs w:val="24"/>
              </w:rPr>
              <w:t xml:space="preserve">, </w:t>
            </w:r>
            <w:r>
              <w:rPr>
                <w:color w:val="000000"/>
                <w:kern w:val="2"/>
                <w:szCs w:val="24"/>
              </w:rPr>
              <w:t>kur a – kaina (Eur be PVM) (jei peržiūra jau buvo atlikta, tai po paskutinio perskaičiavimo) a</w:t>
            </w:r>
            <w:r>
              <w:rPr>
                <w:color w:val="000000"/>
                <w:kern w:val="2"/>
                <w:szCs w:val="24"/>
                <w:vertAlign w:val="subscript"/>
              </w:rPr>
              <w:t>1</w:t>
            </w:r>
            <w:r>
              <w:rPr>
                <w:color w:val="000000"/>
                <w:kern w:val="2"/>
                <w:szCs w:val="24"/>
              </w:rPr>
              <w:t xml:space="preserve"> – perskaičiuota (pakeista) kaina (Eur be PVM)</w:t>
            </w:r>
          </w:p>
          <w:p>
            <w:pPr>
              <w:pStyle w:val="Normal"/>
              <w:rPr>
                <w:color w:val="000000"/>
              </w:rPr>
            </w:pPr>
            <w:r>
              <w:rPr>
                <w:color w:val="000000"/>
                <w:kern w:val="2"/>
                <w:szCs w:val="24"/>
              </w:rPr>
              <w:t>k – pagal paslaugų kainų indeksą M7111 „Architektūros veikla“ apskaičiuotas paslaugų kainų pokytis (padidėjimas arba sumažėjimas) (%). „k“ reikšmė skaičiuojama pagal formulę:</w:t>
            </w:r>
          </w:p>
          <w:p>
            <w:pPr>
              <w:pStyle w:val="Normal"/>
              <w:rPr>
                <w:color w:val="000000"/>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color w:val="000000"/>
                <w:kern w:val="2"/>
                <w:szCs w:val="24"/>
              </w:rPr>
              <w:t>, (proc.) kur</w:t>
            </w:r>
          </w:p>
          <w:p>
            <w:pPr>
              <w:pStyle w:val="Normal"/>
              <w:rPr>
                <w:color w:val="000000"/>
              </w:rPr>
            </w:pPr>
            <w:r>
              <w:rPr>
                <w:color w:val="000000"/>
                <w:kern w:val="2"/>
                <w:szCs w:val="24"/>
              </w:rPr>
              <w:t>Ind</w:t>
            </w:r>
            <w:r>
              <w:rPr>
                <w:color w:val="000000"/>
                <w:kern w:val="2"/>
                <w:szCs w:val="24"/>
                <w:vertAlign w:val="subscript"/>
              </w:rPr>
              <w:t>naujausias</w:t>
            </w:r>
            <w:r>
              <w:rPr>
                <w:color w:val="000000"/>
                <w:kern w:val="2"/>
                <w:szCs w:val="24"/>
              </w:rPr>
              <w:t xml:space="preserve"> – kreipimosi dėl kainos peržiūros išsiuntimo kitai Šaliai dieną paskelbtas naujausias paslaugų kainų indeksas M7111 „Architektūros veikla“.</w:t>
            </w:r>
          </w:p>
          <w:p>
            <w:pPr>
              <w:pStyle w:val="Normal"/>
              <w:rPr>
                <w:color w:val="000000"/>
              </w:rPr>
            </w:pPr>
            <w:r>
              <w:rPr>
                <w:color w:val="000000"/>
                <w:kern w:val="2"/>
                <w:szCs w:val="24"/>
              </w:rPr>
              <w:t>Ind</w:t>
            </w:r>
            <w:r>
              <w:rPr>
                <w:color w:val="000000"/>
                <w:kern w:val="2"/>
                <w:szCs w:val="24"/>
                <w:vertAlign w:val="subscript"/>
              </w:rPr>
              <w:t>pradžia</w:t>
            </w:r>
            <w:r>
              <w:rPr>
                <w:color w:val="000000"/>
                <w:kern w:val="2"/>
                <w:szCs w:val="24"/>
              </w:rPr>
              <w:t xml:space="preserve"> – laikotarpio pradžios datos (mėnesio) paslaugų kainų indeksas M7111 „Architektūros veikla“.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pPr>
              <w:pStyle w:val="Normal"/>
              <w:rPr>
                <w:color w:val="000000"/>
              </w:rPr>
            </w:pPr>
            <w:r>
              <w:rPr>
                <w:color w:val="000000"/>
                <w:kern w:val="2"/>
                <w:szCs w:val="24"/>
              </w:rPr>
              <w:t>5.3.3.7. Skaičiavimams indeksų reikšmės imamos keturių skaitmenų po kablelio tikslumu. Apskaičiuotas pokytis (k) tolimesniems skaičiavimams naudojamas suapvalinus iki vieno skaitmens po kablelio, o apskaičiuotas įkainis „a</w:t>
            </w:r>
            <w:r>
              <w:rPr>
                <w:color w:val="000000"/>
                <w:kern w:val="2"/>
                <w:szCs w:val="24"/>
                <w:vertAlign w:val="subscript"/>
              </w:rPr>
              <w:t>1</w:t>
            </w:r>
            <w:r>
              <w:rPr>
                <w:color w:val="000000"/>
                <w:kern w:val="2"/>
                <w:szCs w:val="24"/>
              </w:rPr>
              <w:t>“ suapvalinamas iki dviejų skaitmenų po kablelio.</w:t>
            </w:r>
          </w:p>
          <w:p>
            <w:pPr>
              <w:pStyle w:val="Normal"/>
              <w:rPr>
                <w:color w:val="000000"/>
              </w:rPr>
            </w:pPr>
            <w:r>
              <w:rPr>
                <w:color w:val="000000"/>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Prašyme Šalis neturi teisės nurodyti kito indekso ar prašyti perskaičiavimo pagal kitą indeksą nei nurodytas šioje procedūroje.</w:t>
            </w:r>
          </w:p>
          <w:p>
            <w:pPr>
              <w:pStyle w:val="Normal"/>
              <w:rPr>
                <w:color w:val="000000"/>
              </w:rPr>
            </w:pPr>
            <w:r>
              <w:rPr>
                <w:color w:val="000000"/>
                <w:kern w:val="2"/>
                <w:szCs w:val="24"/>
              </w:rPr>
              <w:t>5.3.3.9. Susitarimas turi būti sudarytas per 10 (dešimt) darbo dienų nuo Šalies pateikto tinkamo prašymo perskaičiuoti Sutarties kainą gavimo dienos.</w:t>
            </w:r>
          </w:p>
          <w:p>
            <w:pPr>
              <w:pStyle w:val="Normal"/>
              <w:rPr>
                <w:color w:val="FF0000"/>
                <w:kern w:val="2"/>
                <w:szCs w:val="24"/>
              </w:rPr>
            </w:pPr>
            <w:r>
              <w:rPr>
                <w:color w:val="000000"/>
                <w:kern w:val="2"/>
                <w:szCs w:val="24"/>
              </w:rPr>
              <w:t>5.3.3.10. Susitarimu Šalys neturi teisės keisti procedūroje nurodytos tvarkos ar kitų Sutarties nuostatų, išskyrus, jei keitimas atliekamas pagal VPĮ nuostatas.</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p>
            <w:pPr>
              <w:pStyle w:val="Normal"/>
              <w:rPr>
                <w:color w:val="4472C4"/>
                <w:kern w:val="2"/>
                <w:szCs w:val="24"/>
              </w:rPr>
            </w:pPr>
            <w:r>
              <w:rPr>
                <w:color w:val="4472C4"/>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5.5. Atsiskaitymo su Tiekėju terminas ir tvarka</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shd w:fill="FFFFFF" w:val="clear"/>
              </w:rPr>
              <w:t>Pirkėjas atsiskaito su Tiekėju ne vėliau kaip per 30 kalendorinių dienų nuo Sąskaitos gavimo dienos.</w:t>
            </w:r>
          </w:p>
          <w:p>
            <w:pPr>
              <w:pStyle w:val="Normal"/>
              <w:rPr>
                <w:color w:val="000000"/>
                <w:kern w:val="2"/>
                <w:szCs w:val="24"/>
                <w:shd w:fill="FFFFFF" w:val="clear"/>
              </w:rPr>
            </w:pPr>
            <w:r>
              <w:rPr>
                <w:color w:val="000000"/>
                <w:kern w:val="2"/>
                <w:szCs w:val="24"/>
                <w:shd w:fill="FFFFFF" w:val="clear"/>
              </w:rPr>
            </w:r>
          </w:p>
          <w:p>
            <w:pPr>
              <w:pStyle w:val="Normal"/>
              <w:rPr>
                <w:color w:val="000000"/>
              </w:rPr>
            </w:pPr>
            <w:r>
              <w:rPr>
                <w:color w:val="000000"/>
                <w:kern w:val="2"/>
                <w:szCs w:val="24"/>
                <w:shd w:fill="FFFFFF" w:val="clear"/>
              </w:rPr>
              <w:t xml:space="preserve">Apmokėjimo sąlygos </w:t>
            </w:r>
            <w:r>
              <w:rPr>
                <w:color w:val="000000"/>
                <w:kern w:val="2"/>
                <w:szCs w:val="24"/>
                <w:shd w:fill="FFFFFF" w:val="clear"/>
              </w:rPr>
              <w:t>:</w:t>
            </w:r>
          </w:p>
          <w:p>
            <w:pPr>
              <w:pStyle w:val="Normal"/>
              <w:rPr/>
            </w:pPr>
            <w:r>
              <w:rPr>
                <w:color w:val="000000"/>
                <w:kern w:val="2"/>
                <w:szCs w:val="24"/>
                <w:shd w:fill="FFFFFF" w:val="clear"/>
              </w:rPr>
              <w:t>1) įvykdžius visus sutartinius įsipareigojimus, sumokama visa Sutarties kaina</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5.6. Avansas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5.7. Avanso užtikrinimas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6. PASLAUGŲ KOKYBĖ IR GARANTINIAI ĮSIPAREIGOJIMAI</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6.1. Garantinis terminas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6.2. Terminas Paslaugų trūkumams pašalinti</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Bet kuriuo Sutarties galiojimo metu nustačius Paslaugų trūkumų, Tiekėjas turi ne vėliau kaip per terminą, nurodytą rašytinėje pretenzijoje, pašalinti Paslaugų trūkumus.</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szCs w:val="24"/>
              </w:rPr>
            </w:pPr>
            <w:r>
              <w:rPr>
                <w:b/>
                <w:szCs w:val="24"/>
              </w:rPr>
              <w:t xml:space="preserve">6.3. Kokybinių kriterijų įgyvendinimo </w:t>
            </w:r>
            <w:r>
              <w:rPr>
                <w:b/>
                <w:bCs/>
                <w:szCs w:val="24"/>
              </w:rPr>
              <w:t xml:space="preserve">ir </w:t>
            </w:r>
            <w:r>
              <w:rPr>
                <w:b/>
                <w:szCs w:val="24"/>
              </w:rPr>
              <w:t>tikrinimo tvarka</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 xml:space="preserve">Pirkėjas bet kuriuo sutarties vykdymo metu gali paprašyti pateikti informaciją apie projekto vadovą. Projekto vadovu gali būti tik pasiūlyme nurodytas asmuo. </w:t>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7. SUTARTIES VYKDYMUI PASITELKIAMI SUBTIEKĖJAI IR (AR) SPECIALISTAI</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kern w:val="2"/>
                <w:szCs w:val="24"/>
              </w:rPr>
              <w:t>7.1. Sutarties vykdymui pasitelkiami subtiekėjai ir (ar) specialistai</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Sutarties vykdymui subtiekėjai ir (ar) specialistai nepasitelkiami.</w:t>
            </w:r>
          </w:p>
          <w:p>
            <w:pPr>
              <w:pStyle w:val="Normal"/>
              <w:rPr>
                <w:kern w:val="2"/>
                <w:szCs w:val="24"/>
              </w:rPr>
            </w:pPr>
            <w:r>
              <w:rPr>
                <w:kern w:val="2"/>
                <w:szCs w:val="24"/>
              </w:rPr>
            </w:r>
          </w:p>
          <w:p>
            <w:pPr>
              <w:pStyle w:val="Normal"/>
              <w:rPr>
                <w:color w:val="FF0000"/>
                <w:kern w:val="2"/>
                <w:szCs w:val="24"/>
              </w:rPr>
            </w:pPr>
            <w:r>
              <w:rPr>
                <w:color w:val="FF0000"/>
                <w:kern w:val="2"/>
                <w:szCs w:val="24"/>
              </w:rPr>
              <w:t>arba</w:t>
            </w:r>
          </w:p>
          <w:p>
            <w:pPr>
              <w:pStyle w:val="Normal"/>
              <w:rPr>
                <w:kern w:val="2"/>
                <w:szCs w:val="24"/>
              </w:rPr>
            </w:pPr>
            <w:r>
              <w:rPr>
                <w:kern w:val="2"/>
                <w:szCs w:val="24"/>
              </w:rPr>
            </w:r>
          </w:p>
          <w:p>
            <w:pPr>
              <w:pStyle w:val="Normal"/>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8. PRIEVOLIŲ PAGAL SUTARTĮ ĮVYKDYMO UŽTIKRINIMAS</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8.1. Prievolių pagal Sutartį įvykdymo užtikrinimas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Prievolių pagal Sutartį įvykdymas užtikrinamas:</w:t>
            </w:r>
          </w:p>
          <w:p>
            <w:pPr>
              <w:pStyle w:val="Normal"/>
              <w:rPr>
                <w:kern w:val="2"/>
                <w:szCs w:val="24"/>
              </w:rPr>
            </w:pPr>
            <w:r>
              <w:rPr>
                <w:kern w:val="2"/>
                <w:szCs w:val="24"/>
              </w:rPr>
              <w:t>Netesybomis (delspinigiais);</w:t>
            </w:r>
          </w:p>
          <w:p>
            <w:pPr>
              <w:pStyle w:val="Normal"/>
              <w:rPr>
                <w:color w:val="000000"/>
              </w:rPr>
            </w:pPr>
            <w:r>
              <w:rPr>
                <w:color w:val="000000"/>
                <w:kern w:val="2"/>
                <w:szCs w:val="24"/>
              </w:rPr>
              <w:t>Pirmo pareikalavimo banko garantija</w:t>
            </w:r>
          </w:p>
          <w:p>
            <w:pPr>
              <w:pStyle w:val="Normal"/>
              <w:rPr>
                <w:color w:val="000000"/>
              </w:rPr>
            </w:pPr>
            <w:r>
              <w:rPr>
                <w:color w:val="000000"/>
                <w:kern w:val="2"/>
                <w:szCs w:val="24"/>
              </w:rPr>
              <w:t>arba</w:t>
            </w:r>
          </w:p>
          <w:p>
            <w:pPr>
              <w:pStyle w:val="Normal"/>
              <w:rPr>
                <w:color w:val="000000"/>
              </w:rPr>
            </w:pPr>
            <w:r>
              <w:rPr>
                <w:color w:val="000000"/>
                <w:kern w:val="2"/>
                <w:szCs w:val="24"/>
              </w:rPr>
              <w:t>Draudimo bendrovės laidavimo draudimu</w:t>
            </w:r>
          </w:p>
          <w:p>
            <w:pPr>
              <w:pStyle w:val="ListParagraph"/>
              <w:ind w:left="0"/>
              <w:jc w:val="both"/>
              <w:rPr>
                <w:color w:val="000000"/>
              </w:rPr>
            </w:pPr>
            <w:r>
              <w:rPr>
                <w:color w:val="000000"/>
                <w:kern w:val="2"/>
                <w:szCs w:val="24"/>
              </w:rPr>
              <w:t>Sutarties įvykdymo užtikrinimo dydis – 5 (penki) proc. nuo Pradinės Sutarties vertės (Eur be PVM).</w:t>
            </w:r>
            <w:bookmarkStart w:id="0" w:name="_Hlk193440454"/>
            <w:bookmarkEnd w:id="0"/>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8.2 Sutarties įvykdymo užtikrinimo galiojimo terminas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bCs/>
                <w:kern w:val="2"/>
                <w:szCs w:val="24"/>
              </w:rPr>
              <w:t xml:space="preserve">Sutarties įvykdymo užtikrinimo galiojimo terminas turi būti ne trumpesnis nei </w:t>
            </w:r>
            <w:r>
              <w:rPr>
                <w:kern w:val="2"/>
                <w:szCs w:val="24"/>
              </w:rPr>
              <w:t>Sutarties galiojimo terminas.</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8.3. Sutarties įvykdymo užtikrinimo pateikimas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jc w:val="both"/>
              <w:rPr>
                <w:szCs w:val="24"/>
              </w:rPr>
            </w:pPr>
            <w:r>
              <w:rPr>
                <w:color w:val="000000"/>
                <w:kern w:val="2"/>
                <w:szCs w:val="24"/>
                <w:shd w:fill="FFFFFF" w:val="clear"/>
              </w:rPr>
              <w:t>Tiekėjas ne vėliau kaip per kaip 10 (dešimt) darbo dienų nuo Sutarties pasirašymo dienos turi pateikti Pirkėjui 5 (penkių) proc. nuo Pradinės Sutarties vertės (Eur be PVM) dydžio pirmo pareikalavimo banko garantiją arba draudimo bendrovės laidavimo draudimo raštą</w:t>
            </w:r>
            <w:r>
              <w:rPr>
                <w:rFonts w:eastAsia="Cambria"/>
                <w:color w:val="000000"/>
                <w:kern w:val="2"/>
                <w:szCs w:val="24"/>
                <w:shd w:fill="FFFFFF" w:val="clear"/>
              </w:rPr>
              <w:t>(kartu su draudimo bendrovės laidavimo draudimo raštu turi būti pateiktas ir pasirašytas draudimo liudijimas (polisas) bei dokumentas, įrodantis, kad draudimo įmoka už išduotą laidavimo draudimo raštą yra sumokėta)</w:t>
            </w:r>
            <w:r>
              <w:rPr>
                <w:color w:val="000000"/>
                <w:kern w:val="2"/>
                <w:szCs w:val="24"/>
                <w:shd w:fill="FFFFFF" w:val="clear"/>
              </w:rPr>
              <w:t>, atitinkančius Bendrųjų sąlygų 10 skyriaus reikalavimus. Esant poreikiui, gavus Tiekėjo prašymą, šis terminas gali būti pratęstas Šalių suderintam terminui.</w:t>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9. ŠALIŲ ATSAKOMYBĖ</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9.1. Pirkėjui taikomos netesybos už mokėjimų pagal Sutartį vėlavimą</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FF0000"/>
                <w:kern w:val="2"/>
                <w:szCs w:val="24"/>
              </w:rPr>
            </w:pPr>
            <w:r>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9.2. Tiekėjui taikomos netesybos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rPr>
            </w:pPr>
            <w:r>
              <w:rPr>
                <w:color w:val="000000"/>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pPr>
              <w:pStyle w:val="Normal"/>
              <w:rPr>
                <w:color w:val="000000"/>
                <w:kern w:val="2"/>
                <w:szCs w:val="24"/>
              </w:rPr>
            </w:pPr>
            <w:r>
              <w:rPr>
                <w:color w:val="000000"/>
                <w:kern w:val="2"/>
                <w:szCs w:val="24"/>
              </w:rPr>
            </w:r>
          </w:p>
          <w:p>
            <w:pPr>
              <w:pStyle w:val="Normal"/>
              <w:rPr>
                <w:b w:val="false"/>
                <w:bCs w:val="false"/>
              </w:rPr>
            </w:pPr>
            <w:r>
              <w:rPr>
                <w:b w:val="false"/>
                <w:bCs w:val="false"/>
                <w:color w:val="000000"/>
                <w:kern w:val="2"/>
                <w:szCs w:val="24"/>
              </w:rPr>
              <w:t>9.2.2. Tiekėjas privalo sumokėti Pirkėjui netesybas per 30 dienų nuo Pirkėjo pareikalavimo, jeigu netesybų suma nėra išskaitoma iš Tiekėjui mokėtinos sumos.</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szCs w:val="24"/>
              </w:rPr>
            </w:pPr>
            <w:r>
              <w:rPr>
                <w:kern w:val="2"/>
                <w:szCs w:val="24"/>
              </w:rPr>
              <w:t>9.3.1. Nutraukus Sutartį dėl esminio Sutarties pažeidimo, nustatyto Sutarties Specialiosiose sąlygose, mokama 5 procentų dydžio bauda nuo Pradinės Sutarties vertės, nurodytos Specialiųjų sąlygų 5.2 punkte.</w:t>
            </w:r>
          </w:p>
          <w:p>
            <w:pPr>
              <w:pStyle w:val="Normal"/>
              <w:rPr>
                <w:kern w:val="2"/>
                <w:szCs w:val="24"/>
              </w:rPr>
            </w:pPr>
            <w:r>
              <w:rPr>
                <w:kern w:val="2"/>
                <w:szCs w:val="24"/>
              </w:rPr>
            </w:r>
          </w:p>
          <w:p>
            <w:pPr>
              <w:pStyle w:val="Normal"/>
              <w:rPr>
                <w:color w:val="000000"/>
              </w:rPr>
            </w:pPr>
            <w:r>
              <w:rPr>
                <w:color w:val="000000"/>
                <w:kern w:val="2"/>
                <w:szCs w:val="24"/>
              </w:rPr>
              <w:t>9.3.2. Nepagrįstai nutraukus Sutarties vykdymą ne Sutartyje nustatyta tvarka, mokama 5 procentų dydžio bauda nuo Pradinės Sutarties vertės, nurodytos Specialiųjų sąlygų 5.2 punkte.</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 xml:space="preserve">500 Eur (penki šimtai Eur) </w:t>
            </w:r>
            <w:r>
              <w:rPr>
                <w:color w:val="000000"/>
                <w:kern w:val="2"/>
                <w:szCs w:val="24"/>
              </w:rPr>
              <w:t>taikom</w:t>
            </w:r>
            <w:r>
              <w:rPr>
                <w:color w:val="000000"/>
                <w:kern w:val="2"/>
                <w:szCs w:val="24"/>
              </w:rPr>
              <w:t>a</w:t>
            </w:r>
            <w:r>
              <w:rPr>
                <w:color w:val="000000"/>
                <w:kern w:val="2"/>
                <w:szCs w:val="24"/>
              </w:rPr>
              <w:t xml:space="preserve"> už kiekvieną pažeidimo atvejį, įvertinant ir tai, ar Sutartį gali vykdyti subtiekėjas ir (ar) specialistas, kurio kvalifikacija buvo vertinama kokybiniams kriterijams pagrįsti)</w:t>
            </w:r>
            <w:r>
              <w:rPr>
                <w:color w:val="000000"/>
                <w:kern w:val="2"/>
                <w:szCs w:val="24"/>
              </w:rPr>
              <w:t xml:space="preserve"> </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9.5. Tiekėjui taikomos baudos dėl aplinkosauginių ir (arba) socialinių kriterijų nesilaikymo</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kern w:val="2"/>
                <w:szCs w:val="24"/>
              </w:rPr>
            </w:pPr>
            <w:r>
              <w:rPr>
                <w:color w:val="000000"/>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9.6. Tiekėjui / Pirkėjui taikoma bauda dėl konfidencialumo reikalavimų nesilaikymo</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9.7. Tiekėjui taikomos netesybos dėl pirkimo dokumentuose nustatytų kokybinių kriterijų nepasiekimo Sutarties vykdymo metu</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b w:val="false"/>
                <w:bCs w:val="false"/>
                <w:color w:val="000000"/>
                <w:szCs w:val="24"/>
              </w:rPr>
            </w:pPr>
            <w:r>
              <w:rPr>
                <w:b w:val="false"/>
                <w:bCs w:val="false"/>
                <w:color w:val="000000"/>
                <w:szCs w:val="24"/>
              </w:rPr>
              <w:t>Netaikoma</w:t>
            </w:r>
          </w:p>
          <w:p>
            <w:pPr>
              <w:pStyle w:val="Normal"/>
              <w:rPr>
                <w:color w:val="FF0000"/>
                <w:kern w:val="2"/>
                <w:szCs w:val="24"/>
              </w:rPr>
            </w:pPr>
            <w:r>
              <w:rPr/>
            </w:r>
          </w:p>
        </w:tc>
      </w:tr>
      <w:tr>
        <w:trPr>
          <w:trHeight w:val="1291"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9.8. Tiekėjui taikomos netesybos dėl Sutarties įvykdymo užtikrinimo </w:t>
            </w:r>
            <w:r>
              <w:rPr>
                <w:b/>
                <w:bCs/>
                <w:szCs w:val="24"/>
              </w:rPr>
              <w:t>nepratęsimo</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Netaikoma</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r>
          </w:p>
          <w:p>
            <w:pPr>
              <w:pStyle w:val="Normal"/>
              <w:rPr>
                <w:color w:val="000000"/>
                <w:szCs w:val="24"/>
              </w:rPr>
            </w:pPr>
            <w:r>
              <w:rPr>
                <w:color w:val="000000"/>
                <w:kern w:val="2"/>
                <w:szCs w:val="24"/>
              </w:rPr>
              <w:t>Netaikoma</w:t>
            </w:r>
          </w:p>
          <w:p>
            <w:pPr>
              <w:pStyle w:val="Normal"/>
              <w:rPr>
                <w:color w:val="4472C4"/>
                <w:kern w:val="2"/>
                <w:szCs w:val="24"/>
              </w:rPr>
            </w:pPr>
            <w:r>
              <w:rPr>
                <w:color w:val="4472C4"/>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9.9. </w:t>
            </w:r>
            <w:r>
              <w:rPr>
                <w:b/>
                <w:kern w:val="2"/>
                <w:szCs w:val="24"/>
              </w:rPr>
              <w:t>Kitos netesybos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Netaikoma</w:t>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b/>
                <w:kern w:val="2"/>
                <w:szCs w:val="24"/>
              </w:rPr>
              <w:t>10. ESMINĖS SUTARTIES SĄLYGOS</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lang w:val="en-US"/>
              </w:rPr>
            </w:pPr>
            <w:r>
              <w:rPr>
                <w:b/>
                <w:kern w:val="2"/>
                <w:szCs w:val="24"/>
                <w:lang w:val="en-US"/>
              </w:rPr>
              <w:t xml:space="preserve">10.1. </w:t>
            </w:r>
            <w:r>
              <w:rPr>
                <w:b/>
                <w:kern w:val="2"/>
                <w:szCs w:val="24"/>
              </w:rPr>
              <w:t>Esminės Sutarties sąlygos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Tiekėjo prisiimtų įsipareigojimų įvykdymas už Sutartyje nustatytą Sutarties kainą Sutartyje nustatytais terminais</w:t>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11. SUTARTIES GALIOJIMAS IR KEITIMAS</w:t>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szCs w:val="24"/>
              </w:rPr>
              <w:t>11.1. Sutarties sudarymas ir įsigaliojimas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Ši Sutartis laikoma sudaryta ir įsigalioja nuo Sutarties pasirašymo dienos (antrosios Šalies pasirašymo dieną).</w:t>
            </w:r>
          </w:p>
          <w:p>
            <w:pPr>
              <w:pStyle w:val="Normal"/>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000000"/>
                <w:kern w:val="2"/>
                <w:szCs w:val="24"/>
              </w:rPr>
              <w:t>13 mėn. (</w:t>
            </w:r>
            <w:r>
              <w:rPr>
                <w:color w:val="000000"/>
                <w:kern w:val="2"/>
                <w:szCs w:val="24"/>
              </w:rPr>
              <w:t>atsižvelgus į Paslaugų priėmimo ir apmokėjimo už Paslaugas terminus)</w:t>
            </w:r>
            <w:r>
              <w:rPr>
                <w:color w:val="000000"/>
                <w:kern w:val="2"/>
                <w:szCs w:val="24"/>
              </w:rPr>
              <w:t>.</w:t>
            </w:r>
          </w:p>
          <w:p>
            <w:pPr>
              <w:pStyle w:val="Normal"/>
              <w:rPr>
                <w:kern w:val="2"/>
                <w:szCs w:val="24"/>
              </w:rPr>
            </w:pPr>
            <w:r>
              <w:rPr>
                <w:kern w:val="2"/>
                <w:szCs w:val="24"/>
              </w:rPr>
            </w:r>
          </w:p>
          <w:p>
            <w:pPr>
              <w:pStyle w:val="Normal"/>
              <w:rPr>
                <w:color w:val="FF0000"/>
                <w:kern w:val="2"/>
                <w:szCs w:val="24"/>
              </w:rPr>
            </w:pPr>
            <w:r>
              <w:rPr>
                <w:color w:val="FF0000"/>
                <w:kern w:val="2"/>
                <w:szCs w:val="24"/>
              </w:rPr>
            </w:r>
          </w:p>
        </w:tc>
      </w:tr>
      <w:tr>
        <w:trPr>
          <w:trHeight w:val="300" w:hRule="atLeast"/>
        </w:trPr>
        <w:tc>
          <w:tcPr>
            <w:tcW w:w="3094" w:type="dxa"/>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11.2. Sutarties galiojimo termino pratęsimas</w:t>
            </w:r>
          </w:p>
        </w:tc>
        <w:tc>
          <w:tcPr>
            <w:tcW w:w="6437" w:type="dxa"/>
            <w:gridSpan w:val="3"/>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kern w:val="2"/>
                <w:szCs w:val="24"/>
              </w:rPr>
              <w:t xml:space="preserve">Šalių abipusiu rašytiniu Susitarimu Sutartis tomis pačiomis sąlygomis </w:t>
            </w:r>
            <w:r>
              <w:rPr>
                <w:color w:val="000000"/>
                <w:szCs w:val="24"/>
              </w:rPr>
              <w:t xml:space="preserve">nedidinant Sutarties kainos </w:t>
            </w:r>
            <w:r>
              <w:rPr>
                <w:color w:val="000000"/>
                <w:kern w:val="2"/>
                <w:szCs w:val="24"/>
              </w:rPr>
              <w:t xml:space="preserve">gali būti pratęsta </w:t>
            </w:r>
            <w:r>
              <w:rPr>
                <w:color w:val="000000"/>
                <w:kern w:val="2"/>
                <w:szCs w:val="24"/>
                <w:shd w:fill="auto" w:val="clear"/>
              </w:rPr>
              <w:t xml:space="preserve">1 (vieną) kartą </w:t>
            </w:r>
            <w:r>
              <w:rPr>
                <w:color w:val="000000"/>
                <w:kern w:val="2"/>
                <w:szCs w:val="24"/>
                <w:shd w:fill="auto" w:val="clear"/>
              </w:rPr>
              <w:t>3</w:t>
            </w:r>
            <w:r>
              <w:rPr>
                <w:color w:val="000000"/>
                <w:kern w:val="2"/>
                <w:szCs w:val="24"/>
                <w:shd w:fill="auto" w:val="clear"/>
              </w:rPr>
              <w:t xml:space="preserve"> (</w:t>
            </w:r>
            <w:r>
              <w:rPr>
                <w:color w:val="000000"/>
                <w:kern w:val="2"/>
                <w:szCs w:val="24"/>
                <w:shd w:fill="auto" w:val="clear"/>
              </w:rPr>
              <w:t>trims)</w:t>
            </w:r>
            <w:r>
              <w:rPr>
                <w:color w:val="000000"/>
                <w:kern w:val="2"/>
                <w:szCs w:val="24"/>
              </w:rPr>
              <w:t xml:space="preserve"> mėnesi</w:t>
            </w:r>
            <w:r>
              <w:rPr>
                <w:color w:val="000000"/>
                <w:kern w:val="2"/>
                <w:szCs w:val="24"/>
              </w:rPr>
              <w:t>ams</w:t>
            </w:r>
            <w:r>
              <w:rPr>
                <w:color w:val="000000"/>
                <w:kern w:val="2"/>
                <w:szCs w:val="24"/>
              </w:rPr>
              <w:t>, jeigu yra iškilęs poreikis ir esant šiai (šioms) aplinkybėms:</w:t>
            </w:r>
          </w:p>
          <w:p>
            <w:pPr>
              <w:pStyle w:val="Normal"/>
              <w:rPr>
                <w:color w:val="000000"/>
              </w:rPr>
            </w:pPr>
            <w:r>
              <w:rPr>
                <w:rFonts w:eastAsia="Calibri"/>
                <w:color w:val="000000"/>
                <w:szCs w:val="24"/>
              </w:rPr>
              <w:t>11.2.1. Teikėjas Pasaugas suteikė nepraleisdamas Paslaugų teikimo terminų / Paslaugų suteikimo terminas buvo praleistas ne daugiau nei 2 dienas;</w:t>
            </w:r>
          </w:p>
          <w:p>
            <w:pPr>
              <w:pStyle w:val="Normal"/>
              <w:rPr>
                <w:color w:val="000000"/>
              </w:rPr>
            </w:pPr>
            <w:r>
              <w:rPr>
                <w:rFonts w:eastAsia="Calibri"/>
                <w:color w:val="000000"/>
                <w:szCs w:val="24"/>
              </w:rPr>
              <w:t>11.2.2. Paslaugos suteiktos be trūkumų;</w:t>
            </w:r>
          </w:p>
          <w:p>
            <w:pPr>
              <w:pStyle w:val="Normal"/>
              <w:rPr>
                <w:color w:val="000000"/>
              </w:rPr>
            </w:pPr>
            <w:r>
              <w:rPr>
                <w:rFonts w:eastAsia="Calibri"/>
                <w:color w:val="000000"/>
                <w:kern w:val="2"/>
                <w:szCs w:val="24"/>
              </w:rPr>
              <w:t>11.2.3. Tiekėjas visą Sutarties vykdymo laikotarpį laikėsi Tiekėjo pasiūlyme nurodytų įsipareigojimų dėl kokybinių kriterijų;</w:t>
            </w:r>
          </w:p>
          <w:p>
            <w:pPr>
              <w:pStyle w:val="Normal"/>
              <w:rPr>
                <w:color w:val="FF0000"/>
                <w:kern w:val="2"/>
                <w:szCs w:val="24"/>
              </w:rPr>
            </w:pPr>
            <w:r>
              <w:rPr>
                <w:color w:val="FF0000"/>
                <w:kern w:val="2"/>
                <w:szCs w:val="24"/>
              </w:rPr>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12. SUTARTIES NUTRAUKIMAS</w:t>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12.1. Sutarties nutraukimo pagrindai</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Sutartis gali būti nutraukiama rašytiniu Šalių susitarimu arba vienašališkai, Bendrosiose sąlygose nustatyta tvarka.</w:t>
            </w:r>
          </w:p>
          <w:p>
            <w:pPr>
              <w:pStyle w:val="Normal"/>
              <w:rPr>
                <w:color w:val="FF0000"/>
                <w:kern w:val="2"/>
                <w:szCs w:val="24"/>
              </w:rPr>
            </w:pPr>
            <w:r>
              <w:rPr>
                <w:color w:val="FF0000"/>
                <w:kern w:val="2"/>
                <w:szCs w:val="24"/>
              </w:rPr>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 xml:space="preserve">12.2. Esminiai Sutarties </w:t>
            </w:r>
            <w:r>
              <w:rPr>
                <w:b/>
                <w:szCs w:val="24"/>
              </w:rPr>
              <w:t>pažeidimai</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kern w:val="2"/>
                <w:szCs w:val="24"/>
              </w:rPr>
              <w:t>12.2.1. jeigu Tiekėjas nevykdo prisiimtų įsipareigojimų už Sutartyje nustatytą Sutarties kainą;</w:t>
            </w:r>
          </w:p>
          <w:p>
            <w:pPr>
              <w:pStyle w:val="Normal"/>
              <w:rPr>
                <w:color w:val="000000"/>
              </w:rPr>
            </w:pPr>
            <w:r>
              <w:rPr>
                <w:color w:val="000000"/>
                <w:szCs w:val="24"/>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pPr>
              <w:pStyle w:val="Normal"/>
              <w:rPr>
                <w:color w:val="000000"/>
              </w:rPr>
            </w:pPr>
            <w:r>
              <w:rPr>
                <w:color w:val="000000"/>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0000"/>
                <w:kern w:val="2"/>
                <w:szCs w:val="24"/>
              </w:rPr>
              <w:t>5 darbo dienas</w:t>
            </w:r>
            <w:r>
              <w:rPr>
                <w:color w:val="000000"/>
                <w:kern w:val="2"/>
                <w:szCs w:val="24"/>
              </w:rPr>
              <w:t xml:space="preserve"> neištaiso pažeidimų;</w:t>
            </w:r>
          </w:p>
          <w:p>
            <w:pPr>
              <w:pStyle w:val="Normal"/>
              <w:spacing w:lineRule="auto" w:line="254"/>
              <w:jc w:val="both"/>
              <w:rPr>
                <w:color w:val="000000"/>
              </w:rPr>
            </w:pPr>
            <w:r>
              <w:rPr>
                <w:rFonts w:eastAsia="Arial"/>
                <w:color w:val="000000"/>
                <w:kern w:val="2"/>
                <w:szCs w:val="24"/>
                <w:lang w:val="lt-LT"/>
              </w:rPr>
              <w:t xml:space="preserve">12.2.4. jeigu Tiekėjas nesilaiko Sutartyje nustatytų Paslaugų teikimo terminų 2 (du) kartus iš eilės arba vėluoja suteikti Paslaugas daugiau nei </w:t>
            </w:r>
            <w:r>
              <w:rPr>
                <w:rFonts w:eastAsia="Arial"/>
                <w:color w:val="000000"/>
                <w:kern w:val="2"/>
                <w:szCs w:val="24"/>
                <w:lang w:val="lt-LT"/>
              </w:rPr>
              <w:t>10 darbo dienų</w:t>
            </w:r>
            <w:r>
              <w:rPr>
                <w:rFonts w:eastAsia="Arial"/>
                <w:color w:val="000000"/>
                <w:kern w:val="2"/>
                <w:szCs w:val="24"/>
                <w:lang w:val="lt-LT"/>
              </w:rPr>
              <w:t xml:space="preserve"> nuo Sutartyje nustatyto Paslaugų suteikimo termino;</w:t>
            </w:r>
          </w:p>
          <w:p>
            <w:pPr>
              <w:pStyle w:val="Normal"/>
              <w:tabs>
                <w:tab w:val="clear" w:pos="1296"/>
                <w:tab w:val="left" w:pos="567" w:leader="none"/>
                <w:tab w:val="left" w:pos="851" w:leader="none"/>
                <w:tab w:val="left" w:pos="992" w:leader="none"/>
                <w:tab w:val="left" w:pos="1134" w:leader="none"/>
              </w:tabs>
              <w:spacing w:lineRule="auto" w:line="254"/>
              <w:jc w:val="both"/>
              <w:rPr>
                <w:color w:val="000000"/>
              </w:rPr>
            </w:pPr>
            <w:r>
              <w:rPr>
                <w:rFonts w:eastAsia="Arial"/>
                <w:color w:val="000000"/>
                <w:kern w:val="2"/>
                <w:szCs w:val="24"/>
                <w:lang w:val="lt-LT"/>
              </w:rPr>
              <w:t>12.2.5. jeigu Tiekėjas pažeidžia Paslaugų suteikimo terminus ir priskaičiuotų netesybų už vėlavimą suma viršija 20 (dvidešimt) proc. Pradinės sutarties vertės;</w:t>
            </w:r>
          </w:p>
          <w:p>
            <w:pPr>
              <w:pStyle w:val="Normal"/>
              <w:tabs>
                <w:tab w:val="clear" w:pos="1296"/>
                <w:tab w:val="left" w:pos="567" w:leader="none"/>
                <w:tab w:val="left" w:pos="851" w:leader="none"/>
                <w:tab w:val="left" w:pos="992" w:leader="none"/>
                <w:tab w:val="left" w:pos="1134" w:leader="none"/>
              </w:tabs>
              <w:spacing w:lineRule="auto" w:line="254"/>
              <w:jc w:val="both"/>
              <w:rPr>
                <w:color w:val="000000"/>
              </w:rPr>
            </w:pPr>
            <w:r>
              <w:rPr>
                <w:rFonts w:eastAsia="Arial"/>
                <w:color w:val="000000"/>
                <w:kern w:val="2"/>
                <w:szCs w:val="24"/>
                <w:lang w:val="lt-LT"/>
              </w:rPr>
              <w:t>12.2.6. Tiekėjas pažeidžia Paslaugų suteikimo terminus ir dėl Paslaugų suteikimo vėlavimo Paslaugos tampa nebereikalingos;</w:t>
            </w:r>
          </w:p>
          <w:p>
            <w:pPr>
              <w:pStyle w:val="Normal"/>
              <w:tabs>
                <w:tab w:val="clear" w:pos="1296"/>
                <w:tab w:val="left" w:pos="567" w:leader="none"/>
                <w:tab w:val="left" w:pos="851" w:leader="none"/>
                <w:tab w:val="left" w:pos="992" w:leader="none"/>
                <w:tab w:val="left" w:pos="1134" w:leader="none"/>
              </w:tabs>
              <w:spacing w:lineRule="auto" w:line="254"/>
              <w:jc w:val="both"/>
              <w:rPr>
                <w:color w:val="000000"/>
              </w:rPr>
            </w:pPr>
            <w:r>
              <w:rPr>
                <w:rFonts w:eastAsia="Arial"/>
                <w:color w:val="000000"/>
                <w:kern w:val="2"/>
                <w:szCs w:val="24"/>
                <w:lang w:val="lt-LT"/>
              </w:rPr>
              <w:t>12.2.7. Tiekėjas daugiau kaip 2 (du) kartus suteikia Paslaugas, kurios neatitinka Sutartyje ir (ar) įstatymuose nustatytų reikalavimų Paslaugoms;</w:t>
            </w:r>
          </w:p>
          <w:p>
            <w:pPr>
              <w:pStyle w:val="Normal"/>
              <w:tabs>
                <w:tab w:val="clear" w:pos="1296"/>
                <w:tab w:val="left" w:pos="567" w:leader="none"/>
                <w:tab w:val="left" w:pos="851" w:leader="none"/>
                <w:tab w:val="left" w:pos="992" w:leader="none"/>
                <w:tab w:val="left" w:pos="1134" w:leader="none"/>
              </w:tabs>
              <w:spacing w:lineRule="auto" w:line="254"/>
              <w:jc w:val="both"/>
              <w:rPr>
                <w:color w:val="000000"/>
              </w:rPr>
            </w:pPr>
            <w:r>
              <w:rPr>
                <w:rFonts w:eastAsia="Arial"/>
                <w:color w:val="000000"/>
                <w:kern w:val="2"/>
                <w:szCs w:val="24"/>
                <w:lang w:val="lt-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spacing w:lineRule="auto" w:line="254"/>
              <w:rPr>
                <w:color w:val="000000"/>
              </w:rPr>
            </w:pPr>
            <w:r>
              <w:rPr>
                <w:rFonts w:eastAsia="Arial"/>
                <w:color w:val="000000"/>
                <w:kern w:val="2"/>
                <w:szCs w:val="24"/>
                <w:lang w:val="lt-LT"/>
              </w:rPr>
              <w:t>12.2.</w:t>
            </w:r>
            <w:r>
              <w:rPr>
                <w:rFonts w:eastAsia="Arial"/>
                <w:color w:val="000000"/>
                <w:kern w:val="2"/>
                <w:szCs w:val="24"/>
                <w:lang w:val="lt-LT"/>
              </w:rPr>
              <w:t>9</w:t>
            </w:r>
            <w:r>
              <w:rPr>
                <w:rFonts w:eastAsia="Arial"/>
                <w:color w:val="000000"/>
                <w:kern w:val="2"/>
                <w:szCs w:val="24"/>
                <w:lang w:val="lt-LT"/>
              </w:rPr>
              <w:t>. Tiekėjas pažeidžia Bendrųjų sąlygų nuostatas dėl Sutarties vykdymui pasitelkiamų naujų subtiekėjų ir (ar) specialistų / esamų subtiekėjų ir (ar) specialistų keitimo;</w:t>
            </w:r>
          </w:p>
          <w:p>
            <w:pPr>
              <w:pStyle w:val="Normal"/>
              <w:spacing w:lineRule="auto" w:line="254"/>
              <w:rPr>
                <w:color w:val="000000"/>
              </w:rPr>
            </w:pPr>
            <w:r>
              <w:rPr>
                <w:rFonts w:eastAsia="Arial"/>
                <w:color w:val="000000"/>
                <w:kern w:val="2"/>
                <w:szCs w:val="24"/>
                <w:lang w:val="lt-LT"/>
              </w:rPr>
              <w:t>12.2.1</w:t>
            </w:r>
            <w:r>
              <w:rPr>
                <w:rFonts w:eastAsia="Arial"/>
                <w:color w:val="000000"/>
                <w:kern w:val="2"/>
                <w:szCs w:val="24"/>
                <w:lang w:val="lt-LT"/>
              </w:rPr>
              <w:t>0</w:t>
            </w:r>
            <w:r>
              <w:rPr>
                <w:rFonts w:eastAsia="Arial"/>
                <w:color w:val="000000"/>
                <w:kern w:val="2"/>
                <w:szCs w:val="24"/>
                <w:lang w:val="lt-LT"/>
              </w:rPr>
              <w:t>. Tiekėjas 2 (du) kartus pažeidžia esminę Sutarties sąlygą.</w:t>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kern w:val="2"/>
                <w:szCs w:val="24"/>
              </w:rPr>
            </w:pPr>
            <w:r>
              <w:rPr>
                <w:b/>
                <w:kern w:val="2"/>
                <w:szCs w:val="24"/>
              </w:rPr>
              <w:t>13. APLINKOS APSAUGOS IR SOCIALINIAI KRITERIJAI</w:t>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13.1. Su perkamomis paslaugomis susiję  aplinkos apsaugos kriterijai</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color w:val="000000"/>
                <w:kern w:val="2"/>
                <w:szCs w:val="24"/>
                <w:shd w:fill="FFFFFF" w:val="clear"/>
              </w:rPr>
            </w:pPr>
            <w:r>
              <w:rPr>
                <w:color w:val="000000"/>
                <w:kern w:val="2"/>
                <w:szCs w:val="24"/>
                <w:shd w:fill="FFFFFF" w:val="clear"/>
              </w:rPr>
              <w:t>Netaikoma</w:t>
            </w:r>
          </w:p>
          <w:p>
            <w:pPr>
              <w:pStyle w:val="Normal"/>
              <w:rPr>
                <w:color w:val="000000"/>
                <w:kern w:val="2"/>
                <w:szCs w:val="24"/>
                <w:shd w:fill="FFFFFF" w:val="clear"/>
              </w:rPr>
            </w:pPr>
            <w:r>
              <w:rPr>
                <w:color w:val="000000"/>
                <w:kern w:val="2"/>
                <w:szCs w:val="24"/>
                <w:shd w:fill="FFFFFF" w:val="clear"/>
              </w:rPr>
            </w:r>
          </w:p>
          <w:p>
            <w:pPr>
              <w:pStyle w:val="Normal"/>
              <w:rPr>
                <w:color w:val="FF0000"/>
                <w:kern w:val="2"/>
                <w:szCs w:val="24"/>
                <w:shd w:fill="FFFFFF" w:val="clear"/>
              </w:rPr>
            </w:pPr>
            <w:r>
              <w:rPr>
                <w:color w:val="FF0000"/>
                <w:kern w:val="2"/>
                <w:szCs w:val="24"/>
                <w:shd w:fill="FFFFFF" w:val="clear"/>
              </w:rPr>
            </w:r>
          </w:p>
          <w:p>
            <w:pPr>
              <w:pStyle w:val="Normal"/>
              <w:rPr>
                <w:kern w:val="2"/>
                <w:szCs w:val="24"/>
              </w:rPr>
            </w:pPr>
            <w:r>
              <w:rPr>
                <w:kern w:val="2"/>
                <w:szCs w:val="24"/>
              </w:rPr>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13.2. Su perkamomis Paslaugomis susiję socialiniai kriterijai</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color w:val="000000"/>
                <w:kern w:val="2"/>
                <w:szCs w:val="24"/>
                <w:shd w:fill="FFFFFF" w:val="clear"/>
              </w:rPr>
            </w:pPr>
            <w:r>
              <w:rPr>
                <w:color w:val="000000"/>
                <w:kern w:val="2"/>
                <w:szCs w:val="24"/>
                <w:shd w:fill="FFFFFF" w:val="clear"/>
              </w:rPr>
              <w:t>Netaikoma</w:t>
            </w:r>
          </w:p>
          <w:p>
            <w:pPr>
              <w:pStyle w:val="Normal"/>
              <w:rPr>
                <w:color w:val="000000"/>
                <w:kern w:val="2"/>
                <w:szCs w:val="24"/>
                <w:shd w:fill="FFFFFF" w:val="clear"/>
              </w:rPr>
            </w:pPr>
            <w:r>
              <w:rPr>
                <w:color w:val="000000"/>
                <w:kern w:val="2"/>
                <w:szCs w:val="24"/>
                <w:shd w:fill="FFFFFF" w:val="clear"/>
              </w:rPr>
            </w:r>
          </w:p>
          <w:p>
            <w:pPr>
              <w:pStyle w:val="Normal"/>
              <w:rPr>
                <w:color w:val="FF0000"/>
                <w:kern w:val="2"/>
                <w:szCs w:val="24"/>
                <w:shd w:fill="FFFFFF" w:val="clear"/>
              </w:rPr>
            </w:pPr>
            <w:r>
              <w:rPr>
                <w:color w:val="FF0000"/>
                <w:kern w:val="2"/>
                <w:szCs w:val="24"/>
                <w:shd w:fill="FFFFFF" w:val="clear"/>
              </w:rPr>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14. BENDRŲJŲ SĄLYGŲ PAKEITIMAI IR PAPILDYMAI</w:t>
            </w:r>
          </w:p>
          <w:p>
            <w:pPr>
              <w:pStyle w:val="Normal"/>
              <w:jc w:val="center"/>
              <w:rPr>
                <w:kern w:val="2"/>
                <w:szCs w:val="24"/>
              </w:rPr>
            </w:pPr>
            <w:r>
              <w:rPr>
                <w:kern w:val="2"/>
                <w:szCs w:val="24"/>
              </w:rPr>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14.1.</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color w:val="4472C4"/>
                <w:kern w:val="2"/>
                <w:szCs w:val="24"/>
              </w:rPr>
            </w:pPr>
            <w:r>
              <w:rPr/>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14.2.</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_______.</w:t>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14.3.</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__.</w:t>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14.4.</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color w:val="0070C0"/>
                <w:kern w:val="2"/>
                <w:szCs w:val="24"/>
              </w:rPr>
            </w:pPr>
            <w:r>
              <w:rPr/>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rPr>
                <w:b/>
                <w:kern w:val="2"/>
                <w:szCs w:val="24"/>
              </w:rPr>
            </w:pPr>
            <w:r>
              <w:rPr>
                <w:b/>
                <w:kern w:val="2"/>
                <w:szCs w:val="24"/>
              </w:rPr>
              <w:t>14.5.</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trPr>
          <w:trHeight w:val="300" w:hRule="atLeast"/>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 SUTARTIES PRIEDAI</w:t>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15.1. Priedas Nr. 1</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jc w:val="left"/>
              <w:rPr>
                <w:b/>
                <w:kern w:val="2"/>
                <w:szCs w:val="24"/>
              </w:rPr>
            </w:pPr>
            <w:r>
              <w:rPr>
                <w:b/>
                <w:kern w:val="2"/>
                <w:szCs w:val="24"/>
              </w:rPr>
              <w:t>Projektavimo užduotys</w:t>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15.2. Priedas Nr. 2</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jc w:val="left"/>
              <w:rPr>
                <w:b/>
                <w:kern w:val="2"/>
                <w:szCs w:val="24"/>
              </w:rPr>
            </w:pPr>
            <w:r>
              <w:rPr>
                <w:b/>
                <w:kern w:val="2"/>
                <w:szCs w:val="24"/>
              </w:rPr>
              <w:t>Pasiūlymas</w:t>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15.3. Priedas Nr. 3</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jc w:val="left"/>
              <w:rPr>
                <w:b/>
                <w:kern w:val="2"/>
                <w:szCs w:val="24"/>
              </w:rPr>
            </w:pPr>
            <w:r>
              <w:rPr>
                <w:b/>
                <w:kern w:val="2"/>
                <w:szCs w:val="24"/>
              </w:rPr>
              <w:t>Siūlomų specialistų sąrašas</w:t>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15.4. Priedas Nr. 4</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jc w:val="left"/>
              <w:rPr>
                <w:b/>
                <w:kern w:val="2"/>
                <w:szCs w:val="24"/>
              </w:rPr>
            </w:pPr>
            <w:r>
              <w:rPr>
                <w:b/>
                <w:kern w:val="2"/>
                <w:szCs w:val="24"/>
              </w:rPr>
              <w:t>Subtiekėjų sąrašas</w:t>
            </w:r>
          </w:p>
        </w:tc>
      </w:tr>
      <w:tr>
        <w:trPr>
          <w:trHeight w:val="300" w:hRule="atLeast"/>
        </w:trPr>
        <w:tc>
          <w:tcPr>
            <w:tcW w:w="3177" w:type="dxa"/>
            <w:gridSpan w:val="2"/>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15.5. Priedas Nr. 5</w:t>
            </w:r>
          </w:p>
        </w:tc>
        <w:tc>
          <w:tcPr>
            <w:tcW w:w="6354" w:type="dxa"/>
            <w:gridSpan w:val="2"/>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r>
          </w:p>
        </w:tc>
      </w:tr>
      <w:tr>
        <w:trPr/>
        <w:tc>
          <w:tcPr>
            <w:tcW w:w="9531" w:type="dxa"/>
            <w:gridSpan w:val="4"/>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16. ŠALIŲ ATSTOVŲ PARAŠAI</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PIRKĖJAS</w:t>
            </w:r>
          </w:p>
        </w:tc>
        <w:tc>
          <w:tcPr>
            <w:tcW w:w="430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b/>
                <w:kern w:val="2"/>
                <w:szCs w:val="24"/>
              </w:rPr>
              <w:t>TIEKĖJAS</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color w:val="4472C4"/>
                <w:kern w:val="2"/>
                <w:szCs w:val="24"/>
              </w:rPr>
            </w:pPr>
            <w:r>
              <w:rPr>
                <w:color w:val="4472C4"/>
                <w:kern w:val="2"/>
                <w:szCs w:val="24"/>
              </w:rPr>
              <w:t>(nurodomos atstovo pareigos, vardas, pavardė)</w:t>
            </w:r>
          </w:p>
        </w:tc>
        <w:tc>
          <w:tcPr>
            <w:tcW w:w="4307" w:type="dxa"/>
            <w:tcBorders>
              <w:top w:val="single" w:sz="4" w:space="0" w:color="000000"/>
              <w:left w:val="single" w:sz="4" w:space="0" w:color="000000"/>
              <w:bottom w:val="single" w:sz="4" w:space="0" w:color="000000"/>
              <w:right w:val="single" w:sz="4" w:space="0" w:color="000000"/>
            </w:tcBorders>
          </w:tcPr>
          <w:p>
            <w:pPr>
              <w:pStyle w:val="Normal"/>
              <w:jc w:val="center"/>
              <w:rPr>
                <w:b/>
                <w:kern w:val="2"/>
                <w:szCs w:val="24"/>
              </w:rPr>
            </w:pPr>
            <w:r>
              <w:rPr>
                <w:color w:val="4472C4"/>
                <w:kern w:val="2"/>
                <w:szCs w:val="24"/>
              </w:rPr>
              <w:t>(nurodomos atstovo pareigos, vardas, pavardė)</w:t>
            </w:r>
          </w:p>
        </w:tc>
      </w:tr>
      <w:tr>
        <w:trPr/>
        <w:tc>
          <w:tcPr>
            <w:tcW w:w="5224" w:type="dxa"/>
            <w:gridSpan w:val="3"/>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r>
          </w:p>
        </w:tc>
        <w:tc>
          <w:tcPr>
            <w:tcW w:w="4307" w:type="dxa"/>
            <w:tcBorders>
              <w:top w:val="single" w:sz="4" w:space="0" w:color="000000"/>
              <w:left w:val="single" w:sz="4" w:space="0" w:color="000000"/>
              <w:bottom w:val="single" w:sz="4" w:space="0" w:color="000000"/>
              <w:right w:val="single" w:sz="4" w:space="0" w:color="000000"/>
            </w:tcBorders>
          </w:tcPr>
          <w:p>
            <w:pPr>
              <w:pStyle w:val="Normal"/>
              <w:jc w:val="center"/>
              <w:rPr>
                <w:b/>
                <w:color w:val="4472C4"/>
                <w:kern w:val="2"/>
                <w:szCs w:val="24"/>
              </w:rPr>
            </w:pPr>
            <w:r>
              <w:rPr>
                <w:b/>
                <w:color w:val="4472C4"/>
                <w:kern w:val="2"/>
                <w:szCs w:val="24"/>
              </w:rPr>
            </w:r>
          </w:p>
          <w:p>
            <w:pPr>
              <w:pStyle w:val="Normal"/>
              <w:jc w:val="center"/>
              <w:rPr>
                <w:b/>
                <w:color w:val="4472C4"/>
                <w:kern w:val="2"/>
                <w:szCs w:val="24"/>
              </w:rPr>
            </w:pPr>
            <w:r>
              <w:rPr>
                <w:b/>
                <w:color w:val="4472C4"/>
                <w:kern w:val="2"/>
                <w:szCs w:val="24"/>
              </w:rPr>
              <w:t>(parašas)</w:t>
            </w:r>
          </w:p>
        </w:tc>
      </w:tr>
    </w:tbl>
    <w:p>
      <w:pPr>
        <w:pStyle w:val="Normal"/>
        <w:rPr>
          <w:szCs w:val="24"/>
        </w:rPr>
      </w:pPr>
      <w:r>
        <w:rPr>
          <w:szCs w:val="24"/>
        </w:rPr>
      </w:r>
    </w:p>
    <w:p>
      <w:pPr>
        <w:pStyle w:val="Normal"/>
        <w:rPr>
          <w:szCs w:val="24"/>
        </w:rPr>
      </w:pPr>
      <w:r>
        <w:rPr>
          <w:szCs w:val="24"/>
        </w:rPr>
      </w:r>
    </w:p>
    <w:p>
      <w:pPr>
        <w:pStyle w:val="Normal"/>
        <w:tabs>
          <w:tab w:val="clear" w:pos="1296"/>
          <w:tab w:val="left" w:pos="5400" w:leader="none"/>
        </w:tabs>
        <w:jc w:val="center"/>
        <w:textAlignment w:val="center"/>
        <w:rPr/>
      </w:pPr>
      <w:r>
        <w:rPr>
          <w:b/>
          <w:bCs/>
        </w:rPr>
        <w:t>______________</w:t>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701" w:right="567" w:gutter="0" w:header="720" w:top="1134" w:footer="72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1296"/>
        <w:tab w:val="center" w:pos="4680" w:leader="none"/>
        <w:tab w:val="right" w:pos="9360" w:leader="none"/>
      </w:tabs>
      <w:jc w:val="center"/>
      <w:rPr>
        <w:rFonts w:ascii="Arial" w:hAnsi="Arial" w:eastAsia="Arial" w:cs="Arial"/>
        <w:sz w:val="18"/>
        <w:szCs w:val="18"/>
      </w:rPr>
    </w:pPr>
    <w:r>
      <w:rPr>
        <w:rFonts w:eastAsia="Arial" w:cs="Arial" w:ascii="Arial" w:hAnsi="Arial"/>
        <w:sz w:val="18"/>
        <w:szCs w:val="18"/>
      </w:rPr>
      <w:fldChar w:fldCharType="begin"/>
    </w:r>
    <w:r>
      <w:rPr>
        <w:sz w:val="18"/>
        <w:szCs w:val="18"/>
        <w:rFonts w:eastAsia="Arial" w:cs="Arial" w:ascii="Arial" w:hAnsi="Arial"/>
      </w:rPr>
      <w:instrText xml:space="preserve"> PAGE </w:instrText>
    </w:r>
    <w:r>
      <w:rPr>
        <w:sz w:val="18"/>
        <w:szCs w:val="18"/>
        <w:rFonts w:eastAsia="Arial" w:cs="Arial" w:ascii="Arial" w:hAnsi="Arial"/>
      </w:rPr>
      <w:fldChar w:fldCharType="separate"/>
    </w:r>
    <w:r>
      <w:rPr>
        <w:sz w:val="18"/>
        <w:szCs w:val="18"/>
        <w:rFonts w:eastAsia="Arial" w:cs="Arial" w:ascii="Arial" w:hAnsi="Arial"/>
      </w:rPr>
      <w:t>7</w:t>
    </w:r>
    <w:r>
      <w:rPr>
        <w:sz w:val="18"/>
        <w:szCs w:val="18"/>
        <w:rFonts w:eastAsia="Arial" w:cs="Arial" w:ascii="Arial" w:hAnsi="Arial"/>
      </w:rPr>
      <w:fldChar w:fldCharType="end"/>
    </w:r>
  </w:p>
  <w:p>
    <w:pPr>
      <w:pStyle w:val="Normal"/>
      <w:tabs>
        <w:tab w:val="clear" w:pos="1296"/>
        <w:tab w:val="center" w:pos="4680" w:leader="none"/>
        <w:tab w:val="right" w:pos="9360" w:leader="none"/>
      </w:tabs>
      <w:jc w:val="both"/>
      <w:rPr>
        <w:rFonts w:ascii="Arial" w:hAnsi="Arial" w:eastAsia="Arial" w:cs="Arial"/>
        <w:sz w:val="18"/>
        <w:szCs w:val="18"/>
      </w:rPr>
    </w:pPr>
    <w:r>
      <w:rPr>
        <w:rFonts w:eastAsia="Arial" w:cs="Arial" w:ascii="Arial" w:hAnsi="Arial"/>
        <w:sz w:val="18"/>
        <w:szCs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61"/>
  <w:defaultTabStop w:val="1296"/>
  <w:autoHyphenation w:val="true"/>
  <w:doNotHyphenateCaps/>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lt-LT"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qFormat/>
    <w:rsid w:val="00f60bd9"/>
    <w:rPr>
      <w:color w:val="808080"/>
    </w:rPr>
  </w:style>
  <w:style w:type="character" w:styleId="Galinsinaosramenys">
    <w:name w:val="Galinės išnašos rašmenys"/>
    <w:qFormat/>
    <w:rPr/>
  </w:style>
  <w:style w:type="character" w:styleId="Hyperlink">
    <w:name w:val="Hyperlink"/>
    <w:rPr>
      <w:color w:val="000080"/>
      <w:u w:val="single"/>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Puslapinantratirporat">
    <w:name w:val="Puslapinė antraštė ir poraštė"/>
    <w:basedOn w:val="Normal"/>
    <w:qFormat/>
    <w:pPr/>
    <w:rPr/>
  </w:style>
  <w:style w:type="paragraph" w:styleId="Header">
    <w:name w:val="Header"/>
    <w:basedOn w:val="Puslapinantratirporat"/>
    <w:pPr/>
    <w:rPr/>
  </w:style>
  <w:style w:type="paragraph" w:styleId="Footer">
    <w:name w:val="Footer"/>
    <w:basedOn w:val="Puslapinantratirporat"/>
    <w:pPr/>
    <w:rPr/>
  </w:style>
  <w:style w:type="paragraph" w:styleId="ListParagraph">
    <w:name w:val="List Paragraph"/>
    <w:basedOn w:val="Normal"/>
    <w:qFormat/>
    <w:pPr>
      <w:spacing w:before="0" w:after="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dita.jakimaviciute@prienai.l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398</TotalTime>
  <Application>LibreOffice/24.2.0.3$Windows_X86_64 LibreOffice_project/da48488a73ddd66ea24cf16bbc4f7b9c08e9bea1</Application>
  <AppVersion>15.0000</AppVersion>
  <Pages>10</Pages>
  <Words>2455</Words>
  <Characters>17067</Characters>
  <CharactersWithSpaces>19316</CharactersWithSpaces>
  <Paragraphs>226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2025-01-10T07:10:00Z</dcterms:created>
  <dc:creator>Rasa Politikienė</dc:creator>
  <dc:description/>
  <dc:language>lt-LT</dc:language>
  <cp:lastModifiedBy/>
  <cp:lastPrinted>2017-06-29T23:42:00Z</cp:lastPrinted>
  <dcterms:modified xsi:type="dcterms:W3CDTF">2025-03-25T13:55:07Z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