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8903" w14:textId="77777777" w:rsidR="00B31EE9" w:rsidRPr="00B43E74" w:rsidRDefault="00B31EE9" w:rsidP="00B31EE9">
      <w:pPr>
        <w:pStyle w:val="Heading2"/>
        <w:jc w:val="right"/>
        <w:rPr>
          <w:rFonts w:ascii="Verdana" w:eastAsia="Calibri" w:hAnsi="Verdana" w:cs="Times New Roman"/>
          <w:color w:val="auto"/>
          <w:sz w:val="16"/>
          <w:szCs w:val="16"/>
          <w:lang w:val="lt-LT"/>
        </w:rPr>
      </w:pPr>
      <w:bookmarkStart w:id="0" w:name="_Ref38539939"/>
      <w:bookmarkStart w:id="1" w:name="_Ref38541068"/>
      <w:bookmarkStart w:id="2" w:name="_Ref38885053"/>
      <w:bookmarkStart w:id="3" w:name="_Ref38899023"/>
      <w:bookmarkStart w:id="4" w:name="_Toc134433517"/>
      <w:r w:rsidRPr="00B43E74">
        <w:rPr>
          <w:rFonts w:ascii="Verdana" w:eastAsia="Calibri" w:hAnsi="Verdana" w:cs="Times New Roman"/>
          <w:color w:val="auto"/>
          <w:sz w:val="16"/>
          <w:szCs w:val="16"/>
          <w:lang w:val="lt-LT"/>
        </w:rPr>
        <w:t>Pirkimo sąlygų 2 priedas „Techninė specifikacija“</w:t>
      </w:r>
      <w:bookmarkEnd w:id="0"/>
      <w:bookmarkEnd w:id="1"/>
      <w:bookmarkEnd w:id="2"/>
      <w:bookmarkEnd w:id="3"/>
      <w:bookmarkEnd w:id="4"/>
    </w:p>
    <w:p w14:paraId="60970710" w14:textId="77777777" w:rsidR="00B31EE9" w:rsidRPr="00B43E74" w:rsidRDefault="00B31EE9" w:rsidP="00B31EE9">
      <w:pPr>
        <w:jc w:val="center"/>
        <w:rPr>
          <w:rFonts w:ascii="Verdana" w:hAnsi="Verdana"/>
          <w:sz w:val="20"/>
          <w:szCs w:val="20"/>
          <w:lang w:val="lt-LT"/>
        </w:rPr>
      </w:pPr>
    </w:p>
    <w:p w14:paraId="7A2427E3" w14:textId="77777777" w:rsidR="006F0802" w:rsidRDefault="00B31EE9" w:rsidP="00B31EE9">
      <w:pPr>
        <w:jc w:val="center"/>
        <w:rPr>
          <w:rFonts w:ascii="Verdana" w:hAnsi="Verdana"/>
          <w:b/>
          <w:bCs/>
          <w:sz w:val="20"/>
          <w:szCs w:val="20"/>
          <w:lang w:val="lt-LT"/>
        </w:rPr>
      </w:pPr>
      <w:r w:rsidRPr="00B43E74">
        <w:rPr>
          <w:rFonts w:ascii="Verdana" w:hAnsi="Verdana"/>
          <w:b/>
          <w:bCs/>
          <w:sz w:val="20"/>
          <w:szCs w:val="20"/>
          <w:lang w:val="lt-LT"/>
        </w:rPr>
        <w:t xml:space="preserve">DUOMENŲ APDOROJIMO SISTEMOS </w:t>
      </w:r>
      <w:r w:rsidR="00B9749C" w:rsidRPr="00B43E74">
        <w:rPr>
          <w:rFonts w:ascii="Verdana" w:hAnsi="Verdana"/>
          <w:b/>
          <w:bCs/>
          <w:sz w:val="20"/>
          <w:szCs w:val="20"/>
          <w:lang w:val="lt-LT"/>
        </w:rPr>
        <w:t xml:space="preserve">QUANTUM XCELLIS STORNEXT </w:t>
      </w:r>
      <w:r w:rsidRPr="00B43E74">
        <w:rPr>
          <w:rFonts w:ascii="Verdana" w:hAnsi="Verdana"/>
          <w:b/>
          <w:bCs/>
          <w:sz w:val="20"/>
          <w:szCs w:val="20"/>
          <w:lang w:val="lt-LT"/>
        </w:rPr>
        <w:t>FUNKCIONALUMO IŠPLĖTIMO LICENCIJ</w:t>
      </w:r>
      <w:r w:rsidR="00E11027">
        <w:rPr>
          <w:rFonts w:ascii="Verdana" w:hAnsi="Verdana"/>
          <w:b/>
          <w:bCs/>
          <w:sz w:val="20"/>
          <w:szCs w:val="20"/>
          <w:lang w:val="lt-LT"/>
        </w:rPr>
        <w:t>Ų</w:t>
      </w:r>
      <w:r w:rsidRPr="00B43E74">
        <w:rPr>
          <w:rFonts w:ascii="Verdana" w:hAnsi="Verdana"/>
          <w:b/>
          <w:bCs/>
          <w:sz w:val="20"/>
          <w:szCs w:val="20"/>
          <w:lang w:val="lt-LT"/>
        </w:rPr>
        <w:t xml:space="preserve"> </w:t>
      </w:r>
    </w:p>
    <w:p w14:paraId="1CF6DBE3" w14:textId="06B573B2" w:rsidR="00B31EE9" w:rsidRPr="00B43E74" w:rsidRDefault="00B31EE9" w:rsidP="00B31EE9">
      <w:pPr>
        <w:jc w:val="center"/>
        <w:rPr>
          <w:rFonts w:ascii="Verdana" w:hAnsi="Verdana"/>
          <w:b/>
          <w:bCs/>
          <w:sz w:val="20"/>
          <w:szCs w:val="20"/>
          <w:lang w:val="lt-LT"/>
        </w:rPr>
      </w:pPr>
      <w:r w:rsidRPr="00B43E74">
        <w:rPr>
          <w:rFonts w:ascii="Verdana" w:hAnsi="Verdana"/>
          <w:b/>
          <w:bCs/>
          <w:sz w:val="20"/>
          <w:szCs w:val="20"/>
          <w:lang w:val="lt-LT"/>
        </w:rPr>
        <w:t>TECHNINĖ SPECIFIKACIJA</w:t>
      </w:r>
    </w:p>
    <w:p w14:paraId="455E5C98" w14:textId="77777777" w:rsidR="00B31EE9" w:rsidRPr="00B43E74" w:rsidRDefault="00B31EE9" w:rsidP="00B31EE9">
      <w:pPr>
        <w:jc w:val="center"/>
        <w:rPr>
          <w:rFonts w:ascii="Verdana" w:hAnsi="Verdana"/>
          <w:sz w:val="20"/>
          <w:szCs w:val="20"/>
          <w:lang w:val="lt-LT"/>
        </w:rPr>
      </w:pPr>
    </w:p>
    <w:p w14:paraId="501317D9" w14:textId="5C1E5374" w:rsidR="00B31EE9" w:rsidRPr="00B43E74" w:rsidRDefault="00B31EE9" w:rsidP="00B31EE9">
      <w:pPr>
        <w:pStyle w:val="ListParagraph"/>
        <w:numPr>
          <w:ilvl w:val="0"/>
          <w:numId w:val="1"/>
        </w:numPr>
        <w:jc w:val="both"/>
        <w:rPr>
          <w:rFonts w:ascii="Verdana" w:hAnsi="Verdana"/>
          <w:sz w:val="20"/>
          <w:szCs w:val="20"/>
          <w:lang w:val="lt-LT"/>
        </w:rPr>
      </w:pPr>
      <w:r w:rsidRPr="00B43E74">
        <w:rPr>
          <w:rFonts w:ascii="Verdana" w:hAnsi="Verdana"/>
          <w:b/>
          <w:bCs/>
          <w:sz w:val="20"/>
          <w:szCs w:val="20"/>
          <w:lang w:val="lt-LT"/>
        </w:rPr>
        <w:t>Bendri reikalavimai</w:t>
      </w:r>
      <w:r w:rsidR="00EC59A8" w:rsidRPr="00B43E74">
        <w:rPr>
          <w:rFonts w:ascii="Verdana" w:hAnsi="Verdana"/>
          <w:sz w:val="20"/>
          <w:szCs w:val="20"/>
          <w:lang w:val="lt-LT"/>
        </w:rPr>
        <w:t>:</w:t>
      </w:r>
    </w:p>
    <w:p w14:paraId="5ABAD461" w14:textId="3AAE1467" w:rsidR="00F1683B" w:rsidRDefault="00B31EE9" w:rsidP="00F1683B">
      <w:pPr>
        <w:pStyle w:val="ListParagraph"/>
        <w:numPr>
          <w:ilvl w:val="1"/>
          <w:numId w:val="1"/>
        </w:numPr>
        <w:jc w:val="both"/>
        <w:rPr>
          <w:rFonts w:ascii="Verdana" w:hAnsi="Verdana"/>
          <w:sz w:val="20"/>
          <w:szCs w:val="20"/>
          <w:lang w:val="lt-LT"/>
        </w:rPr>
      </w:pPr>
      <w:r w:rsidRPr="2DFC0364">
        <w:rPr>
          <w:rFonts w:ascii="Verdana" w:hAnsi="Verdana"/>
          <w:sz w:val="20"/>
          <w:szCs w:val="20"/>
          <w:lang w:val="lt-LT"/>
        </w:rPr>
        <w:t xml:space="preserve">VšĮ Lietuvos nacionalinis radijas ir televizija (toliau – Perkančioji organizacija; LRT) siekia įsigyti turimos duomenų apdorojimo sistemos „Quantum Xcellis Stornext“ funkcionalumo išplėtimą užtikrinančias licencijas (toliau – Prekės). </w:t>
      </w:r>
      <w:r w:rsidR="001F4C40" w:rsidRPr="2DFC0364">
        <w:rPr>
          <w:rFonts w:ascii="Verdana" w:hAnsi="Verdana"/>
          <w:sz w:val="20"/>
          <w:szCs w:val="20"/>
          <w:lang w:val="lt-LT"/>
        </w:rPr>
        <w:t>Prekes sudaro</w:t>
      </w:r>
      <w:r w:rsidR="00C7716F" w:rsidRPr="2DFC0364">
        <w:rPr>
          <w:rFonts w:ascii="Verdana" w:hAnsi="Verdana"/>
          <w:sz w:val="20"/>
          <w:szCs w:val="20"/>
          <w:lang w:val="lt-LT"/>
        </w:rPr>
        <w:t xml:space="preserve"> licencijos </w:t>
      </w:r>
      <w:r w:rsidR="00E907A5" w:rsidRPr="2DFC0364">
        <w:rPr>
          <w:rFonts w:ascii="Verdana" w:hAnsi="Verdana"/>
          <w:sz w:val="20"/>
          <w:szCs w:val="20"/>
          <w:lang w:val="lt-LT"/>
        </w:rPr>
        <w:t xml:space="preserve">kurios yra </w:t>
      </w:r>
      <w:r w:rsidR="00C7716F" w:rsidRPr="2DFC0364">
        <w:rPr>
          <w:rFonts w:ascii="Verdana" w:hAnsi="Verdana"/>
          <w:sz w:val="20"/>
          <w:szCs w:val="20"/>
          <w:lang w:val="lt-LT"/>
        </w:rPr>
        <w:t>skirtos</w:t>
      </w:r>
      <w:r w:rsidR="001F4C40" w:rsidRPr="2DFC0364">
        <w:rPr>
          <w:rFonts w:ascii="Verdana" w:hAnsi="Verdana"/>
          <w:sz w:val="20"/>
          <w:szCs w:val="20"/>
          <w:lang w:val="lt-LT"/>
        </w:rPr>
        <w:t xml:space="preserve"> </w:t>
      </w:r>
      <w:r w:rsidR="00DB7371" w:rsidRPr="00B87D5A">
        <w:rPr>
          <w:rFonts w:ascii="Verdana" w:hAnsi="Verdana"/>
          <w:sz w:val="20"/>
          <w:szCs w:val="20"/>
          <w:lang w:val="lt-LT"/>
        </w:rPr>
        <w:t>juostinė</w:t>
      </w:r>
      <w:r w:rsidR="00C7716F" w:rsidRPr="2DFC0364">
        <w:rPr>
          <w:rFonts w:ascii="Verdana" w:hAnsi="Verdana"/>
          <w:sz w:val="20"/>
          <w:szCs w:val="20"/>
          <w:lang w:val="lt-LT"/>
        </w:rPr>
        <w:t>m</w:t>
      </w:r>
      <w:r w:rsidR="00DB7371" w:rsidRPr="00B87D5A">
        <w:rPr>
          <w:rFonts w:ascii="Verdana" w:hAnsi="Verdana"/>
          <w:sz w:val="20"/>
          <w:szCs w:val="20"/>
          <w:lang w:val="lt-LT"/>
        </w:rPr>
        <w:t>s biblioteko</w:t>
      </w:r>
      <w:r w:rsidR="00C7716F" w:rsidRPr="2DFC0364">
        <w:rPr>
          <w:rFonts w:ascii="Verdana" w:hAnsi="Verdana"/>
          <w:sz w:val="20"/>
          <w:szCs w:val="20"/>
          <w:lang w:val="lt-LT"/>
        </w:rPr>
        <w:t>m</w:t>
      </w:r>
      <w:r w:rsidR="00DB7371" w:rsidRPr="00B87D5A">
        <w:rPr>
          <w:rFonts w:ascii="Verdana" w:hAnsi="Verdana"/>
          <w:sz w:val="20"/>
          <w:szCs w:val="20"/>
          <w:lang w:val="lt-LT"/>
        </w:rPr>
        <w:t>s</w:t>
      </w:r>
      <w:r w:rsidR="00A70CD0" w:rsidRPr="2DFC0364">
        <w:rPr>
          <w:rFonts w:ascii="Verdana" w:hAnsi="Verdana"/>
          <w:sz w:val="20"/>
          <w:szCs w:val="20"/>
          <w:lang w:val="lt-LT"/>
        </w:rPr>
        <w:t>, bibliotekų</w:t>
      </w:r>
      <w:r w:rsidR="00357C81" w:rsidRPr="2DFC0364">
        <w:rPr>
          <w:rFonts w:ascii="Verdana" w:hAnsi="Verdana"/>
          <w:sz w:val="20"/>
          <w:szCs w:val="20"/>
          <w:lang w:val="lt-LT"/>
        </w:rPr>
        <w:t xml:space="preserve"> funkcion</w:t>
      </w:r>
      <w:r w:rsidR="0054226B">
        <w:rPr>
          <w:rFonts w:ascii="Verdana" w:hAnsi="Verdana"/>
          <w:sz w:val="20"/>
          <w:szCs w:val="20"/>
          <w:lang w:val="lt-LT"/>
        </w:rPr>
        <w:t>a</w:t>
      </w:r>
      <w:r w:rsidR="00357C81" w:rsidRPr="2DFC0364">
        <w:rPr>
          <w:rFonts w:ascii="Verdana" w:hAnsi="Verdana"/>
          <w:sz w:val="20"/>
          <w:szCs w:val="20"/>
          <w:lang w:val="lt-LT"/>
        </w:rPr>
        <w:t xml:space="preserve">lumui </w:t>
      </w:r>
      <w:r w:rsidR="00276936" w:rsidRPr="2DFC0364">
        <w:rPr>
          <w:rFonts w:ascii="Verdana" w:hAnsi="Verdana"/>
          <w:sz w:val="20"/>
          <w:szCs w:val="20"/>
          <w:lang w:val="lt-LT"/>
        </w:rPr>
        <w:t>valdyti</w:t>
      </w:r>
      <w:r w:rsidR="0054226B">
        <w:rPr>
          <w:rFonts w:ascii="Verdana" w:hAnsi="Verdana"/>
          <w:sz w:val="20"/>
          <w:szCs w:val="20"/>
          <w:lang w:val="lt-LT"/>
        </w:rPr>
        <w:t>:</w:t>
      </w:r>
      <w:r w:rsidR="00DB7371" w:rsidRPr="00B87D5A">
        <w:rPr>
          <w:rFonts w:ascii="Verdana" w:hAnsi="Verdana"/>
          <w:sz w:val="20"/>
          <w:szCs w:val="20"/>
          <w:lang w:val="lt-LT"/>
        </w:rPr>
        <w:t xml:space="preserve"> </w:t>
      </w:r>
      <w:r w:rsidR="00B7526C" w:rsidRPr="00B7526C">
        <w:rPr>
          <w:rFonts w:ascii="Verdana" w:hAnsi="Verdana"/>
          <w:sz w:val="20"/>
          <w:szCs w:val="20"/>
          <w:lang w:val="lt-LT"/>
        </w:rPr>
        <w:t>duomenų  apdorojimo juostinėje posistemėje licencija</w:t>
      </w:r>
      <w:r w:rsidR="00701B74" w:rsidRPr="00B87D5A">
        <w:rPr>
          <w:rFonts w:ascii="Verdana" w:hAnsi="Verdana"/>
          <w:sz w:val="20"/>
          <w:szCs w:val="20"/>
          <w:lang w:val="lt-LT"/>
        </w:rPr>
        <w:t xml:space="preserve">, </w:t>
      </w:r>
      <w:r w:rsidR="00B60308" w:rsidRPr="2DFC0364">
        <w:rPr>
          <w:rFonts w:ascii="Verdana" w:hAnsi="Verdana"/>
          <w:sz w:val="20"/>
          <w:szCs w:val="20"/>
          <w:lang w:val="lt-LT"/>
        </w:rPr>
        <w:t>2</w:t>
      </w:r>
      <w:r w:rsidR="00701B74" w:rsidRPr="00B87D5A">
        <w:rPr>
          <w:rFonts w:ascii="Verdana" w:hAnsi="Verdana"/>
          <w:sz w:val="20"/>
          <w:szCs w:val="20"/>
          <w:lang w:val="lt-LT"/>
        </w:rPr>
        <w:t xml:space="preserve"> vnt. </w:t>
      </w:r>
      <w:r w:rsidR="0011452E" w:rsidRPr="2DFC0364">
        <w:rPr>
          <w:rFonts w:ascii="Verdana" w:hAnsi="Verdana"/>
          <w:sz w:val="20"/>
          <w:szCs w:val="20"/>
          <w:lang w:val="lt-LT"/>
        </w:rPr>
        <w:t xml:space="preserve">ir </w:t>
      </w:r>
      <w:r w:rsidR="0054226B">
        <w:rPr>
          <w:rFonts w:ascii="Verdana" w:hAnsi="Verdana"/>
          <w:sz w:val="20"/>
          <w:szCs w:val="20"/>
          <w:lang w:val="lt-LT"/>
        </w:rPr>
        <w:t>d</w:t>
      </w:r>
      <w:r w:rsidR="0054226B" w:rsidRPr="0054226B">
        <w:rPr>
          <w:rFonts w:ascii="Verdana" w:hAnsi="Verdana"/>
          <w:sz w:val="20"/>
          <w:szCs w:val="20"/>
          <w:lang w:val="lt-LT"/>
        </w:rPr>
        <w:t>uomenų valdymo, papildomo funkcionalumo aktyvavimo licencija</w:t>
      </w:r>
      <w:r w:rsidR="00B60308" w:rsidRPr="00B87D5A">
        <w:rPr>
          <w:rFonts w:ascii="Verdana" w:hAnsi="Verdana"/>
          <w:sz w:val="20"/>
          <w:szCs w:val="20"/>
          <w:lang w:val="lt-LT"/>
        </w:rPr>
        <w:t>, 1 vnt.</w:t>
      </w:r>
    </w:p>
    <w:p w14:paraId="563A70E8" w14:textId="77777777" w:rsidR="00B31EE9" w:rsidRPr="00B43E74" w:rsidRDefault="00B31EE9" w:rsidP="00B31EE9">
      <w:pPr>
        <w:pStyle w:val="ListParagraph"/>
        <w:numPr>
          <w:ilvl w:val="1"/>
          <w:numId w:val="1"/>
        </w:numPr>
        <w:jc w:val="both"/>
        <w:rPr>
          <w:rFonts w:ascii="Verdana" w:hAnsi="Verdana"/>
          <w:sz w:val="20"/>
          <w:szCs w:val="20"/>
          <w:lang w:val="lt-LT"/>
        </w:rPr>
      </w:pPr>
      <w:r w:rsidRPr="00B43E74">
        <w:rPr>
          <w:rFonts w:ascii="Verdana" w:hAnsi="Verdana"/>
          <w:sz w:val="20"/>
          <w:szCs w:val="20"/>
          <w:lang w:val="lt-LT"/>
        </w:rPr>
        <w:t>Reikalavimai Prekėms pateikiami šioje Techninėje specifikacijoje.</w:t>
      </w:r>
    </w:p>
    <w:p w14:paraId="1B0A5218" w14:textId="77777777" w:rsidR="00B31EE9" w:rsidRPr="00B43E74" w:rsidRDefault="00B31EE9" w:rsidP="00B31EE9">
      <w:pPr>
        <w:pStyle w:val="ListParagraph"/>
        <w:numPr>
          <w:ilvl w:val="1"/>
          <w:numId w:val="1"/>
        </w:numPr>
        <w:jc w:val="both"/>
        <w:rPr>
          <w:rFonts w:ascii="Verdana" w:hAnsi="Verdana"/>
          <w:sz w:val="20"/>
          <w:szCs w:val="20"/>
          <w:lang w:val="lt-LT"/>
        </w:rPr>
      </w:pPr>
      <w:r w:rsidRPr="00B43E74">
        <w:rPr>
          <w:rFonts w:ascii="Verdana" w:hAnsi="Verdana"/>
          <w:sz w:val="20"/>
          <w:szCs w:val="20"/>
          <w:lang w:val="lt-LT"/>
        </w:rPr>
        <w:t xml:space="preserve">Prekės skirtos išplėsti turimos duomenų apdorojimo sistemos „Quantum Xcellis Stornext“ funkcionalumą išlaikant esamos sistemos garantiją ir palaikymą. </w:t>
      </w:r>
    </w:p>
    <w:p w14:paraId="2AF2BC0B" w14:textId="5BBF8EFC" w:rsidR="006F0802" w:rsidRDefault="006F0802" w:rsidP="00B31EE9">
      <w:pPr>
        <w:pStyle w:val="ListParagraph"/>
        <w:numPr>
          <w:ilvl w:val="1"/>
          <w:numId w:val="1"/>
        </w:numPr>
        <w:jc w:val="both"/>
        <w:rPr>
          <w:rFonts w:ascii="Verdana" w:hAnsi="Verdana"/>
          <w:sz w:val="20"/>
          <w:szCs w:val="20"/>
          <w:lang w:val="lt-LT"/>
        </w:rPr>
      </w:pPr>
      <w:r w:rsidRPr="006F0802">
        <w:rPr>
          <w:rFonts w:ascii="Verdana" w:hAnsi="Verdana"/>
          <w:sz w:val="20"/>
          <w:szCs w:val="20"/>
          <w:lang w:val="lt-LT"/>
        </w:rPr>
        <w:t>Šiuo metu Perkančioji organizacija naudoja Quantum Xcellis QXS duomenų saugyklą, kuri buvo įsigyta įgyvendinant Europos Sąjungos struktūrinių fondų lėšomis bendrai finansuojamą projektą Nr. 02.3.1-CPVA-V-526-01-0005 „Naujos kartos elektroninių paslaugų kūrimas LRT archyvo duomenų pagrindu“, ir įsipareigojo užtikrinti šios įrangos naudojimą projekto tikslams ne trumpiau kaip 5 metus po projekto finansavimo pabaigos</w:t>
      </w:r>
      <w:r>
        <w:rPr>
          <w:rFonts w:ascii="Verdana" w:hAnsi="Verdana"/>
          <w:sz w:val="20"/>
          <w:szCs w:val="20"/>
          <w:lang w:val="lt-LT"/>
        </w:rPr>
        <w:t>.</w:t>
      </w:r>
      <w:r>
        <w:rPr>
          <w:rFonts w:ascii="Verdana" w:hAnsi="Verdana"/>
          <w:sz w:val="20"/>
          <w:szCs w:val="20"/>
          <w:lang w:val="lt-LT"/>
        </w:rPr>
        <w:br/>
        <w:t xml:space="preserve">             </w:t>
      </w:r>
      <w:r w:rsidRPr="00B43E74">
        <w:rPr>
          <w:rFonts w:ascii="Verdana" w:hAnsi="Verdana"/>
          <w:sz w:val="20"/>
          <w:szCs w:val="20"/>
          <w:lang w:val="lt-LT"/>
        </w:rPr>
        <w:t xml:space="preserve"> </w:t>
      </w:r>
      <w:r w:rsidR="00B31EE9" w:rsidRPr="00B43E74">
        <w:rPr>
          <w:rFonts w:ascii="Verdana" w:hAnsi="Verdana"/>
          <w:sz w:val="20"/>
          <w:szCs w:val="20"/>
          <w:lang w:val="lt-LT"/>
        </w:rPr>
        <w:t>„Quantum Xcellis Stornext“</w:t>
      </w:r>
      <w:r w:rsidR="002838B1" w:rsidRPr="00B43E74">
        <w:rPr>
          <w:rFonts w:ascii="Verdana" w:hAnsi="Verdana"/>
          <w:sz w:val="20"/>
          <w:szCs w:val="20"/>
          <w:lang w:val="lt-LT"/>
        </w:rPr>
        <w:t xml:space="preserve"> </w:t>
      </w:r>
      <w:r w:rsidR="00B31EE9" w:rsidRPr="00B43E74">
        <w:rPr>
          <w:rFonts w:ascii="Verdana" w:hAnsi="Verdana"/>
          <w:sz w:val="20"/>
          <w:szCs w:val="20"/>
          <w:lang w:val="lt-LT"/>
        </w:rPr>
        <w:t xml:space="preserve">LRT įsigijo 2019 metais. „Quantum Xcellis Stornext“ iki 2026-02-01 galioja garantija ir palaikymas. Garantinis remontas atliekamas įrangos naudojimo vietoje (angl. On-site) pagal principą 24x7, įrangos gedimo atveju reakcijos laikas iki 4 val. Garantijos laikotarpiu atliekamas techninės įrangos remontas, teikiamos programinės įrangos palaikymo, atnaujinimo ir klaidų šalinimo paslaugos. </w:t>
      </w:r>
    </w:p>
    <w:p w14:paraId="75FC2614" w14:textId="4B984097" w:rsidR="00B31EE9" w:rsidRPr="00B43E74" w:rsidRDefault="00B31EE9" w:rsidP="006F0802">
      <w:pPr>
        <w:pStyle w:val="ListParagraph"/>
        <w:jc w:val="both"/>
        <w:rPr>
          <w:rFonts w:ascii="Verdana" w:hAnsi="Verdana"/>
          <w:sz w:val="20"/>
          <w:szCs w:val="20"/>
          <w:lang w:val="lt-LT"/>
        </w:rPr>
      </w:pPr>
      <w:r w:rsidRPr="00B43E74">
        <w:rPr>
          <w:rFonts w:ascii="Verdana" w:hAnsi="Verdana"/>
          <w:sz w:val="20"/>
          <w:szCs w:val="20"/>
          <w:lang w:val="lt-LT"/>
        </w:rPr>
        <w:t xml:space="preserve">„Quantum Xcellis Stornext“ sutarties sąlygos prieinamos CVPP adresu:  </w:t>
      </w:r>
    </w:p>
    <w:p w14:paraId="654DB26B" w14:textId="64BBF4CE" w:rsidR="00B31EE9" w:rsidRPr="00FC1F9D" w:rsidRDefault="00B31EE9" w:rsidP="00B31EE9">
      <w:pPr>
        <w:jc w:val="both"/>
        <w:rPr>
          <w:rFonts w:ascii="Verdana" w:hAnsi="Verdana"/>
          <w:sz w:val="20"/>
          <w:szCs w:val="20"/>
          <w:lang w:val="lt-LT"/>
        </w:rPr>
      </w:pPr>
      <w:hyperlink r:id="rId7" w:history="1">
        <w:r w:rsidRPr="00B43E74">
          <w:rPr>
            <w:rStyle w:val="Hyperlink"/>
            <w:rFonts w:ascii="Verdana" w:hAnsi="Verdana"/>
            <w:sz w:val="20"/>
            <w:szCs w:val="20"/>
            <w:lang w:val="lt-LT"/>
          </w:rPr>
          <w:t>http://cvpp.lt/index.php?option=com_vptpublic&amp;task=sutartys&amp;Itemid=109&amp;filter_show=1&amp;filter_limit=10&amp;vpt_unite=&amp;filter_tender=&amp;filter_number=18F-1013&amp;filter_proctype=&amp;filter_authority=&amp;filter_jarcode=124241078&amp;filter_purchaseCode=&amp;filter_cpv=&amp;filter_valuefrom=&amp;filter_valueto=&amp;filter_contractdate_from=&amp;filter_contractdate_to=&amp;filter_expirationdate_from=&amp;filter_expirationdate_to=&amp;filter_supplier=&amp;filter_supplier_jarcode=304096321&amp;filter_agreement_type=#</w:t>
        </w:r>
      </w:hyperlink>
      <w:r w:rsidR="00FC1F9D" w:rsidRPr="00B87D5A">
        <w:rPr>
          <w:lang w:val="lt-LT"/>
        </w:rPr>
        <w:t>.</w:t>
      </w:r>
    </w:p>
    <w:p w14:paraId="5FDD3AA4" w14:textId="77777777" w:rsidR="00EC59A8" w:rsidRPr="00B43E74" w:rsidRDefault="00EC59A8" w:rsidP="00B31EE9">
      <w:pPr>
        <w:jc w:val="both"/>
        <w:rPr>
          <w:rFonts w:ascii="Verdana" w:hAnsi="Verdana"/>
          <w:sz w:val="20"/>
          <w:szCs w:val="20"/>
          <w:lang w:val="lt-LT"/>
        </w:rPr>
      </w:pPr>
    </w:p>
    <w:p w14:paraId="70C294F3" w14:textId="77777777" w:rsidR="00B31EE9" w:rsidRPr="00B43E74" w:rsidRDefault="00B31EE9" w:rsidP="00B31EE9">
      <w:pPr>
        <w:pStyle w:val="ListParagraph"/>
        <w:numPr>
          <w:ilvl w:val="1"/>
          <w:numId w:val="1"/>
        </w:numPr>
        <w:tabs>
          <w:tab w:val="left" w:pos="993"/>
        </w:tabs>
        <w:jc w:val="both"/>
        <w:rPr>
          <w:rFonts w:ascii="Verdana" w:hAnsi="Verdana"/>
          <w:sz w:val="20"/>
          <w:szCs w:val="20"/>
          <w:lang w:val="lt-LT"/>
        </w:rPr>
      </w:pPr>
      <w:r w:rsidRPr="00B43E74">
        <w:rPr>
          <w:rFonts w:ascii="Verdana" w:hAnsi="Verdana"/>
          <w:b/>
          <w:bCs/>
          <w:sz w:val="20"/>
          <w:szCs w:val="20"/>
          <w:lang w:val="lt-LT"/>
        </w:rPr>
        <w:t>Techninėje specifikacijoje vartojamos sąvokos</w:t>
      </w:r>
      <w:r w:rsidRPr="00B43E74">
        <w:rPr>
          <w:rFonts w:ascii="Verdana" w:hAnsi="Verdana"/>
          <w:sz w:val="20"/>
          <w:szCs w:val="20"/>
          <w:lang w:val="lt-LT"/>
        </w:rPr>
        <w:t>:</w:t>
      </w:r>
    </w:p>
    <w:p w14:paraId="73D9258F" w14:textId="77777777" w:rsidR="00B31EE9" w:rsidRPr="00B43E74" w:rsidRDefault="00B31EE9" w:rsidP="00B31EE9">
      <w:pPr>
        <w:pStyle w:val="ListParagraph"/>
        <w:numPr>
          <w:ilvl w:val="2"/>
          <w:numId w:val="1"/>
        </w:numPr>
        <w:tabs>
          <w:tab w:val="left" w:pos="993"/>
        </w:tabs>
        <w:jc w:val="both"/>
        <w:rPr>
          <w:rFonts w:ascii="Verdana" w:hAnsi="Verdana"/>
          <w:sz w:val="20"/>
          <w:szCs w:val="20"/>
          <w:lang w:val="lt-LT"/>
        </w:rPr>
      </w:pPr>
      <w:r w:rsidRPr="00B43E74">
        <w:rPr>
          <w:rFonts w:ascii="Verdana" w:hAnsi="Verdana"/>
          <w:sz w:val="20"/>
          <w:szCs w:val="20"/>
          <w:lang w:val="lt-LT"/>
        </w:rPr>
        <w:t xml:space="preserve">Dokumentacija – gamintojo dokumentai (vartotojo vadovai, techniniai pasai, kita gamintojo teikiama informacija apie prekės parametrus) arba gamintojo internetinio puslapio nuoroda (-os), kuriuose pateikiama gamintojo informacija apie siūlomos prekės atitikimą </w:t>
      </w:r>
      <w:r w:rsidRPr="00B43E74">
        <w:rPr>
          <w:rFonts w:ascii="Verdana" w:eastAsia="Times New Roman" w:hAnsi="Verdana"/>
          <w:sz w:val="20"/>
          <w:szCs w:val="20"/>
          <w:lang w:val="lt-LT"/>
        </w:rPr>
        <w:t>reikalaujamam parametrui / specifikacijai.</w:t>
      </w:r>
    </w:p>
    <w:p w14:paraId="012C983A" w14:textId="77777777" w:rsidR="00EC59A8" w:rsidRPr="00B43E74" w:rsidRDefault="00EC59A8" w:rsidP="00EC59A8">
      <w:pPr>
        <w:pStyle w:val="ListParagraph"/>
        <w:numPr>
          <w:ilvl w:val="1"/>
          <w:numId w:val="1"/>
        </w:numPr>
        <w:jc w:val="both"/>
        <w:rPr>
          <w:rFonts w:ascii="Verdana" w:eastAsia="Times New Roman" w:hAnsi="Verdana"/>
          <w:b/>
          <w:bCs/>
          <w:sz w:val="20"/>
          <w:szCs w:val="20"/>
          <w:lang w:val="lt-LT"/>
        </w:rPr>
      </w:pPr>
      <w:r w:rsidRPr="00B43E74">
        <w:rPr>
          <w:rFonts w:ascii="Verdana" w:eastAsia="Times New Roman" w:hAnsi="Verdana"/>
          <w:b/>
          <w:bCs/>
          <w:sz w:val="20"/>
          <w:szCs w:val="20"/>
          <w:lang w:val="lt-LT"/>
        </w:rPr>
        <w:t xml:space="preserve">Bendri reikalavimai tiekėjui dėl Techninės specifikacijos pildymo: </w:t>
      </w:r>
    </w:p>
    <w:p w14:paraId="26D89E0C"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 turi užpildyti visus Techninės specifikacijos lentelių laukelius, kurie pažymėti „/</w:t>
      </w:r>
      <w:r w:rsidRPr="00B43E74">
        <w:rPr>
          <w:rFonts w:ascii="Verdana" w:eastAsia="Times New Roman" w:hAnsi="Verdana"/>
          <w:i/>
          <w:iCs/>
          <w:sz w:val="20"/>
          <w:szCs w:val="20"/>
          <w:lang w:val="lt-LT"/>
        </w:rPr>
        <w:t>įrašyti</w:t>
      </w:r>
      <w:r w:rsidRPr="00B43E74">
        <w:rPr>
          <w:rFonts w:ascii="Verdana" w:eastAsia="Times New Roman" w:hAnsi="Verdana"/>
          <w:sz w:val="20"/>
          <w:szCs w:val="20"/>
          <w:lang w:val="lt-LT"/>
        </w:rPr>
        <w:t>/“ (tiekėjas ištrina „/</w:t>
      </w:r>
      <w:r w:rsidRPr="00B43E74">
        <w:rPr>
          <w:rFonts w:ascii="Verdana" w:eastAsia="Times New Roman" w:hAnsi="Verdana"/>
          <w:i/>
          <w:iCs/>
          <w:sz w:val="20"/>
          <w:szCs w:val="20"/>
          <w:lang w:val="lt-LT"/>
        </w:rPr>
        <w:t>įrašyti</w:t>
      </w:r>
      <w:r w:rsidRPr="00B43E74">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5F33F5F2" w14:textId="77777777" w:rsidR="00EC59A8" w:rsidRPr="00E266B0" w:rsidRDefault="00EC59A8" w:rsidP="00EC59A8">
      <w:pPr>
        <w:pStyle w:val="ListParagraph"/>
        <w:numPr>
          <w:ilvl w:val="2"/>
          <w:numId w:val="1"/>
        </w:numPr>
        <w:jc w:val="both"/>
        <w:rPr>
          <w:rFonts w:ascii="Verdana" w:eastAsia="Times New Roman" w:hAnsi="Verdana"/>
          <w:sz w:val="20"/>
          <w:szCs w:val="20"/>
          <w:lang w:val="lt-LT"/>
        </w:rPr>
      </w:pPr>
      <w:r w:rsidRPr="00E266B0">
        <w:rPr>
          <w:rFonts w:ascii="Verdana" w:eastAsia="Times New Roman" w:hAnsi="Verdana"/>
          <w:sz w:val="20"/>
          <w:szCs w:val="20"/>
          <w:lang w:val="lt-LT"/>
        </w:rPr>
        <w:t>Tiekėjas negali palikti tuščių laukelių, kurie pažymėti „/</w:t>
      </w:r>
      <w:r w:rsidRPr="00E266B0">
        <w:rPr>
          <w:rFonts w:ascii="Verdana" w:eastAsia="Times New Roman" w:hAnsi="Verdana"/>
          <w:i/>
          <w:sz w:val="20"/>
          <w:szCs w:val="20"/>
          <w:lang w:val="lt-LT"/>
        </w:rPr>
        <w:t>įrašyti</w:t>
      </w:r>
      <w:r w:rsidRPr="00E266B0">
        <w:rPr>
          <w:rFonts w:ascii="Verdana" w:eastAsia="Times New Roman" w:hAnsi="Verdana"/>
          <w:sz w:val="20"/>
          <w:szCs w:val="20"/>
          <w:lang w:val="lt-LT"/>
        </w:rPr>
        <w:t>/“.</w:t>
      </w:r>
    </w:p>
    <w:p w14:paraId="676F241C"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DC92A94"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 turi nurodyti konkrečius siūlomų prekių modelių pavadinimus ir gamintojus. Konkrečiai pozicijai siūloma konkretaus gamintojo konkreti prekė (modelis), jei nenurodyta kitaip. Jeigu siūloma prekės neturi konkretaus gamintojo ar modelio pavadinimo:</w:t>
      </w:r>
    </w:p>
    <w:p w14:paraId="19733288" w14:textId="77777777" w:rsidR="00EC59A8" w:rsidRPr="00B43E74" w:rsidRDefault="00EC59A8" w:rsidP="00EC59A8">
      <w:pPr>
        <w:pStyle w:val="ListParagraph"/>
        <w:numPr>
          <w:ilvl w:val="3"/>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 xml:space="preserve"> pateikiamas paaiškinimas dėl kokių priežasčių neįmanoma nurodyti gamintojo / modelio arba;</w:t>
      </w:r>
    </w:p>
    <w:p w14:paraId="736638CF" w14:textId="77777777" w:rsidR="00EC59A8" w:rsidRPr="00B43E74" w:rsidRDefault="00EC59A8" w:rsidP="00EC59A8">
      <w:pPr>
        <w:pStyle w:val="ListParagraph"/>
        <w:numPr>
          <w:ilvl w:val="3"/>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jeigu prekė modulinė:</w:t>
      </w:r>
    </w:p>
    <w:p w14:paraId="339E6040" w14:textId="77777777" w:rsidR="00EC59A8" w:rsidRPr="00B43E74" w:rsidRDefault="00EC59A8" w:rsidP="00EC59A8">
      <w:pPr>
        <w:pStyle w:val="ListParagraph"/>
        <w:numPr>
          <w:ilvl w:val="4"/>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modelio pavadinimo sudarymo būdas, arba;</w:t>
      </w:r>
    </w:p>
    <w:p w14:paraId="5DDF4540" w14:textId="77777777" w:rsidR="00EC59A8" w:rsidRPr="00B43E74" w:rsidRDefault="00EC59A8" w:rsidP="00EC59A8">
      <w:pPr>
        <w:pStyle w:val="ListParagraph"/>
        <w:numPr>
          <w:ilvl w:val="4"/>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modulinę prekę sudarančių atskirų prekių gamintojai ir modeliai.</w:t>
      </w:r>
    </w:p>
    <w:p w14:paraId="59708576" w14:textId="77777777" w:rsidR="00EC59A8" w:rsidRPr="00B43E74" w:rsidRDefault="00EC59A8" w:rsidP="00EC59A8">
      <w:pPr>
        <w:pStyle w:val="ListParagraph"/>
        <w:numPr>
          <w:ilvl w:val="1"/>
          <w:numId w:val="1"/>
        </w:numPr>
        <w:jc w:val="both"/>
        <w:rPr>
          <w:rFonts w:ascii="Verdana" w:eastAsia="Times New Roman" w:hAnsi="Verdana"/>
          <w:b/>
          <w:bCs/>
          <w:sz w:val="20"/>
          <w:szCs w:val="20"/>
          <w:lang w:val="lt-LT"/>
        </w:rPr>
      </w:pPr>
      <w:r w:rsidRPr="00B43E74">
        <w:rPr>
          <w:rFonts w:ascii="Verdana" w:eastAsia="Times New Roman" w:hAnsi="Verdana"/>
          <w:b/>
          <w:bCs/>
          <w:sz w:val="20"/>
          <w:szCs w:val="20"/>
          <w:lang w:val="lt-LT"/>
        </w:rPr>
        <w:t>Reikalavimai tiekėjui dėl lentelių stulpelių „Siūlomi parametrai“ pildymo:</w:t>
      </w:r>
    </w:p>
    <w:p w14:paraId="4CBCD835"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lastRenderedPageBreak/>
        <w:t>Tiekėjas turi nurodyti atitikimą kiekvienam stulpelio „Reikalavimai“ nurodytam reikalavimui atskirai. Tiekėjas gali nenurodyti atitikimo reikalavimui tik tuo atveju, jeigu prie atitinkamo reikalavimo punkto stulpelio „Siūlomi parametrai“ eilutėje nurodyta „</w:t>
      </w:r>
      <w:r w:rsidRPr="00B43E74">
        <w:rPr>
          <w:rFonts w:ascii="Verdana" w:eastAsia="Times New Roman" w:hAnsi="Verdana"/>
          <w:i/>
          <w:iCs/>
          <w:sz w:val="20"/>
          <w:szCs w:val="20"/>
          <w:lang w:val="lt-LT"/>
        </w:rPr>
        <w:t>/įrašyti neprivaloma/</w:t>
      </w:r>
      <w:r w:rsidRPr="00B43E74">
        <w:rPr>
          <w:rFonts w:ascii="Verdana" w:eastAsia="Times New Roman" w:hAnsi="Verdana"/>
          <w:sz w:val="20"/>
          <w:szCs w:val="20"/>
          <w:lang w:val="lt-LT"/>
        </w:rPr>
        <w:t xml:space="preserve">“ arba eilutė perbraukta </w:t>
      </w:r>
      <w:r w:rsidRPr="00B43E74">
        <w:rPr>
          <w:rFonts w:ascii="Verdana" w:hAnsi="Verdana"/>
          <w:sz w:val="20"/>
          <w:szCs w:val="20"/>
          <w:lang w:val="lt-LT"/>
        </w:rPr>
        <w:t>„</w:t>
      </w:r>
      <w:r w:rsidRPr="00B43E74">
        <w:rPr>
          <w:rFonts w:ascii="Verdana" w:hAnsi="Verdana"/>
          <w:noProof/>
          <w:sz w:val="20"/>
          <w:szCs w:val="20"/>
          <w:lang w:val="lt-LT"/>
        </w:rPr>
        <w:drawing>
          <wp:inline distT="0" distB="0" distL="0" distR="0" wp14:anchorId="1B2DAEF3" wp14:editId="429D685C">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43E74">
        <w:rPr>
          <w:rFonts w:ascii="Verdana" w:hAnsi="Verdana"/>
          <w:sz w:val="20"/>
          <w:szCs w:val="20"/>
          <w:lang w:val="lt-LT"/>
        </w:rPr>
        <w:t>“</w:t>
      </w:r>
      <w:r w:rsidRPr="00B43E74">
        <w:rPr>
          <w:rFonts w:ascii="Verdana" w:eastAsia="Times New Roman" w:hAnsi="Verdana"/>
          <w:sz w:val="20"/>
          <w:szCs w:val="20"/>
          <w:lang w:val="lt-LT"/>
        </w:rPr>
        <w:t>.</w:t>
      </w:r>
    </w:p>
    <w:p w14:paraId="03BF4904"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bookmarkStart w:id="5" w:name="_Ref62483907"/>
      <w:r w:rsidRPr="00B43E74">
        <w:rPr>
          <w:rFonts w:ascii="Verdana" w:eastAsia="Times New Roman" w:hAnsi="Verdana"/>
          <w:sz w:val="20"/>
          <w:szCs w:val="20"/>
          <w:lang w:val="lt-LT"/>
        </w:rPr>
        <w:t>Tiekėjas nurodydamas siūlomos prekės atitikimą turi nurodyti konkrečias siūlomos prekės specifikacijas / parametrus, pvz.: „ilgis 1,5 m“, o ne „ilgis ne mažiau kaip 1,25 m“</w:t>
      </w:r>
      <w:bookmarkEnd w:id="5"/>
    </w:p>
    <w:p w14:paraId="5C60D72C"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B43E74">
        <w:rPr>
          <w:rFonts w:ascii="Verdana" w:eastAsia="Times New Roman" w:hAnsi="Verdana"/>
          <w:sz w:val="20"/>
          <w:szCs w:val="20"/>
          <w:lang w:val="lt-LT"/>
        </w:rPr>
        <w:fldChar w:fldCharType="begin"/>
      </w:r>
      <w:r w:rsidRPr="00B43E74">
        <w:rPr>
          <w:rFonts w:ascii="Verdana" w:eastAsia="Times New Roman" w:hAnsi="Verdana"/>
          <w:sz w:val="20"/>
          <w:szCs w:val="20"/>
          <w:lang w:val="lt-LT"/>
        </w:rPr>
        <w:instrText xml:space="preserve"> REF _Ref62483907 \r \h  \* MERGEFORMAT </w:instrText>
      </w:r>
      <w:r w:rsidRPr="00B43E74">
        <w:rPr>
          <w:rFonts w:ascii="Verdana" w:eastAsia="Times New Roman" w:hAnsi="Verdana"/>
          <w:sz w:val="20"/>
          <w:szCs w:val="20"/>
          <w:lang w:val="lt-LT"/>
        </w:rPr>
      </w:r>
      <w:r w:rsidRPr="00B43E74">
        <w:rPr>
          <w:rFonts w:ascii="Verdana" w:eastAsia="Times New Roman" w:hAnsi="Verdana"/>
          <w:sz w:val="20"/>
          <w:szCs w:val="20"/>
          <w:lang w:val="lt-LT"/>
        </w:rPr>
        <w:fldChar w:fldCharType="separate"/>
      </w:r>
      <w:r w:rsidRPr="00B43E74">
        <w:rPr>
          <w:rFonts w:ascii="Verdana" w:eastAsia="Times New Roman" w:hAnsi="Verdana"/>
          <w:sz w:val="20"/>
          <w:szCs w:val="20"/>
          <w:cs/>
          <w:lang w:val="lt-LT"/>
        </w:rPr>
        <w:t>‎</w:t>
      </w:r>
      <w:r w:rsidRPr="00B43E74">
        <w:rPr>
          <w:rFonts w:ascii="Verdana" w:eastAsia="Times New Roman" w:hAnsi="Verdana"/>
          <w:sz w:val="20"/>
          <w:szCs w:val="20"/>
          <w:lang w:val="lt-LT"/>
        </w:rPr>
        <w:t>7.2</w:t>
      </w:r>
      <w:r w:rsidRPr="00B43E74">
        <w:rPr>
          <w:rFonts w:ascii="Verdana" w:eastAsia="Times New Roman" w:hAnsi="Verdana"/>
          <w:sz w:val="20"/>
          <w:szCs w:val="20"/>
          <w:lang w:val="lt-LT"/>
        </w:rPr>
        <w:fldChar w:fldCharType="end"/>
      </w:r>
      <w:r w:rsidRPr="00B43E74">
        <w:rPr>
          <w:rFonts w:ascii="Verdana" w:eastAsia="Times New Roman" w:hAnsi="Verdana"/>
          <w:sz w:val="20"/>
          <w:szCs w:val="20"/>
          <w:lang w:val="lt-LT"/>
        </w:rPr>
        <w:t xml:space="preserve"> punkte.</w:t>
      </w:r>
    </w:p>
    <w:p w14:paraId="0A2BA015"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bookmarkStart w:id="6" w:name="_Ref146809914"/>
      <w:r w:rsidRPr="00B43E74">
        <w:rPr>
          <w:rFonts w:ascii="Verdana" w:eastAsia="Times New Roman" w:hAnsi="Verdana"/>
          <w:sz w:val="20"/>
          <w:szCs w:val="20"/>
          <w:lang w:val="lt-LT"/>
        </w:rPr>
        <w:t xml:space="preserve">Tiekėjas, vadovaujantis </w:t>
      </w:r>
      <w:r w:rsidRPr="00B43E74">
        <w:rPr>
          <w:rFonts w:ascii="Verdana" w:hAnsi="Verdana"/>
          <w:sz w:val="20"/>
          <w:szCs w:val="20"/>
          <w:lang w:val="lt-LT"/>
        </w:rPr>
        <w:t>Bendrųjų pirkimo sąlygų 17.4 punktu</w:t>
      </w:r>
      <w:r w:rsidRPr="00B43E74">
        <w:rPr>
          <w:rFonts w:ascii="Verdana" w:eastAsia="Times New Roman" w:hAnsi="Verdana"/>
          <w:sz w:val="20"/>
          <w:szCs w:val="20"/>
          <w:lang w:val="lt-LT"/>
        </w:rPr>
        <w:t>, Techninėje specifikacijoje stulpelyje „Siūlomi parametrai“ nurodytą informaciją galės paaiškinti tik tuo atveju, jeigu:</w:t>
      </w:r>
      <w:bookmarkEnd w:id="6"/>
    </w:p>
    <w:p w14:paraId="46A90B16" w14:textId="77777777" w:rsidR="00EC59A8" w:rsidRPr="00B43E74" w:rsidRDefault="00EC59A8" w:rsidP="00EC59A8">
      <w:pPr>
        <w:pStyle w:val="ListParagraph"/>
        <w:numPr>
          <w:ilvl w:val="3"/>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5E1B3371" w14:textId="77777777" w:rsidR="00EC59A8" w:rsidRPr="00B43E74" w:rsidRDefault="00EC59A8" w:rsidP="00EC59A8">
      <w:pPr>
        <w:pStyle w:val="ListParagraph"/>
        <w:numPr>
          <w:ilvl w:val="3"/>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 pateiks paaiškinimą iš viešai prieinamos siūlomos prekės gamintojo informacijos arba gamintojo patvirtinimą, kad tiekėjo siūloma prekė atitinka Techninėje specifikacijoje nurodytus reikalavimus.</w:t>
      </w:r>
    </w:p>
    <w:p w14:paraId="549157D5" w14:textId="77777777" w:rsidR="00EC59A8" w:rsidRPr="00B43E74" w:rsidRDefault="00EC59A8" w:rsidP="00EC59A8">
      <w:pPr>
        <w:pStyle w:val="ListParagraph"/>
        <w:numPr>
          <w:ilvl w:val="1"/>
          <w:numId w:val="1"/>
        </w:numPr>
        <w:jc w:val="both"/>
        <w:rPr>
          <w:rFonts w:ascii="Verdana" w:eastAsia="Times New Roman" w:hAnsi="Verdana"/>
          <w:b/>
          <w:bCs/>
          <w:sz w:val="20"/>
          <w:szCs w:val="20"/>
          <w:lang w:val="lt-LT"/>
        </w:rPr>
      </w:pPr>
      <w:r w:rsidRPr="00B43E74">
        <w:rPr>
          <w:rFonts w:ascii="Verdana" w:eastAsia="Times New Roman" w:hAnsi="Verdana"/>
          <w:b/>
          <w:bCs/>
          <w:sz w:val="20"/>
          <w:szCs w:val="20"/>
          <w:lang w:val="lt-LT"/>
        </w:rPr>
        <w:t>Reikalavimai tiekėjui dėl lentelių stulpelių „Siūlomus parametrus patvirtinantys dokumentai“ pildymo:</w:t>
      </w:r>
    </w:p>
    <w:p w14:paraId="66E361CA"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w:t>
      </w:r>
    </w:p>
    <w:p w14:paraId="3C2B734D" w14:textId="082DF76B" w:rsidR="00EC59A8" w:rsidRPr="00B43E74" w:rsidRDefault="00EC59A8" w:rsidP="00EC59A8">
      <w:pPr>
        <w:numPr>
          <w:ilvl w:val="3"/>
          <w:numId w:val="3"/>
        </w:numPr>
        <w:contextualSpacing/>
        <w:jc w:val="both"/>
        <w:rPr>
          <w:rFonts w:ascii="Verdana" w:hAnsi="Verdana"/>
          <w:sz w:val="20"/>
          <w:szCs w:val="20"/>
          <w:lang w:val="lt-LT"/>
        </w:rPr>
      </w:pPr>
      <w:r w:rsidRPr="00B43E74">
        <w:rPr>
          <w:rFonts w:ascii="Verdana" w:hAnsi="Verdana"/>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B43E74">
        <w:rPr>
          <w:rFonts w:ascii="Verdana" w:hAnsi="Verdana"/>
          <w:sz w:val="20"/>
          <w:szCs w:val="20"/>
          <w:lang w:val="lt-LT"/>
        </w:rPr>
        <w:fldChar w:fldCharType="begin"/>
      </w:r>
      <w:r w:rsidRPr="00B43E74">
        <w:rPr>
          <w:rFonts w:ascii="Verdana" w:hAnsi="Verdana"/>
          <w:sz w:val="20"/>
          <w:szCs w:val="20"/>
          <w:lang w:val="lt-LT"/>
        </w:rPr>
        <w:instrText xml:space="preserve"> REF _Ref146809914 \r \h  \* MERGEFORMAT </w:instrText>
      </w:r>
      <w:r w:rsidRPr="00B43E74">
        <w:rPr>
          <w:rFonts w:ascii="Verdana" w:hAnsi="Verdana"/>
          <w:sz w:val="20"/>
          <w:szCs w:val="20"/>
          <w:lang w:val="lt-LT"/>
        </w:rPr>
      </w:r>
      <w:r w:rsidRPr="00B43E74">
        <w:rPr>
          <w:rFonts w:ascii="Verdana" w:hAnsi="Verdana"/>
          <w:sz w:val="20"/>
          <w:szCs w:val="20"/>
          <w:lang w:val="lt-LT"/>
        </w:rPr>
        <w:fldChar w:fldCharType="separate"/>
      </w:r>
      <w:r w:rsidRPr="00B43E74">
        <w:rPr>
          <w:rFonts w:ascii="Verdana" w:hAnsi="Verdana"/>
          <w:sz w:val="20"/>
          <w:szCs w:val="20"/>
          <w:cs/>
          <w:lang w:val="lt-LT"/>
        </w:rPr>
        <w:t>‎</w:t>
      </w:r>
      <w:r w:rsidRPr="00B43E74">
        <w:rPr>
          <w:rFonts w:ascii="Verdana" w:hAnsi="Verdana"/>
          <w:sz w:val="20"/>
          <w:szCs w:val="20"/>
          <w:lang w:val="lt-LT"/>
        </w:rPr>
        <w:t>7.4</w:t>
      </w:r>
      <w:r w:rsidRPr="00B43E74">
        <w:rPr>
          <w:rFonts w:ascii="Verdana" w:hAnsi="Verdana"/>
          <w:sz w:val="20"/>
          <w:szCs w:val="20"/>
          <w:lang w:val="lt-LT"/>
        </w:rPr>
        <w:fldChar w:fldCharType="end"/>
      </w:r>
      <w:r w:rsidRPr="00B43E74">
        <w:rPr>
          <w:rFonts w:ascii="Verdana" w:hAnsi="Verdana"/>
          <w:sz w:val="20"/>
          <w:szCs w:val="20"/>
          <w:lang w:val="lt-LT"/>
        </w:rPr>
        <w:t xml:space="preserve"> punkte nustatyta tvarka, kaip tiekėjo siūloma prekė atitinka keliamą reikalavimą arba Tiekėjas su pasiūlymu iš viso nepateiks Dokumentacijos – Tiekėjo pasiūlymas bus atmestas;</w:t>
      </w:r>
    </w:p>
    <w:p w14:paraId="69F3208B" w14:textId="66796F2D" w:rsidR="00EC59A8" w:rsidRPr="00B43E74" w:rsidRDefault="00EC59A8" w:rsidP="00EC59A8">
      <w:pPr>
        <w:numPr>
          <w:ilvl w:val="3"/>
          <w:numId w:val="3"/>
        </w:numPr>
        <w:contextualSpacing/>
        <w:jc w:val="both"/>
        <w:rPr>
          <w:rFonts w:ascii="Verdana" w:hAnsi="Verdana"/>
          <w:sz w:val="20"/>
          <w:szCs w:val="20"/>
          <w:lang w:val="lt-LT"/>
        </w:rPr>
      </w:pPr>
      <w:r w:rsidRPr="00B43E74">
        <w:rPr>
          <w:rFonts w:ascii="Verdana" w:hAnsi="Verdana"/>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B43E74">
        <w:rPr>
          <w:rFonts w:ascii="Verdana" w:hAnsi="Verdana"/>
          <w:color w:val="FF0000"/>
          <w:sz w:val="20"/>
          <w:szCs w:val="20"/>
          <w:lang w:val="lt-LT"/>
        </w:rPr>
        <w:t xml:space="preserve"> </w:t>
      </w:r>
      <w:r w:rsidRPr="00B43E74">
        <w:rPr>
          <w:rFonts w:ascii="Verdana" w:hAnsi="Verdana"/>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43E74">
        <w:rPr>
          <w:rFonts w:ascii="Verdana" w:hAnsi="Verdana"/>
          <w:sz w:val="20"/>
          <w:szCs w:val="20"/>
          <w:lang w:val="lt-LT"/>
        </w:rPr>
        <w:fldChar w:fldCharType="begin"/>
      </w:r>
      <w:r w:rsidRPr="00B43E74">
        <w:rPr>
          <w:rFonts w:ascii="Verdana" w:hAnsi="Verdana"/>
          <w:sz w:val="20"/>
          <w:szCs w:val="20"/>
          <w:lang w:val="lt-LT"/>
        </w:rPr>
        <w:instrText xml:space="preserve"> REF _Ref146809914 \r \h  \* MERGEFORMAT </w:instrText>
      </w:r>
      <w:r w:rsidRPr="00B43E74">
        <w:rPr>
          <w:rFonts w:ascii="Verdana" w:hAnsi="Verdana"/>
          <w:sz w:val="20"/>
          <w:szCs w:val="20"/>
          <w:lang w:val="lt-LT"/>
        </w:rPr>
      </w:r>
      <w:r w:rsidRPr="00B43E74">
        <w:rPr>
          <w:rFonts w:ascii="Verdana" w:hAnsi="Verdana"/>
          <w:sz w:val="20"/>
          <w:szCs w:val="20"/>
          <w:lang w:val="lt-LT"/>
        </w:rPr>
        <w:fldChar w:fldCharType="separate"/>
      </w:r>
      <w:r w:rsidRPr="00B43E74">
        <w:rPr>
          <w:rFonts w:ascii="Verdana" w:hAnsi="Verdana"/>
          <w:sz w:val="20"/>
          <w:szCs w:val="20"/>
          <w:cs/>
          <w:lang w:val="lt-LT"/>
        </w:rPr>
        <w:t>‎</w:t>
      </w:r>
      <w:r w:rsidRPr="00B43E74">
        <w:rPr>
          <w:rFonts w:ascii="Verdana" w:hAnsi="Verdana"/>
          <w:sz w:val="20"/>
          <w:szCs w:val="20"/>
          <w:lang w:val="lt-LT"/>
        </w:rPr>
        <w:t>7.4</w:t>
      </w:r>
      <w:r w:rsidRPr="00B43E74">
        <w:rPr>
          <w:rFonts w:ascii="Verdana" w:hAnsi="Verdana"/>
          <w:sz w:val="20"/>
          <w:szCs w:val="20"/>
          <w:lang w:val="lt-LT"/>
        </w:rPr>
        <w:fldChar w:fldCharType="end"/>
      </w:r>
      <w:r w:rsidRPr="00B43E74">
        <w:rPr>
          <w:rFonts w:ascii="Verdana" w:hAnsi="Verdana"/>
          <w:sz w:val="20"/>
          <w:szCs w:val="20"/>
          <w:lang w:val="lt-LT"/>
        </w:rPr>
        <w:t> punkte nustatyta tvarka, kaip tiekėjo siūloma prekė atitinka keliamam reikalavimui – Tiekėjo pasiūlymas bus atmestas;</w:t>
      </w:r>
    </w:p>
    <w:p w14:paraId="2F3470F4" w14:textId="5BAB1119" w:rsidR="00EC59A8" w:rsidRPr="00B43E74" w:rsidRDefault="00EC59A8" w:rsidP="00EC59A8">
      <w:pPr>
        <w:pStyle w:val="ListParagraph"/>
        <w:numPr>
          <w:ilvl w:val="3"/>
          <w:numId w:val="1"/>
        </w:numPr>
        <w:jc w:val="both"/>
        <w:rPr>
          <w:rFonts w:ascii="Verdana" w:eastAsia="Times New Roman" w:hAnsi="Verdana"/>
          <w:sz w:val="20"/>
          <w:szCs w:val="20"/>
          <w:lang w:val="lt-LT"/>
        </w:rPr>
      </w:pPr>
      <w:r w:rsidRPr="00B43E74">
        <w:rPr>
          <w:rFonts w:ascii="Verdana" w:hAnsi="Verdana"/>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Pr="00B43E74">
        <w:rPr>
          <w:rFonts w:ascii="Verdana" w:hAnsi="Verdana"/>
          <w:noProof/>
          <w:sz w:val="20"/>
          <w:szCs w:val="20"/>
          <w:lang w:val="lt-LT"/>
        </w:rPr>
        <w:drawing>
          <wp:inline distT="0" distB="0" distL="0" distR="0" wp14:anchorId="2BB96139" wp14:editId="01D38C58">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43E74">
        <w:rPr>
          <w:rFonts w:ascii="Verdana" w:hAnsi="Verdana"/>
          <w:sz w:val="20"/>
          <w:szCs w:val="20"/>
          <w:lang w:val="lt-LT"/>
        </w:rPr>
        <w:t xml:space="preserve">“, tačiau Perkančioji organizacija turi teisę paprašyti paaiškinti atitikimą Techninės specifikacijos reikalavimui pasiūlymų vertinimo metu ir paaiškinti atitikimą Techninės specifikacijos </w:t>
      </w:r>
      <w:r w:rsidRPr="00B43E74">
        <w:rPr>
          <w:rFonts w:ascii="Verdana" w:hAnsi="Verdana"/>
          <w:sz w:val="20"/>
          <w:szCs w:val="20"/>
          <w:lang w:val="lt-LT"/>
        </w:rPr>
        <w:fldChar w:fldCharType="begin"/>
      </w:r>
      <w:r w:rsidRPr="00B43E74">
        <w:rPr>
          <w:rFonts w:ascii="Verdana" w:hAnsi="Verdana"/>
          <w:sz w:val="20"/>
          <w:szCs w:val="20"/>
          <w:lang w:val="lt-LT"/>
        </w:rPr>
        <w:instrText xml:space="preserve"> REF _Ref146809914 \r \h  \* MERGEFORMAT </w:instrText>
      </w:r>
      <w:r w:rsidRPr="00B43E74">
        <w:rPr>
          <w:rFonts w:ascii="Verdana" w:hAnsi="Verdana"/>
          <w:sz w:val="20"/>
          <w:szCs w:val="20"/>
          <w:lang w:val="lt-LT"/>
        </w:rPr>
      </w:r>
      <w:r w:rsidRPr="00B43E74">
        <w:rPr>
          <w:rFonts w:ascii="Verdana" w:hAnsi="Verdana"/>
          <w:sz w:val="20"/>
          <w:szCs w:val="20"/>
          <w:lang w:val="lt-LT"/>
        </w:rPr>
        <w:fldChar w:fldCharType="separate"/>
      </w:r>
      <w:r w:rsidRPr="00B43E74">
        <w:rPr>
          <w:rFonts w:ascii="Verdana" w:hAnsi="Verdana"/>
          <w:sz w:val="20"/>
          <w:szCs w:val="20"/>
          <w:cs/>
          <w:lang w:val="lt-LT"/>
        </w:rPr>
        <w:t>‎</w:t>
      </w:r>
      <w:r w:rsidRPr="00B43E74">
        <w:rPr>
          <w:rFonts w:ascii="Verdana" w:hAnsi="Verdana"/>
          <w:sz w:val="20"/>
          <w:szCs w:val="20"/>
          <w:lang w:val="lt-LT"/>
        </w:rPr>
        <w:t>7.4</w:t>
      </w:r>
      <w:r w:rsidRPr="00B43E74">
        <w:rPr>
          <w:rFonts w:ascii="Verdana" w:hAnsi="Verdana"/>
          <w:sz w:val="20"/>
          <w:szCs w:val="20"/>
          <w:lang w:val="lt-LT"/>
        </w:rPr>
        <w:fldChar w:fldCharType="end"/>
      </w:r>
      <w:r w:rsidRPr="00B43E74">
        <w:rPr>
          <w:rFonts w:ascii="Verdana" w:hAnsi="Verdana"/>
          <w:sz w:val="20"/>
          <w:szCs w:val="20"/>
          <w:lang w:val="lt-LT"/>
        </w:rPr>
        <w:t> punkte nustatyta tvarka, jeigu kils abejonių dėl Tiekėjo galimybių įgyvendinti reikalavimą sutarties vykdymo metu.</w:t>
      </w:r>
    </w:p>
    <w:p w14:paraId="09DE0F2B"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Dokumentacija turi būti parengta prekės gamintojo, o ne trečiųjų šalių. Jeigu prekė sudaryta iš kitų gamintojų įrangos ar dalių gali būti teikiama tiek galutinės prekės, tiek prekės komplektuojančios dalies gamintojo Dokumentacija.</w:t>
      </w:r>
    </w:p>
    <w:p w14:paraId="26F8A5E3" w14:textId="77777777" w:rsidR="00EC59A8" w:rsidRPr="00B43E74" w:rsidRDefault="00EC59A8" w:rsidP="00EC59A8">
      <w:pPr>
        <w:pStyle w:val="ListParagraph"/>
        <w:numPr>
          <w:ilvl w:val="2"/>
          <w:numId w:val="1"/>
        </w:numPr>
        <w:jc w:val="both"/>
        <w:rPr>
          <w:rFonts w:ascii="Verdana" w:eastAsia="Times New Roman" w:hAnsi="Verdana"/>
          <w:sz w:val="20"/>
          <w:szCs w:val="20"/>
          <w:lang w:val="lt-LT"/>
        </w:rPr>
      </w:pPr>
      <w:r w:rsidRPr="00B43E74">
        <w:rPr>
          <w:rFonts w:ascii="Verdana" w:eastAsia="Times New Roman" w:hAnsi="Verdana"/>
          <w:sz w:val="20"/>
          <w:szCs w:val="20"/>
          <w:lang w:val="lt-LT"/>
        </w:rPr>
        <w:t>Tiekėjas prie konkretaus reikalavimo nurodo, kuri tiekėjo su pasiūlymu teikiama Dokumentacija patvirtina atitikimą nurodytam konkrečiam reikalavimui.</w:t>
      </w:r>
    </w:p>
    <w:p w14:paraId="2C00B0F6" w14:textId="77777777" w:rsidR="00EC59A8" w:rsidRPr="00B43E74" w:rsidRDefault="00EC59A8" w:rsidP="00EC59A8">
      <w:pPr>
        <w:pStyle w:val="ListParagraph"/>
        <w:numPr>
          <w:ilvl w:val="2"/>
          <w:numId w:val="1"/>
        </w:numPr>
        <w:tabs>
          <w:tab w:val="left" w:pos="993"/>
        </w:tabs>
        <w:jc w:val="both"/>
        <w:rPr>
          <w:rFonts w:ascii="Verdana" w:hAnsi="Verdana"/>
          <w:sz w:val="20"/>
          <w:szCs w:val="20"/>
          <w:lang w:val="lt-LT"/>
        </w:rPr>
      </w:pPr>
      <w:r w:rsidRPr="00B43E74">
        <w:rPr>
          <w:rFonts w:ascii="Verdana" w:eastAsia="Times New Roman" w:hAnsi="Verdana"/>
          <w:sz w:val="20"/>
          <w:szCs w:val="20"/>
          <w:lang w:val="lt-LT"/>
        </w:rPr>
        <w:t>Perkančioji organizacija prašo tiekėjų, kad nurodant Dokumentacijos pavadinimą, kartu būtų pateikiama nuoroda į konkretų puslapį, paragrafą ir pan., kai tai yra įmanoma, sklandesniam tiekėjų pasiūlymų vertinimui.</w:t>
      </w:r>
    </w:p>
    <w:p w14:paraId="31918963" w14:textId="77777777" w:rsidR="00EC59A8" w:rsidRPr="00B43E74" w:rsidRDefault="00EC59A8" w:rsidP="00EC59A8">
      <w:pPr>
        <w:pStyle w:val="ListParagraph"/>
        <w:numPr>
          <w:ilvl w:val="1"/>
          <w:numId w:val="1"/>
        </w:numPr>
        <w:tabs>
          <w:tab w:val="left" w:pos="993"/>
        </w:tabs>
        <w:jc w:val="both"/>
        <w:rPr>
          <w:rFonts w:ascii="Verdana" w:hAnsi="Verdana"/>
          <w:sz w:val="20"/>
          <w:szCs w:val="20"/>
          <w:lang w:val="lt-LT"/>
        </w:rPr>
      </w:pPr>
      <w:r w:rsidRPr="00B43E74">
        <w:rPr>
          <w:rFonts w:ascii="Verdana" w:hAnsi="Verdana"/>
          <w:sz w:val="20"/>
          <w:szCs w:val="20"/>
          <w:lang w:val="lt-LT"/>
        </w:rPr>
        <w:lastRenderedPageBreak/>
        <w:t>Jei Prekių gamintojas nuo pasiūlymo pateikimo momento iki Prekių pristatymo termino nustoja gaminti siūlomą Prekę (ar Prekės sudedamąsias dalis), tiekėjas</w:t>
      </w:r>
      <w:bookmarkStart w:id="7" w:name="_Hlk42000936"/>
      <w:r w:rsidRPr="00B43E74">
        <w:rPr>
          <w:rFonts w:ascii="Verdana" w:hAnsi="Verdana"/>
          <w:sz w:val="20"/>
          <w:szCs w:val="20"/>
          <w:lang w:val="lt-LT"/>
        </w:rPr>
        <w:t>, gavęs rašytinį Perkančiosios organizacijos sutikimą,</w:t>
      </w:r>
      <w:bookmarkEnd w:id="7"/>
      <w:r w:rsidRPr="00B43E74">
        <w:rPr>
          <w:rFonts w:ascii="Verdana" w:hAnsi="Verdana"/>
          <w:sz w:val="20"/>
          <w:szCs w:val="20"/>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7506166" w14:textId="77777777" w:rsidR="00EC59A8" w:rsidRPr="00B43E74" w:rsidRDefault="00EC59A8" w:rsidP="00EC59A8">
      <w:pPr>
        <w:pStyle w:val="ListParagraph"/>
        <w:numPr>
          <w:ilvl w:val="1"/>
          <w:numId w:val="1"/>
        </w:numPr>
        <w:jc w:val="both"/>
        <w:rPr>
          <w:rFonts w:ascii="Verdana" w:hAnsi="Verdana"/>
          <w:sz w:val="20"/>
          <w:szCs w:val="20"/>
          <w:lang w:val="lt-LT"/>
        </w:rPr>
      </w:pPr>
      <w:r w:rsidRPr="00B43E74">
        <w:rPr>
          <w:rFonts w:ascii="Verdana" w:hAnsi="Verdana"/>
          <w:sz w:val="20"/>
          <w:szCs w:val="20"/>
          <w:lang w:val="lt-LT"/>
        </w:rPr>
        <w:t>Prekės turi būti komplektuojamos:</w:t>
      </w:r>
    </w:p>
    <w:p w14:paraId="21B55601" w14:textId="77777777" w:rsidR="00EC59A8" w:rsidRPr="00B43E74" w:rsidRDefault="00EC59A8" w:rsidP="00EC59A8">
      <w:pPr>
        <w:pStyle w:val="ListParagraph"/>
        <w:numPr>
          <w:ilvl w:val="2"/>
          <w:numId w:val="1"/>
        </w:numPr>
        <w:jc w:val="both"/>
        <w:rPr>
          <w:rFonts w:ascii="Verdana" w:hAnsi="Verdana"/>
          <w:sz w:val="20"/>
          <w:szCs w:val="20"/>
          <w:lang w:val="lt-LT"/>
        </w:rPr>
      </w:pPr>
      <w:r w:rsidRPr="00B43E74">
        <w:rPr>
          <w:rFonts w:ascii="Verdana" w:hAnsi="Verdana"/>
          <w:sz w:val="20"/>
          <w:szCs w:val="20"/>
          <w:lang w:val="lt-LT"/>
        </w:rPr>
        <w:t>su visais Prekės gamintojo įprastoje Prekės komplektacijoje nurodytais priedais (t.y. tais priedais, kurie nurodyti Dokumentacijoje), jeigu nėra nurodyta kitaip;</w:t>
      </w:r>
    </w:p>
    <w:p w14:paraId="44B136EF" w14:textId="77777777" w:rsidR="00EC59A8" w:rsidRPr="00B43E74" w:rsidRDefault="00EC59A8" w:rsidP="00EC59A8">
      <w:pPr>
        <w:pStyle w:val="ListParagraph"/>
        <w:numPr>
          <w:ilvl w:val="2"/>
          <w:numId w:val="1"/>
        </w:numPr>
        <w:jc w:val="both"/>
        <w:rPr>
          <w:rFonts w:ascii="Verdana" w:hAnsi="Verdana"/>
          <w:sz w:val="20"/>
          <w:szCs w:val="20"/>
          <w:lang w:val="lt-LT"/>
        </w:rPr>
      </w:pPr>
      <w:r w:rsidRPr="00B43E74">
        <w:rPr>
          <w:rFonts w:ascii="Verdana" w:hAnsi="Verdana"/>
          <w:sz w:val="20"/>
          <w:szCs w:val="20"/>
          <w:lang w:val="lt-LT"/>
        </w:rPr>
        <w:t>su visais tinkamam Prekių veikimui reikalingais priedais – montavimo medžiagomis, priedais, kabeliais ir pan., jeigu tokie priedai reikalingi tinkamam Prekės veikimui, net jeigu tai atskirai nėra nurodyta.</w:t>
      </w:r>
    </w:p>
    <w:p w14:paraId="5D954F1B" w14:textId="77777777" w:rsidR="00EC59A8" w:rsidRDefault="00EC59A8" w:rsidP="00EC59A8">
      <w:pPr>
        <w:pStyle w:val="ListParagraph"/>
        <w:numPr>
          <w:ilvl w:val="1"/>
          <w:numId w:val="4"/>
        </w:numPr>
        <w:tabs>
          <w:tab w:val="left" w:pos="993"/>
        </w:tabs>
        <w:jc w:val="both"/>
        <w:rPr>
          <w:rFonts w:ascii="Verdana" w:hAnsi="Verdana"/>
          <w:sz w:val="20"/>
          <w:szCs w:val="20"/>
          <w:lang w:val="lt-LT"/>
        </w:rPr>
      </w:pPr>
      <w:r w:rsidRPr="00B43E74">
        <w:rPr>
          <w:rFonts w:ascii="Verdana" w:hAnsi="Verdana"/>
          <w:sz w:val="20"/>
          <w:szCs w:val="20"/>
          <w:lang w:val="lt-LT"/>
        </w:rPr>
        <w:t>Prekės, atitinkančios Techninės specifikacijos reikalavimus, turi būti pristatytos (įskaitant transportavimą, užnešimą ir pan. paslaugas, kurios reikalingos tinkamam Prekės pristatymui), sumontuotos ir prijungtos adresu S. Konarskio g. 49, 03123 Vilnius. Sutarties vykdymo metu pristatymo adresas gali būti patikslintas.</w:t>
      </w:r>
    </w:p>
    <w:p w14:paraId="016FBD6B" w14:textId="0D872EDE" w:rsidR="00542CB4" w:rsidRPr="00542CB4" w:rsidRDefault="00542CB4" w:rsidP="00542CB4">
      <w:pPr>
        <w:pStyle w:val="ListParagraph"/>
        <w:numPr>
          <w:ilvl w:val="1"/>
          <w:numId w:val="4"/>
        </w:numPr>
        <w:rPr>
          <w:rFonts w:ascii="Verdana" w:hAnsi="Verdana"/>
          <w:sz w:val="20"/>
          <w:szCs w:val="20"/>
          <w:lang w:val="lt-LT"/>
        </w:rPr>
      </w:pPr>
      <w:r w:rsidRPr="00542CB4">
        <w:rPr>
          <w:rFonts w:ascii="Verdana" w:hAnsi="Verdana"/>
          <w:sz w:val="20"/>
          <w:szCs w:val="20"/>
          <w:lang w:val="lt-LT"/>
        </w:rPr>
        <w:t xml:space="preserve">Prekių pristatymo, sumontavimo, įdiegimo, sukonfigūravimo ir ištestavimo terminas </w:t>
      </w:r>
      <w:r>
        <w:rPr>
          <w:rFonts w:ascii="Verdana" w:hAnsi="Verdana"/>
          <w:sz w:val="20"/>
          <w:szCs w:val="20"/>
          <w:lang w:val="lt-LT"/>
        </w:rPr>
        <w:t>- 1</w:t>
      </w:r>
      <w:r w:rsidRPr="00542CB4">
        <w:rPr>
          <w:rFonts w:ascii="Verdana" w:hAnsi="Verdana"/>
          <w:sz w:val="20"/>
          <w:szCs w:val="20"/>
          <w:lang w:val="lt-LT"/>
        </w:rPr>
        <w:t xml:space="preserve"> </w:t>
      </w:r>
      <w:r>
        <w:rPr>
          <w:rFonts w:ascii="Verdana" w:hAnsi="Verdana"/>
          <w:sz w:val="20"/>
          <w:szCs w:val="20"/>
          <w:lang w:val="lt-LT"/>
        </w:rPr>
        <w:t xml:space="preserve">(vienas) </w:t>
      </w:r>
      <w:r w:rsidRPr="00542CB4">
        <w:rPr>
          <w:rFonts w:ascii="Verdana" w:hAnsi="Verdana"/>
          <w:sz w:val="20"/>
          <w:szCs w:val="20"/>
          <w:lang w:val="lt-LT"/>
        </w:rPr>
        <w:t xml:space="preserve">mėn. nuo </w:t>
      </w:r>
      <w:r>
        <w:rPr>
          <w:rFonts w:ascii="Verdana" w:hAnsi="Verdana"/>
          <w:sz w:val="20"/>
          <w:szCs w:val="20"/>
          <w:lang w:val="lt-LT"/>
        </w:rPr>
        <w:t>sutarties sudarymo</w:t>
      </w:r>
      <w:r w:rsidRPr="00542CB4">
        <w:rPr>
          <w:rFonts w:ascii="Verdana" w:hAnsi="Verdana"/>
          <w:sz w:val="20"/>
          <w:szCs w:val="20"/>
          <w:lang w:val="lt-LT"/>
        </w:rPr>
        <w:t xml:space="preserve"> datos.</w:t>
      </w:r>
      <w:r>
        <w:rPr>
          <w:rFonts w:ascii="Verdana" w:hAnsi="Verdana"/>
          <w:sz w:val="20"/>
          <w:szCs w:val="20"/>
          <w:lang w:val="lt-LT"/>
        </w:rPr>
        <w:t xml:space="preserve"> </w:t>
      </w:r>
      <w:r w:rsidRPr="00B87D5A">
        <w:rPr>
          <w:rFonts w:ascii="Verdana" w:hAnsi="Verdana"/>
          <w:sz w:val="20"/>
          <w:szCs w:val="20"/>
          <w:lang w:val="lt-LT"/>
        </w:rPr>
        <w:t>Prekių pristatymo terminas gali būti pratęstas 1 (vieną) kartą ne daugiau kaip 1 (vieną) mėnesį</w:t>
      </w:r>
      <w:r w:rsidR="00184F69">
        <w:rPr>
          <w:rFonts w:ascii="Verdana" w:hAnsi="Verdana"/>
          <w:sz w:val="20"/>
          <w:szCs w:val="20"/>
          <w:lang w:val="lt-LT"/>
        </w:rPr>
        <w:t xml:space="preserve"> sutartyje nurodyta tvarka ir sąlygomis</w:t>
      </w:r>
      <w:r w:rsidR="00135F64">
        <w:rPr>
          <w:rFonts w:ascii="Verdana" w:hAnsi="Verdana"/>
          <w:sz w:val="20"/>
          <w:szCs w:val="20"/>
          <w:lang w:val="lt-LT"/>
        </w:rPr>
        <w:t>.</w:t>
      </w:r>
    </w:p>
    <w:p w14:paraId="5BD02721" w14:textId="77777777" w:rsidR="0026311D" w:rsidRPr="00B43E74" w:rsidRDefault="0026311D" w:rsidP="00B87D5A">
      <w:pPr>
        <w:pStyle w:val="ListParagraph"/>
        <w:tabs>
          <w:tab w:val="left" w:pos="993"/>
        </w:tabs>
        <w:jc w:val="both"/>
        <w:rPr>
          <w:rFonts w:ascii="Verdana" w:hAnsi="Verdana"/>
          <w:sz w:val="20"/>
          <w:szCs w:val="20"/>
          <w:lang w:val="lt-LT"/>
        </w:rPr>
      </w:pPr>
    </w:p>
    <w:p w14:paraId="5DDA777C" w14:textId="77777777" w:rsidR="00B31EE9" w:rsidRPr="00B43E74" w:rsidRDefault="00B31EE9" w:rsidP="00B31EE9">
      <w:pPr>
        <w:pStyle w:val="ListParagraph"/>
        <w:numPr>
          <w:ilvl w:val="0"/>
          <w:numId w:val="1"/>
        </w:numPr>
        <w:jc w:val="both"/>
        <w:rPr>
          <w:rFonts w:ascii="Verdana" w:hAnsi="Verdana"/>
          <w:b/>
          <w:bCs/>
          <w:sz w:val="20"/>
          <w:szCs w:val="20"/>
          <w:lang w:val="lt-LT"/>
        </w:rPr>
      </w:pPr>
      <w:r w:rsidRPr="00B43E74">
        <w:rPr>
          <w:rFonts w:ascii="Verdana" w:hAnsi="Verdana"/>
          <w:b/>
          <w:bCs/>
          <w:sz w:val="20"/>
          <w:szCs w:val="20"/>
          <w:lang w:val="lt-LT"/>
        </w:rPr>
        <w:t>Konkretūs reikalavimai prekėms:</w:t>
      </w:r>
    </w:p>
    <w:p w14:paraId="2126AA7D" w14:textId="239FCE4B" w:rsidR="00B31EE9" w:rsidRPr="00B43E74" w:rsidRDefault="00B31EE9" w:rsidP="00B31EE9">
      <w:pPr>
        <w:pStyle w:val="ListParagraph"/>
        <w:numPr>
          <w:ilvl w:val="1"/>
          <w:numId w:val="1"/>
        </w:numPr>
        <w:jc w:val="both"/>
        <w:rPr>
          <w:rFonts w:ascii="Verdana" w:hAnsi="Verdana"/>
          <w:sz w:val="20"/>
          <w:szCs w:val="20"/>
          <w:lang w:val="lt-LT"/>
        </w:rPr>
      </w:pPr>
      <w:r w:rsidRPr="00B43E74">
        <w:rPr>
          <w:rFonts w:ascii="Verdana" w:hAnsi="Verdana"/>
          <w:sz w:val="20"/>
          <w:szCs w:val="20"/>
          <w:lang w:val="lt-LT"/>
        </w:rPr>
        <w:t xml:space="preserve">Reikalavimai </w:t>
      </w:r>
      <w:r w:rsidR="001F4C40">
        <w:rPr>
          <w:rFonts w:ascii="Verdana" w:hAnsi="Verdana"/>
          <w:sz w:val="20"/>
          <w:szCs w:val="20"/>
          <w:lang w:val="lt-LT"/>
        </w:rPr>
        <w:t>P</w:t>
      </w:r>
      <w:r w:rsidRPr="00B43E74">
        <w:rPr>
          <w:rFonts w:ascii="Verdana" w:hAnsi="Verdana"/>
          <w:sz w:val="20"/>
          <w:szCs w:val="20"/>
          <w:lang w:val="lt-LT"/>
        </w:rPr>
        <w:t>rekėms nurodyti 1</w:t>
      </w:r>
      <w:r w:rsidR="00147CEC">
        <w:rPr>
          <w:rFonts w:ascii="Verdana" w:hAnsi="Verdana"/>
          <w:sz w:val="20"/>
          <w:szCs w:val="20"/>
          <w:lang w:val="lt-LT"/>
        </w:rPr>
        <w:t>-oje ir 2-oje</w:t>
      </w:r>
      <w:r w:rsidRPr="00B43E74">
        <w:rPr>
          <w:rFonts w:ascii="Verdana" w:hAnsi="Verdana"/>
          <w:sz w:val="20"/>
          <w:szCs w:val="20"/>
          <w:lang w:val="lt-LT"/>
        </w:rPr>
        <w:t xml:space="preserve"> lentelėje.</w:t>
      </w:r>
    </w:p>
    <w:p w14:paraId="63673A1A" w14:textId="77777777" w:rsidR="00B31EE9" w:rsidRPr="00B43E74" w:rsidRDefault="00B31EE9" w:rsidP="00B31EE9">
      <w:pPr>
        <w:pStyle w:val="ListParagraph"/>
        <w:ind w:left="0"/>
        <w:jc w:val="right"/>
        <w:rPr>
          <w:rFonts w:ascii="Verdana" w:hAnsi="Verdana"/>
          <w:sz w:val="20"/>
          <w:szCs w:val="20"/>
          <w:lang w:val="lt-LT"/>
        </w:rPr>
      </w:pPr>
    </w:p>
    <w:p w14:paraId="0A2CD63C" w14:textId="71FFA84C" w:rsidR="00B31EE9" w:rsidRPr="00B43E74" w:rsidRDefault="00B31EE9" w:rsidP="00B31EE9">
      <w:pPr>
        <w:pStyle w:val="ListParagraph"/>
        <w:ind w:left="0"/>
        <w:jc w:val="both"/>
        <w:rPr>
          <w:rFonts w:ascii="Verdana" w:hAnsi="Verdana"/>
          <w:sz w:val="20"/>
          <w:szCs w:val="20"/>
          <w:lang w:val="lt-LT"/>
        </w:rPr>
      </w:pPr>
      <w:r w:rsidRPr="00B43E74">
        <w:rPr>
          <w:rFonts w:ascii="Verdana" w:hAnsi="Verdana"/>
          <w:sz w:val="20"/>
          <w:szCs w:val="20"/>
          <w:lang w:val="lt-LT"/>
        </w:rPr>
        <w:t>1 lentelė. Reikalavimai „Quantum Xcellis Stornext“</w:t>
      </w:r>
      <w:r w:rsidR="0025770B" w:rsidRPr="00B43E74">
        <w:rPr>
          <w:rFonts w:ascii="Verdana" w:hAnsi="Verdana"/>
          <w:sz w:val="20"/>
          <w:szCs w:val="20"/>
          <w:lang w:val="lt-LT"/>
        </w:rPr>
        <w:t xml:space="preserve"> </w:t>
      </w:r>
      <w:r w:rsidRPr="00B43E74">
        <w:rPr>
          <w:rFonts w:ascii="Verdana" w:hAnsi="Verdana"/>
          <w:sz w:val="20"/>
          <w:szCs w:val="20"/>
          <w:lang w:val="lt-LT"/>
        </w:rPr>
        <w:t>duomenų apdorojimo sistemos funkcionalumo išplėtimo licencijoms ir pasiūlytos programinės įrangos palaikymui.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460"/>
        <w:gridCol w:w="2834"/>
        <w:gridCol w:w="2680"/>
      </w:tblGrid>
      <w:tr w:rsidR="00B31EE9" w:rsidRPr="006F0802" w14:paraId="6A2610F9" w14:textId="77777777" w:rsidTr="00B87D5A">
        <w:tc>
          <w:tcPr>
            <w:tcW w:w="9628" w:type="dxa"/>
            <w:gridSpan w:val="4"/>
            <w:shd w:val="clear" w:color="auto" w:fill="auto"/>
          </w:tcPr>
          <w:p w14:paraId="752366A7" w14:textId="14B82C14" w:rsidR="00B31EE9" w:rsidRPr="00B43E74" w:rsidRDefault="003E7A32" w:rsidP="001117EE">
            <w:pPr>
              <w:jc w:val="both"/>
              <w:rPr>
                <w:rFonts w:ascii="Verdana" w:hAnsi="Verdana"/>
                <w:color w:val="000000"/>
                <w:sz w:val="20"/>
                <w:szCs w:val="20"/>
                <w:lang w:val="lt-LT"/>
              </w:rPr>
            </w:pPr>
            <w:r>
              <w:rPr>
                <w:rFonts w:ascii="Verdana" w:hAnsi="Verdana"/>
                <w:color w:val="000000"/>
                <w:sz w:val="20"/>
                <w:szCs w:val="20"/>
                <w:lang w:val="lt-LT"/>
              </w:rPr>
              <w:t>D</w:t>
            </w:r>
            <w:r w:rsidRPr="003E7A32">
              <w:rPr>
                <w:rFonts w:ascii="Verdana" w:hAnsi="Verdana"/>
                <w:color w:val="000000"/>
                <w:sz w:val="20"/>
                <w:szCs w:val="20"/>
                <w:lang w:val="lt-LT"/>
              </w:rPr>
              <w:t>uomenų  apdorojimo juostinėje posistemėje licencija</w:t>
            </w:r>
            <w:r w:rsidR="00B31EE9" w:rsidRPr="00B43E74">
              <w:rPr>
                <w:rFonts w:ascii="Verdana" w:hAnsi="Verdana"/>
                <w:color w:val="000000"/>
                <w:sz w:val="20"/>
                <w:szCs w:val="20"/>
                <w:lang w:val="lt-LT"/>
              </w:rPr>
              <w:t xml:space="preserve"> – </w:t>
            </w:r>
            <w:r w:rsidR="003F7DFB">
              <w:rPr>
                <w:rFonts w:ascii="Verdana" w:hAnsi="Verdana"/>
                <w:color w:val="000000"/>
                <w:sz w:val="20"/>
                <w:szCs w:val="20"/>
                <w:lang w:val="lt-LT"/>
              </w:rPr>
              <w:t>1</w:t>
            </w:r>
            <w:r w:rsidR="00B31EE9" w:rsidRPr="00B43E74">
              <w:rPr>
                <w:rFonts w:ascii="Verdana" w:hAnsi="Verdana"/>
                <w:color w:val="000000"/>
                <w:sz w:val="20"/>
                <w:szCs w:val="20"/>
                <w:lang w:val="lt-LT"/>
              </w:rPr>
              <w:t xml:space="preserve"> </w:t>
            </w:r>
            <w:r w:rsidR="00A82070">
              <w:rPr>
                <w:rFonts w:ascii="Verdana" w:hAnsi="Verdana"/>
                <w:color w:val="000000"/>
                <w:sz w:val="20"/>
                <w:szCs w:val="20"/>
                <w:lang w:val="lt-LT"/>
              </w:rPr>
              <w:t>vnt</w:t>
            </w:r>
            <w:r w:rsidR="00B31EE9" w:rsidRPr="00B43E74">
              <w:rPr>
                <w:rFonts w:ascii="Verdana" w:hAnsi="Verdana"/>
                <w:color w:val="000000"/>
                <w:sz w:val="20"/>
                <w:szCs w:val="20"/>
                <w:lang w:val="lt-LT"/>
              </w:rPr>
              <w:t>.</w:t>
            </w:r>
          </w:p>
        </w:tc>
      </w:tr>
      <w:tr w:rsidR="00B31EE9" w:rsidRPr="00B43E74" w14:paraId="13CCFB4E" w14:textId="77777777" w:rsidTr="00B87D5A">
        <w:tc>
          <w:tcPr>
            <w:tcW w:w="4114" w:type="dxa"/>
            <w:gridSpan w:val="2"/>
            <w:shd w:val="clear" w:color="auto" w:fill="auto"/>
          </w:tcPr>
          <w:p w14:paraId="5166077C" w14:textId="77777777" w:rsidR="00B31EE9" w:rsidRPr="00B43E74" w:rsidRDefault="00B31EE9" w:rsidP="001117EE">
            <w:pPr>
              <w:pStyle w:val="BodyText"/>
              <w:spacing w:after="0" w:line="240" w:lineRule="auto"/>
              <w:rPr>
                <w:rFonts w:ascii="Verdana" w:hAnsi="Verdana" w:cs="Times New Roman"/>
                <w:color w:val="000000"/>
                <w:sz w:val="20"/>
                <w:szCs w:val="20"/>
              </w:rPr>
            </w:pPr>
            <w:r w:rsidRPr="00B43E74">
              <w:rPr>
                <w:rFonts w:ascii="Verdana" w:hAnsi="Verdana" w:cs="Times New Roman"/>
                <w:color w:val="000000"/>
                <w:sz w:val="20"/>
                <w:szCs w:val="20"/>
              </w:rPr>
              <w:t>Gamintojas</w:t>
            </w:r>
          </w:p>
        </w:tc>
        <w:tc>
          <w:tcPr>
            <w:tcW w:w="5514" w:type="dxa"/>
            <w:gridSpan w:val="2"/>
            <w:shd w:val="clear" w:color="auto" w:fill="auto"/>
          </w:tcPr>
          <w:p w14:paraId="5239F085" w14:textId="77777777" w:rsidR="00B31EE9" w:rsidRPr="00B43E74" w:rsidRDefault="00B31EE9" w:rsidP="001117EE">
            <w:pPr>
              <w:pStyle w:val="BodyText"/>
              <w:spacing w:after="0" w:line="240" w:lineRule="auto"/>
              <w:jc w:val="left"/>
              <w:rPr>
                <w:rFonts w:ascii="Verdana" w:hAnsi="Verdana" w:cs="Times New Roman"/>
                <w:i/>
                <w:color w:val="000000"/>
                <w:sz w:val="20"/>
                <w:szCs w:val="20"/>
              </w:rPr>
            </w:pPr>
            <w:r w:rsidRPr="00B43E74">
              <w:rPr>
                <w:rFonts w:ascii="Verdana" w:hAnsi="Verdana" w:cs="Times New Roman"/>
                <w:i/>
                <w:color w:val="000000"/>
                <w:sz w:val="20"/>
                <w:szCs w:val="20"/>
              </w:rPr>
              <w:t>/įrašyti/</w:t>
            </w:r>
          </w:p>
        </w:tc>
      </w:tr>
      <w:tr w:rsidR="00B31EE9" w:rsidRPr="00B43E74" w14:paraId="4E8A7CE6" w14:textId="77777777" w:rsidTr="00B87D5A">
        <w:tc>
          <w:tcPr>
            <w:tcW w:w="4114" w:type="dxa"/>
            <w:gridSpan w:val="2"/>
            <w:shd w:val="clear" w:color="auto" w:fill="auto"/>
          </w:tcPr>
          <w:p w14:paraId="39D1A2C6" w14:textId="77777777" w:rsidR="00B31EE9" w:rsidRPr="00B43E74" w:rsidRDefault="00B31EE9" w:rsidP="001117EE">
            <w:pPr>
              <w:rPr>
                <w:rFonts w:ascii="Verdana" w:hAnsi="Verdana"/>
                <w:color w:val="000000"/>
                <w:sz w:val="20"/>
                <w:szCs w:val="20"/>
                <w:lang w:val="lt-LT"/>
              </w:rPr>
            </w:pPr>
            <w:r w:rsidRPr="00B43E74">
              <w:rPr>
                <w:rFonts w:ascii="Verdana" w:hAnsi="Verdana"/>
                <w:color w:val="000000"/>
                <w:sz w:val="20"/>
                <w:szCs w:val="20"/>
                <w:lang w:val="lt-LT"/>
              </w:rPr>
              <w:t>Modelis</w:t>
            </w:r>
          </w:p>
        </w:tc>
        <w:tc>
          <w:tcPr>
            <w:tcW w:w="5514" w:type="dxa"/>
            <w:gridSpan w:val="2"/>
            <w:shd w:val="clear" w:color="auto" w:fill="auto"/>
          </w:tcPr>
          <w:p w14:paraId="3A5E4BB0" w14:textId="77777777" w:rsidR="00B31EE9" w:rsidRPr="00B43E74" w:rsidRDefault="00B31EE9" w:rsidP="001117EE">
            <w:pPr>
              <w:pStyle w:val="BodyText"/>
              <w:spacing w:after="0" w:line="240" w:lineRule="auto"/>
              <w:jc w:val="left"/>
              <w:rPr>
                <w:rFonts w:ascii="Verdana" w:hAnsi="Verdana" w:cs="Times New Roman"/>
                <w:i/>
                <w:color w:val="000000"/>
                <w:sz w:val="20"/>
                <w:szCs w:val="20"/>
              </w:rPr>
            </w:pPr>
            <w:r w:rsidRPr="00B43E74">
              <w:rPr>
                <w:rFonts w:ascii="Verdana" w:hAnsi="Verdana" w:cs="Times New Roman"/>
                <w:i/>
                <w:color w:val="000000"/>
                <w:sz w:val="20"/>
                <w:szCs w:val="20"/>
              </w:rPr>
              <w:t>/įrašyti/</w:t>
            </w:r>
          </w:p>
        </w:tc>
      </w:tr>
      <w:tr w:rsidR="00B31EE9" w:rsidRPr="00B43E74" w14:paraId="707D28F5" w14:textId="77777777" w:rsidTr="00B87D5A">
        <w:tc>
          <w:tcPr>
            <w:tcW w:w="654" w:type="dxa"/>
            <w:shd w:val="clear" w:color="auto" w:fill="auto"/>
            <w:vAlign w:val="center"/>
          </w:tcPr>
          <w:p w14:paraId="31E654DA" w14:textId="77777777" w:rsidR="00B31EE9" w:rsidRPr="00B43E74" w:rsidRDefault="00B31EE9" w:rsidP="001117EE">
            <w:pPr>
              <w:pStyle w:val="BodyText"/>
              <w:spacing w:after="0" w:line="240" w:lineRule="auto"/>
              <w:jc w:val="center"/>
              <w:rPr>
                <w:rFonts w:ascii="Verdana" w:hAnsi="Verdana" w:cs="Times New Roman"/>
                <w:snapToGrid w:val="0"/>
                <w:color w:val="000000"/>
                <w:sz w:val="20"/>
                <w:szCs w:val="20"/>
              </w:rPr>
            </w:pPr>
            <w:r w:rsidRPr="00B43E74">
              <w:rPr>
                <w:rFonts w:ascii="Verdana" w:hAnsi="Verdana" w:cs="Times New Roman"/>
                <w:snapToGrid w:val="0"/>
                <w:color w:val="000000"/>
                <w:sz w:val="20"/>
                <w:szCs w:val="20"/>
              </w:rPr>
              <w:t>Eil. Nr.</w:t>
            </w:r>
          </w:p>
        </w:tc>
        <w:tc>
          <w:tcPr>
            <w:tcW w:w="3460" w:type="dxa"/>
            <w:shd w:val="clear" w:color="auto" w:fill="auto"/>
            <w:vAlign w:val="center"/>
          </w:tcPr>
          <w:p w14:paraId="6C520C1B" w14:textId="77777777" w:rsidR="00B31EE9" w:rsidRPr="00B43E74" w:rsidRDefault="00B31EE9" w:rsidP="001117EE">
            <w:pPr>
              <w:jc w:val="center"/>
              <w:rPr>
                <w:rFonts w:ascii="Verdana" w:hAnsi="Verdana"/>
                <w:color w:val="000000"/>
                <w:sz w:val="20"/>
                <w:szCs w:val="20"/>
                <w:lang w:val="lt-LT"/>
              </w:rPr>
            </w:pPr>
            <w:r w:rsidRPr="00B43E74">
              <w:rPr>
                <w:rFonts w:ascii="Verdana" w:hAnsi="Verdana"/>
                <w:color w:val="000000"/>
                <w:sz w:val="20"/>
                <w:szCs w:val="20"/>
                <w:lang w:val="lt-LT"/>
              </w:rPr>
              <w:t>Reikalavimai</w:t>
            </w:r>
          </w:p>
        </w:tc>
        <w:tc>
          <w:tcPr>
            <w:tcW w:w="2834" w:type="dxa"/>
            <w:shd w:val="clear" w:color="auto" w:fill="auto"/>
            <w:vAlign w:val="center"/>
          </w:tcPr>
          <w:p w14:paraId="22A74AA4" w14:textId="77777777" w:rsidR="00B31EE9" w:rsidRPr="00B43E74" w:rsidRDefault="00B31EE9" w:rsidP="001117EE">
            <w:pPr>
              <w:pStyle w:val="BodyText"/>
              <w:spacing w:after="0" w:line="240" w:lineRule="auto"/>
              <w:jc w:val="center"/>
              <w:rPr>
                <w:rFonts w:ascii="Verdana" w:hAnsi="Verdana" w:cs="Times New Roman"/>
                <w:color w:val="000000"/>
                <w:sz w:val="20"/>
                <w:szCs w:val="20"/>
              </w:rPr>
            </w:pPr>
            <w:r w:rsidRPr="00B43E74">
              <w:rPr>
                <w:rFonts w:ascii="Verdana" w:hAnsi="Verdana" w:cs="Times New Roman"/>
                <w:color w:val="000000"/>
                <w:sz w:val="20"/>
                <w:szCs w:val="20"/>
              </w:rPr>
              <w:t>Siūlomi parametrai</w:t>
            </w:r>
          </w:p>
        </w:tc>
        <w:tc>
          <w:tcPr>
            <w:tcW w:w="2680" w:type="dxa"/>
          </w:tcPr>
          <w:p w14:paraId="06E73F89" w14:textId="77777777" w:rsidR="00B31EE9" w:rsidRPr="00B43E74" w:rsidRDefault="00B31EE9" w:rsidP="001117EE">
            <w:pPr>
              <w:pStyle w:val="BodyText"/>
              <w:spacing w:after="0" w:line="240" w:lineRule="auto"/>
              <w:jc w:val="center"/>
              <w:rPr>
                <w:rFonts w:ascii="Verdana" w:hAnsi="Verdana" w:cs="Times New Roman"/>
                <w:color w:val="000000"/>
                <w:sz w:val="20"/>
                <w:szCs w:val="20"/>
              </w:rPr>
            </w:pPr>
            <w:r w:rsidRPr="00B43E74">
              <w:rPr>
                <w:rFonts w:ascii="Verdana" w:eastAsia="Times New Roman" w:hAnsi="Verdana" w:cs="Times New Roman"/>
                <w:sz w:val="20"/>
                <w:szCs w:val="20"/>
              </w:rPr>
              <w:t>Siūlomus parametrus patvirtinanti Dokumentacija</w:t>
            </w:r>
          </w:p>
        </w:tc>
      </w:tr>
      <w:tr w:rsidR="00B31EE9" w:rsidRPr="006F0802" w14:paraId="029170DC" w14:textId="77777777" w:rsidTr="00B87D5A">
        <w:tc>
          <w:tcPr>
            <w:tcW w:w="654" w:type="dxa"/>
            <w:shd w:val="clear" w:color="auto" w:fill="auto"/>
          </w:tcPr>
          <w:p w14:paraId="0C993612" w14:textId="77777777" w:rsidR="00B31EE9" w:rsidRPr="00B43E74" w:rsidRDefault="00B31EE9" w:rsidP="00B31EE9">
            <w:pPr>
              <w:pStyle w:val="ListParagraph"/>
              <w:numPr>
                <w:ilvl w:val="0"/>
                <w:numId w:val="2"/>
              </w:numPr>
              <w:ind w:right="-109"/>
              <w:jc w:val="right"/>
              <w:rPr>
                <w:rFonts w:ascii="Verdana" w:hAnsi="Verdana"/>
                <w:color w:val="000000"/>
                <w:sz w:val="20"/>
                <w:szCs w:val="20"/>
                <w:lang w:val="lt-LT"/>
              </w:rPr>
            </w:pPr>
          </w:p>
        </w:tc>
        <w:tc>
          <w:tcPr>
            <w:tcW w:w="3460" w:type="dxa"/>
            <w:shd w:val="clear" w:color="auto" w:fill="auto"/>
          </w:tcPr>
          <w:p w14:paraId="6CBBF5C7" w14:textId="514646AF" w:rsidR="00B31EE9" w:rsidRPr="00B43E74" w:rsidRDefault="00B31EE9" w:rsidP="001117EE">
            <w:pPr>
              <w:autoSpaceDE w:val="0"/>
              <w:autoSpaceDN w:val="0"/>
              <w:adjustRightInd w:val="0"/>
              <w:jc w:val="both"/>
              <w:rPr>
                <w:rFonts w:ascii="Verdana" w:hAnsi="Verdana"/>
                <w:sz w:val="20"/>
                <w:szCs w:val="20"/>
                <w:lang w:val="lt-LT"/>
              </w:rPr>
            </w:pPr>
            <w:r w:rsidRPr="00B43E74">
              <w:rPr>
                <w:rFonts w:ascii="Verdana" w:hAnsi="Verdana"/>
                <w:b/>
                <w:bCs/>
                <w:color w:val="000000"/>
                <w:sz w:val="20"/>
                <w:szCs w:val="20"/>
                <w:lang w:val="lt-LT"/>
              </w:rPr>
              <w:t>Suderinamumas</w:t>
            </w:r>
            <w:r w:rsidR="0025770B" w:rsidRPr="00B43E74">
              <w:rPr>
                <w:rFonts w:ascii="Verdana" w:hAnsi="Verdana"/>
                <w:color w:val="000000"/>
                <w:sz w:val="20"/>
                <w:szCs w:val="20"/>
                <w:lang w:val="lt-LT"/>
              </w:rPr>
              <w:t>:</w:t>
            </w:r>
            <w:r w:rsidRPr="00B43E74">
              <w:rPr>
                <w:rFonts w:ascii="Verdana" w:hAnsi="Verdana"/>
                <w:color w:val="000000"/>
                <w:sz w:val="20"/>
                <w:szCs w:val="20"/>
                <w:lang w:val="lt-LT"/>
              </w:rPr>
              <w:t xml:space="preserve"> </w:t>
            </w:r>
            <w:r w:rsidRPr="00B43E74">
              <w:rPr>
                <w:rFonts w:ascii="Verdana" w:hAnsi="Verdana"/>
                <w:sz w:val="20"/>
                <w:szCs w:val="20"/>
                <w:lang w:val="lt-LT"/>
              </w:rPr>
              <w:t>Pateikiama programinė įranga turi būti suderinama prijungimui prie šiuo metu naudojamos „Quantum Xcellis Stornext“ duomenų apdorojimo sistem</w:t>
            </w:r>
            <w:r w:rsidR="0025770B" w:rsidRPr="00B43E74">
              <w:rPr>
                <w:rFonts w:ascii="Verdana" w:hAnsi="Verdana"/>
                <w:sz w:val="20"/>
                <w:szCs w:val="20"/>
                <w:lang w:val="lt-LT"/>
              </w:rPr>
              <w:t>os</w:t>
            </w:r>
            <w:r w:rsidRPr="00B43E74">
              <w:rPr>
                <w:rFonts w:ascii="Verdana" w:hAnsi="Verdana"/>
                <w:sz w:val="20"/>
                <w:szCs w:val="20"/>
                <w:lang w:val="lt-LT"/>
              </w:rPr>
              <w:t xml:space="preserve">, bei Quantum Scalar i6000 bibliotekomis (SN 273100585, 273101303). </w:t>
            </w:r>
            <w:r w:rsidR="00765180">
              <w:rPr>
                <w:rFonts w:ascii="Verdana" w:hAnsi="Verdana"/>
                <w:sz w:val="20"/>
                <w:szCs w:val="20"/>
                <w:lang w:val="lt-LT"/>
              </w:rPr>
              <w:t xml:space="preserve">Taip pat turi būti suderinama su </w:t>
            </w:r>
            <w:r w:rsidR="005575E1">
              <w:rPr>
                <w:rFonts w:ascii="Verdana" w:hAnsi="Verdana"/>
                <w:sz w:val="20"/>
                <w:szCs w:val="20"/>
                <w:lang w:val="lt-LT"/>
              </w:rPr>
              <w:t>1-oje lentelėje teikiamomis licencijomis.</w:t>
            </w:r>
          </w:p>
          <w:p w14:paraId="01D0B7B3" w14:textId="77777777" w:rsidR="00B31EE9" w:rsidRPr="00B43E74" w:rsidRDefault="00B31EE9" w:rsidP="001117EE">
            <w:pPr>
              <w:jc w:val="both"/>
              <w:rPr>
                <w:rFonts w:ascii="Verdana" w:hAnsi="Verdana"/>
                <w:color w:val="000000"/>
                <w:sz w:val="20"/>
                <w:szCs w:val="20"/>
                <w:lang w:val="lt-LT"/>
              </w:rPr>
            </w:pPr>
            <w:r w:rsidRPr="00B43E74">
              <w:rPr>
                <w:rFonts w:ascii="Verdana" w:hAnsi="Verdana"/>
                <w:sz w:val="20"/>
                <w:szCs w:val="20"/>
                <w:lang w:val="lt-LT"/>
              </w:rPr>
              <w:t>Tiekėjas su pasiūlymu turi pateikti siūlomos įrangos gamintojo raštišką patvirtinimą apie tokį suderinamumą.</w:t>
            </w:r>
          </w:p>
        </w:tc>
        <w:tc>
          <w:tcPr>
            <w:tcW w:w="2834" w:type="dxa"/>
            <w:shd w:val="clear" w:color="auto" w:fill="auto"/>
          </w:tcPr>
          <w:p w14:paraId="3F2410CA" w14:textId="77777777" w:rsidR="00B31EE9" w:rsidRPr="00B43E74" w:rsidRDefault="00B31EE9" w:rsidP="001117EE">
            <w:pPr>
              <w:jc w:val="both"/>
              <w:rPr>
                <w:rFonts w:ascii="Verdana" w:hAnsi="Verdana"/>
                <w:color w:val="000000"/>
                <w:sz w:val="20"/>
                <w:szCs w:val="20"/>
                <w:lang w:val="lt-LT"/>
              </w:rPr>
            </w:pPr>
            <w:r w:rsidRPr="00B43E74">
              <w:rPr>
                <w:rFonts w:ascii="Verdana" w:hAnsi="Verdana"/>
                <w:i/>
                <w:iCs/>
                <w:snapToGrid w:val="0"/>
                <w:sz w:val="20"/>
                <w:szCs w:val="20"/>
                <w:lang w:val="lt-LT"/>
              </w:rPr>
              <w:t>/įrašyti/</w:t>
            </w:r>
          </w:p>
        </w:tc>
        <w:tc>
          <w:tcPr>
            <w:tcW w:w="2680" w:type="dxa"/>
            <w:tcBorders>
              <w:bottom w:val="single" w:sz="4" w:space="0" w:color="auto"/>
            </w:tcBorders>
          </w:tcPr>
          <w:p w14:paraId="65A4E927" w14:textId="77777777" w:rsidR="00B31EE9" w:rsidRPr="00B43E74" w:rsidRDefault="00B31EE9" w:rsidP="001117EE">
            <w:pPr>
              <w:jc w:val="both"/>
              <w:rPr>
                <w:rFonts w:ascii="Verdana" w:hAnsi="Verdana"/>
                <w:i/>
                <w:iCs/>
                <w:color w:val="000000"/>
                <w:sz w:val="20"/>
                <w:szCs w:val="20"/>
                <w:lang w:val="lt-LT"/>
              </w:rPr>
            </w:pPr>
            <w:r w:rsidRPr="00B43E74">
              <w:rPr>
                <w:rFonts w:ascii="Verdana" w:eastAsia="Times New Roman" w:hAnsi="Verdana"/>
                <w:i/>
                <w:iCs/>
                <w:sz w:val="20"/>
                <w:szCs w:val="20"/>
                <w:lang w:val="lt-LT"/>
              </w:rPr>
              <w:t>/</w:t>
            </w:r>
            <w:r w:rsidRPr="00B43E74">
              <w:rPr>
                <w:rFonts w:ascii="Verdana" w:hAnsi="Verdana"/>
                <w:i/>
                <w:iCs/>
                <w:sz w:val="20"/>
                <w:szCs w:val="20"/>
                <w:lang w:val="lt-LT"/>
              </w:rPr>
              <w:t>privaloma pateikti reikalavime nurodytą dokumentą</w:t>
            </w:r>
            <w:r w:rsidRPr="00B43E74">
              <w:rPr>
                <w:rFonts w:ascii="Verdana" w:eastAsia="Times New Roman" w:hAnsi="Verdana"/>
                <w:i/>
                <w:iCs/>
                <w:sz w:val="20"/>
                <w:szCs w:val="20"/>
                <w:lang w:val="lt-LT"/>
              </w:rPr>
              <w:t>/</w:t>
            </w:r>
          </w:p>
        </w:tc>
      </w:tr>
      <w:tr w:rsidR="003933A8" w:rsidRPr="00B43E74" w14:paraId="223B4AFB" w14:textId="77777777" w:rsidTr="00473B8A">
        <w:tc>
          <w:tcPr>
            <w:tcW w:w="654" w:type="dxa"/>
            <w:shd w:val="clear" w:color="auto" w:fill="auto"/>
          </w:tcPr>
          <w:p w14:paraId="20A36CC9" w14:textId="3B6F2DDA" w:rsidR="00B31EE9" w:rsidRPr="00B43E74" w:rsidRDefault="004B1E57" w:rsidP="00B31EE9">
            <w:pPr>
              <w:pStyle w:val="ListParagraph"/>
              <w:numPr>
                <w:ilvl w:val="0"/>
                <w:numId w:val="2"/>
              </w:numPr>
              <w:ind w:right="-109"/>
              <w:jc w:val="right"/>
              <w:rPr>
                <w:rFonts w:ascii="Verdana" w:hAnsi="Verdana"/>
                <w:color w:val="000000"/>
                <w:sz w:val="20"/>
                <w:szCs w:val="20"/>
                <w:lang w:val="lt-LT"/>
              </w:rPr>
            </w:pPr>
            <w:r>
              <w:rPr>
                <w:rFonts w:ascii="Verdana" w:hAnsi="Verdana"/>
                <w:color w:val="000000"/>
                <w:sz w:val="20"/>
                <w:szCs w:val="20"/>
                <w:lang w:val="lt-LT"/>
              </w:rPr>
              <w:t>Í</w:t>
            </w:r>
          </w:p>
        </w:tc>
        <w:tc>
          <w:tcPr>
            <w:tcW w:w="3460" w:type="dxa"/>
            <w:shd w:val="clear" w:color="auto" w:fill="auto"/>
          </w:tcPr>
          <w:p w14:paraId="38910BBA" w14:textId="033B6734" w:rsidR="00B31EE9" w:rsidRPr="00B43E74" w:rsidRDefault="00B31EE9" w:rsidP="001117EE">
            <w:pPr>
              <w:autoSpaceDE w:val="0"/>
              <w:autoSpaceDN w:val="0"/>
              <w:adjustRightInd w:val="0"/>
              <w:jc w:val="both"/>
              <w:rPr>
                <w:rFonts w:ascii="Verdana" w:hAnsi="Verdana"/>
                <w:sz w:val="20"/>
                <w:szCs w:val="20"/>
                <w:lang w:val="lt-LT"/>
              </w:rPr>
            </w:pPr>
            <w:r w:rsidRPr="00B43E74">
              <w:rPr>
                <w:rFonts w:ascii="Verdana" w:hAnsi="Verdana"/>
                <w:b/>
                <w:bCs/>
                <w:sz w:val="20"/>
                <w:szCs w:val="20"/>
                <w:lang w:val="lt-LT"/>
              </w:rPr>
              <w:t>Duomenų valdymo papildomo funkcionalumo aktyvavimas</w:t>
            </w:r>
            <w:r w:rsidR="0025770B" w:rsidRPr="00B43E74">
              <w:rPr>
                <w:rFonts w:ascii="Verdana" w:hAnsi="Verdana"/>
                <w:sz w:val="20"/>
                <w:szCs w:val="20"/>
                <w:lang w:val="lt-LT"/>
              </w:rPr>
              <w:t>:</w:t>
            </w:r>
            <w:r w:rsidRPr="00B43E74">
              <w:rPr>
                <w:rFonts w:ascii="Verdana" w:hAnsi="Verdana"/>
                <w:sz w:val="20"/>
                <w:szCs w:val="20"/>
                <w:lang w:val="lt-LT"/>
              </w:rPr>
              <w:t xml:space="preserve"> Turi būti pateikta licencij</w:t>
            </w:r>
            <w:r w:rsidR="0025770B" w:rsidRPr="00B43E74">
              <w:rPr>
                <w:rFonts w:ascii="Verdana" w:hAnsi="Verdana"/>
                <w:sz w:val="20"/>
                <w:szCs w:val="20"/>
                <w:lang w:val="lt-LT"/>
              </w:rPr>
              <w:t>a</w:t>
            </w:r>
            <w:r w:rsidRPr="00B43E74">
              <w:rPr>
                <w:rFonts w:ascii="Verdana" w:hAnsi="Verdana"/>
                <w:sz w:val="20"/>
                <w:szCs w:val="20"/>
                <w:lang w:val="lt-LT"/>
              </w:rPr>
              <w:t xml:space="preserve"> leidžianti perkelti retai naudojamas laikmenas iš Quantum juostinės posistemės bibliotekos į archyvo </w:t>
            </w:r>
            <w:r w:rsidRPr="00B43E74">
              <w:rPr>
                <w:rFonts w:ascii="Verdana" w:hAnsi="Verdana"/>
                <w:sz w:val="20"/>
                <w:szCs w:val="20"/>
                <w:lang w:val="lt-LT"/>
              </w:rPr>
              <w:lastRenderedPageBreak/>
              <w:t>saugyklą, atlaisvinant vietą laikmenoms valdomuose archyvuose. Licencija turi veikti Quantum StorNext Storage manager aplinkoje.</w:t>
            </w:r>
          </w:p>
          <w:p w14:paraId="2F7BAB99" w14:textId="30008D11" w:rsidR="00B31EE9" w:rsidRPr="00B43E74" w:rsidRDefault="00B31EE9" w:rsidP="001117EE">
            <w:pPr>
              <w:autoSpaceDE w:val="0"/>
              <w:autoSpaceDN w:val="0"/>
              <w:adjustRightInd w:val="0"/>
              <w:jc w:val="both"/>
              <w:rPr>
                <w:rFonts w:ascii="Verdana" w:hAnsi="Verdana"/>
                <w:sz w:val="20"/>
                <w:szCs w:val="20"/>
                <w:lang w:val="lt-LT"/>
              </w:rPr>
            </w:pPr>
          </w:p>
        </w:tc>
        <w:tc>
          <w:tcPr>
            <w:tcW w:w="2834" w:type="dxa"/>
            <w:tcBorders>
              <w:bottom w:val="single" w:sz="4" w:space="0" w:color="auto"/>
            </w:tcBorders>
            <w:shd w:val="clear" w:color="auto" w:fill="auto"/>
          </w:tcPr>
          <w:p w14:paraId="3672DBEF" w14:textId="77777777" w:rsidR="00B31EE9" w:rsidRPr="00B43E74" w:rsidRDefault="00B31EE9" w:rsidP="001117EE">
            <w:pPr>
              <w:jc w:val="both"/>
              <w:rPr>
                <w:rFonts w:ascii="Verdana" w:hAnsi="Verdana"/>
                <w:i/>
                <w:iCs/>
                <w:snapToGrid w:val="0"/>
                <w:sz w:val="20"/>
                <w:szCs w:val="20"/>
                <w:lang w:val="lt-LT"/>
              </w:rPr>
            </w:pPr>
            <w:r w:rsidRPr="00B43E74">
              <w:rPr>
                <w:rFonts w:ascii="Verdana" w:hAnsi="Verdana"/>
                <w:i/>
                <w:iCs/>
                <w:snapToGrid w:val="0"/>
                <w:sz w:val="20"/>
                <w:szCs w:val="20"/>
                <w:lang w:val="lt-LT"/>
              </w:rPr>
              <w:lastRenderedPageBreak/>
              <w:t>/įrašyti/</w:t>
            </w:r>
          </w:p>
        </w:tc>
        <w:tc>
          <w:tcPr>
            <w:tcW w:w="2680" w:type="dxa"/>
            <w:tcBorders>
              <w:bottom w:val="single" w:sz="4" w:space="0" w:color="auto"/>
              <w:tl2br w:val="single" w:sz="4" w:space="0" w:color="auto"/>
              <w:tr2bl w:val="single" w:sz="4" w:space="0" w:color="auto"/>
            </w:tcBorders>
          </w:tcPr>
          <w:p w14:paraId="6F6C2102" w14:textId="77777777" w:rsidR="00B31EE9" w:rsidRPr="00B43E74" w:rsidRDefault="00B31EE9" w:rsidP="001117EE">
            <w:pPr>
              <w:jc w:val="both"/>
              <w:rPr>
                <w:rFonts w:ascii="Verdana" w:eastAsia="Times New Roman" w:hAnsi="Verdana"/>
                <w:i/>
                <w:iCs/>
                <w:sz w:val="20"/>
                <w:szCs w:val="20"/>
                <w:lang w:val="lt-LT"/>
              </w:rPr>
            </w:pPr>
          </w:p>
        </w:tc>
      </w:tr>
      <w:tr w:rsidR="003933A8" w:rsidRPr="006F0802" w14:paraId="1AB79833" w14:textId="77777777" w:rsidTr="00473B8A">
        <w:tc>
          <w:tcPr>
            <w:tcW w:w="654" w:type="dxa"/>
            <w:shd w:val="clear" w:color="auto" w:fill="auto"/>
          </w:tcPr>
          <w:p w14:paraId="1F8DE502" w14:textId="77777777" w:rsidR="00B31EE9" w:rsidRPr="00B43E74" w:rsidRDefault="00B31EE9" w:rsidP="00B31EE9">
            <w:pPr>
              <w:pStyle w:val="ListParagraph"/>
              <w:numPr>
                <w:ilvl w:val="0"/>
                <w:numId w:val="2"/>
              </w:numPr>
              <w:ind w:right="-109"/>
              <w:jc w:val="right"/>
              <w:rPr>
                <w:rFonts w:ascii="Verdana" w:hAnsi="Verdana"/>
                <w:color w:val="000000"/>
                <w:sz w:val="20"/>
                <w:szCs w:val="20"/>
                <w:lang w:val="lt-LT"/>
              </w:rPr>
            </w:pPr>
          </w:p>
        </w:tc>
        <w:tc>
          <w:tcPr>
            <w:tcW w:w="3460" w:type="dxa"/>
            <w:shd w:val="clear" w:color="auto" w:fill="auto"/>
          </w:tcPr>
          <w:p w14:paraId="21975133" w14:textId="7AEC4459" w:rsidR="00B31EE9" w:rsidRPr="00B43E74" w:rsidRDefault="00B31EE9" w:rsidP="001117EE">
            <w:pPr>
              <w:jc w:val="both"/>
              <w:rPr>
                <w:rFonts w:ascii="Verdana" w:hAnsi="Verdana"/>
                <w:color w:val="000000"/>
                <w:sz w:val="20"/>
                <w:szCs w:val="20"/>
                <w:lang w:val="lt-LT"/>
              </w:rPr>
            </w:pPr>
            <w:r w:rsidRPr="00B43E74">
              <w:rPr>
                <w:rFonts w:ascii="Verdana" w:hAnsi="Verdana"/>
                <w:b/>
                <w:bCs/>
                <w:color w:val="000000"/>
                <w:sz w:val="20"/>
                <w:szCs w:val="20"/>
                <w:lang w:val="lt-LT"/>
              </w:rPr>
              <w:t>Diegimo paslaugos</w:t>
            </w:r>
            <w:r w:rsidR="00A6308A" w:rsidRPr="00B43E74">
              <w:rPr>
                <w:rFonts w:ascii="Verdana" w:hAnsi="Verdana"/>
                <w:b/>
                <w:bCs/>
                <w:color w:val="000000"/>
                <w:sz w:val="20"/>
                <w:szCs w:val="20"/>
                <w:lang w:val="lt-LT"/>
              </w:rPr>
              <w:t>:</w:t>
            </w:r>
            <w:r w:rsidRPr="00B43E74">
              <w:rPr>
                <w:rFonts w:ascii="Verdana" w:hAnsi="Verdana"/>
                <w:sz w:val="20"/>
                <w:szCs w:val="20"/>
                <w:lang w:val="lt-LT"/>
              </w:rPr>
              <w:t xml:space="preserve"> Siūlomos licencijo</w:t>
            </w:r>
            <w:r w:rsidR="00A6308A" w:rsidRPr="00B43E74">
              <w:rPr>
                <w:rFonts w:ascii="Verdana" w:hAnsi="Verdana"/>
                <w:sz w:val="20"/>
                <w:szCs w:val="20"/>
                <w:lang w:val="lt-LT"/>
              </w:rPr>
              <w:t>s</w:t>
            </w:r>
            <w:r w:rsidRPr="00B43E74">
              <w:rPr>
                <w:rFonts w:ascii="Verdana" w:hAnsi="Verdana"/>
                <w:sz w:val="20"/>
                <w:szCs w:val="20"/>
                <w:lang w:val="lt-LT"/>
              </w:rPr>
              <w:t xml:space="preserve"> turės būti įdiegtos į  „Quantum Xcellis Stornext“ duomenų apdorojimo sistemą ir sukonfigūruotos darbui pagal Perkančiosios organizacijos reikalavimus.</w:t>
            </w:r>
          </w:p>
        </w:tc>
        <w:tc>
          <w:tcPr>
            <w:tcW w:w="2834" w:type="dxa"/>
            <w:tcBorders>
              <w:tl2br w:val="single" w:sz="4" w:space="0" w:color="auto"/>
              <w:tr2bl w:val="single" w:sz="4" w:space="0" w:color="auto"/>
            </w:tcBorders>
            <w:shd w:val="clear" w:color="auto" w:fill="auto"/>
          </w:tcPr>
          <w:p w14:paraId="4512D257" w14:textId="77777777" w:rsidR="00B31EE9" w:rsidRPr="00B43E74" w:rsidRDefault="00B31EE9" w:rsidP="001117EE">
            <w:pPr>
              <w:jc w:val="both"/>
              <w:rPr>
                <w:rFonts w:ascii="Verdana" w:hAnsi="Verdana"/>
                <w:i/>
                <w:iCs/>
                <w:snapToGrid w:val="0"/>
                <w:sz w:val="20"/>
                <w:szCs w:val="20"/>
                <w:lang w:val="lt-LT"/>
              </w:rPr>
            </w:pPr>
          </w:p>
        </w:tc>
        <w:tc>
          <w:tcPr>
            <w:tcW w:w="2680" w:type="dxa"/>
            <w:tcBorders>
              <w:bottom w:val="single" w:sz="4" w:space="0" w:color="auto"/>
              <w:tl2br w:val="single" w:sz="4" w:space="0" w:color="auto"/>
              <w:tr2bl w:val="single" w:sz="4" w:space="0" w:color="auto"/>
            </w:tcBorders>
          </w:tcPr>
          <w:p w14:paraId="7E1C3203" w14:textId="77777777" w:rsidR="00B31EE9" w:rsidRPr="00B43E74" w:rsidRDefault="00B31EE9" w:rsidP="001117EE">
            <w:pPr>
              <w:jc w:val="both"/>
              <w:rPr>
                <w:rFonts w:ascii="Verdana" w:eastAsia="Times New Roman" w:hAnsi="Verdana"/>
                <w:i/>
                <w:iCs/>
                <w:sz w:val="20"/>
                <w:szCs w:val="20"/>
                <w:lang w:val="lt-LT"/>
              </w:rPr>
            </w:pPr>
          </w:p>
        </w:tc>
      </w:tr>
      <w:tr w:rsidR="00BB0F9F" w:rsidRPr="00B43E74" w14:paraId="304CB92C" w14:textId="77777777" w:rsidTr="00473B8A">
        <w:tc>
          <w:tcPr>
            <w:tcW w:w="654" w:type="dxa"/>
            <w:shd w:val="clear" w:color="auto" w:fill="auto"/>
          </w:tcPr>
          <w:p w14:paraId="1056A0CA" w14:textId="77777777" w:rsidR="00B31EE9" w:rsidRPr="00B43E74" w:rsidRDefault="00B31EE9" w:rsidP="00B31EE9">
            <w:pPr>
              <w:pStyle w:val="ListParagraph"/>
              <w:numPr>
                <w:ilvl w:val="0"/>
                <w:numId w:val="2"/>
              </w:numPr>
              <w:ind w:right="-109"/>
              <w:jc w:val="right"/>
              <w:rPr>
                <w:rFonts w:ascii="Verdana" w:hAnsi="Verdana"/>
                <w:sz w:val="20"/>
                <w:szCs w:val="20"/>
                <w:lang w:val="lt-LT"/>
              </w:rPr>
            </w:pPr>
          </w:p>
        </w:tc>
        <w:tc>
          <w:tcPr>
            <w:tcW w:w="3460" w:type="dxa"/>
            <w:shd w:val="clear" w:color="auto" w:fill="auto"/>
          </w:tcPr>
          <w:p w14:paraId="66632B10" w14:textId="3D0D03A6" w:rsidR="00B31EE9" w:rsidRPr="00B43E74" w:rsidRDefault="00B31EE9" w:rsidP="001117EE">
            <w:pPr>
              <w:jc w:val="both"/>
              <w:rPr>
                <w:rFonts w:ascii="Verdana" w:hAnsi="Verdana"/>
                <w:sz w:val="20"/>
                <w:szCs w:val="20"/>
                <w:lang w:val="lt-LT"/>
              </w:rPr>
            </w:pPr>
            <w:r w:rsidRPr="00B43E74">
              <w:rPr>
                <w:rFonts w:ascii="Verdana" w:hAnsi="Verdana"/>
                <w:sz w:val="20"/>
                <w:szCs w:val="20"/>
                <w:lang w:val="lt-LT"/>
              </w:rPr>
              <w:t xml:space="preserve">Visos siūlomos prekės turi būti naujos, </w:t>
            </w:r>
            <w:r w:rsidR="00076091">
              <w:rPr>
                <w:rFonts w:ascii="Verdana" w:hAnsi="Verdana"/>
                <w:sz w:val="20"/>
                <w:szCs w:val="20"/>
                <w:lang w:val="lt-LT"/>
              </w:rPr>
              <w:t xml:space="preserve">dedikuotos LRT </w:t>
            </w:r>
            <w:r w:rsidRPr="00B43E74">
              <w:rPr>
                <w:rFonts w:ascii="Verdana" w:hAnsi="Verdana"/>
                <w:sz w:val="20"/>
                <w:szCs w:val="20"/>
                <w:lang w:val="lt-LT"/>
              </w:rPr>
              <w:t>nenaudotos, neatnaujintos, ne ekspozicinės.</w:t>
            </w:r>
          </w:p>
        </w:tc>
        <w:tc>
          <w:tcPr>
            <w:tcW w:w="2834" w:type="dxa"/>
            <w:shd w:val="clear" w:color="auto" w:fill="auto"/>
          </w:tcPr>
          <w:p w14:paraId="0578022C" w14:textId="77777777" w:rsidR="00B31EE9" w:rsidRPr="00B43E74" w:rsidRDefault="00B31EE9" w:rsidP="001117EE">
            <w:pPr>
              <w:jc w:val="both"/>
              <w:rPr>
                <w:rFonts w:ascii="Verdana" w:hAnsi="Verdana"/>
                <w:sz w:val="20"/>
                <w:szCs w:val="20"/>
                <w:lang w:val="lt-LT"/>
              </w:rPr>
            </w:pPr>
            <w:r w:rsidRPr="00B43E74">
              <w:rPr>
                <w:rFonts w:ascii="Verdana" w:hAnsi="Verdana"/>
                <w:i/>
                <w:iCs/>
                <w:snapToGrid w:val="0"/>
                <w:sz w:val="20"/>
                <w:szCs w:val="20"/>
                <w:lang w:val="lt-LT"/>
              </w:rPr>
              <w:t>/įrašyti/</w:t>
            </w:r>
          </w:p>
        </w:tc>
        <w:tc>
          <w:tcPr>
            <w:tcW w:w="2680" w:type="dxa"/>
            <w:tcBorders>
              <w:bottom w:val="single" w:sz="4" w:space="0" w:color="auto"/>
              <w:tl2br w:val="single" w:sz="4" w:space="0" w:color="auto"/>
              <w:tr2bl w:val="single" w:sz="4" w:space="0" w:color="auto"/>
            </w:tcBorders>
          </w:tcPr>
          <w:p w14:paraId="67F8010A" w14:textId="77777777" w:rsidR="00B31EE9" w:rsidRPr="00B43E74" w:rsidRDefault="00B31EE9" w:rsidP="001117EE">
            <w:pPr>
              <w:jc w:val="both"/>
              <w:rPr>
                <w:rFonts w:ascii="Verdana" w:hAnsi="Verdana"/>
                <w:i/>
                <w:iCs/>
                <w:sz w:val="20"/>
                <w:szCs w:val="20"/>
                <w:lang w:val="lt-LT"/>
              </w:rPr>
            </w:pPr>
          </w:p>
        </w:tc>
      </w:tr>
      <w:tr w:rsidR="00BB0F9F" w:rsidRPr="006F0802" w14:paraId="575F81AF" w14:textId="77777777" w:rsidTr="00473B8A">
        <w:tc>
          <w:tcPr>
            <w:tcW w:w="654" w:type="dxa"/>
            <w:shd w:val="clear" w:color="auto" w:fill="auto"/>
          </w:tcPr>
          <w:p w14:paraId="0A688CFA" w14:textId="77777777" w:rsidR="00B31EE9" w:rsidRPr="00B43E74" w:rsidRDefault="00B31EE9" w:rsidP="00B31EE9">
            <w:pPr>
              <w:pStyle w:val="ListParagraph"/>
              <w:numPr>
                <w:ilvl w:val="0"/>
                <w:numId w:val="2"/>
              </w:numPr>
              <w:ind w:right="-109"/>
              <w:jc w:val="right"/>
              <w:rPr>
                <w:rFonts w:ascii="Verdana" w:hAnsi="Verdana"/>
                <w:sz w:val="20"/>
                <w:szCs w:val="20"/>
                <w:lang w:val="lt-LT"/>
              </w:rPr>
            </w:pPr>
          </w:p>
        </w:tc>
        <w:tc>
          <w:tcPr>
            <w:tcW w:w="3460" w:type="dxa"/>
            <w:shd w:val="clear" w:color="auto" w:fill="auto"/>
          </w:tcPr>
          <w:p w14:paraId="67F50AF1" w14:textId="77777777" w:rsidR="00B31EE9" w:rsidRPr="00B43E74" w:rsidRDefault="00B31EE9" w:rsidP="001117EE">
            <w:pPr>
              <w:autoSpaceDE w:val="0"/>
              <w:autoSpaceDN w:val="0"/>
              <w:adjustRightInd w:val="0"/>
              <w:jc w:val="both"/>
              <w:rPr>
                <w:rFonts w:ascii="Verdana" w:hAnsi="Verdana"/>
                <w:sz w:val="20"/>
                <w:szCs w:val="20"/>
                <w:lang w:val="lt-LT"/>
              </w:rPr>
            </w:pPr>
            <w:r w:rsidRPr="00B43E74">
              <w:rPr>
                <w:rFonts w:ascii="Verdana" w:hAnsi="Verdana"/>
                <w:sz w:val="20"/>
                <w:szCs w:val="20"/>
                <w:lang w:val="lt-LT"/>
              </w:rPr>
              <w:t xml:space="preserve">Gamintojo teikiamas palaikymas. </w:t>
            </w:r>
          </w:p>
          <w:p w14:paraId="3EB19B43" w14:textId="71D7136B" w:rsidR="00B31EE9" w:rsidRPr="00B43E74" w:rsidRDefault="00B31EE9" w:rsidP="001117EE">
            <w:pPr>
              <w:autoSpaceDE w:val="0"/>
              <w:autoSpaceDN w:val="0"/>
              <w:adjustRightInd w:val="0"/>
              <w:jc w:val="both"/>
              <w:rPr>
                <w:rFonts w:ascii="Verdana" w:hAnsi="Verdana"/>
                <w:sz w:val="20"/>
                <w:szCs w:val="20"/>
                <w:lang w:val="lt-LT"/>
              </w:rPr>
            </w:pPr>
            <w:r w:rsidRPr="00B43E74">
              <w:rPr>
                <w:rFonts w:ascii="Verdana" w:hAnsi="Verdana"/>
                <w:sz w:val="20"/>
                <w:szCs w:val="20"/>
                <w:lang w:val="lt-LT"/>
              </w:rPr>
              <w:t xml:space="preserve">1) </w:t>
            </w:r>
            <w:r w:rsidR="00451B5C">
              <w:rPr>
                <w:rFonts w:ascii="Verdana" w:hAnsi="Verdana"/>
                <w:sz w:val="20"/>
                <w:szCs w:val="20"/>
                <w:lang w:val="lt-LT"/>
              </w:rPr>
              <w:t>Siūlomai</w:t>
            </w:r>
            <w:r w:rsidR="00451B5C" w:rsidRPr="00B43E74">
              <w:rPr>
                <w:rFonts w:ascii="Verdana" w:hAnsi="Verdana"/>
                <w:sz w:val="20"/>
                <w:szCs w:val="20"/>
                <w:lang w:val="lt-LT"/>
              </w:rPr>
              <w:t xml:space="preserve"> </w:t>
            </w:r>
            <w:r w:rsidRPr="00B43E74">
              <w:rPr>
                <w:rFonts w:ascii="Verdana" w:hAnsi="Verdana"/>
                <w:sz w:val="20"/>
                <w:szCs w:val="20"/>
                <w:lang w:val="lt-LT"/>
              </w:rPr>
              <w:t xml:space="preserve">programinei įrangai turi būti suteiktas gamintojo teikiamas palaikymas, kuris galiotų nuo įrangos įdiegimo dienos iki 2026-02-01, 23:59 val. </w:t>
            </w:r>
          </w:p>
          <w:p w14:paraId="3E9E3FC4" w14:textId="077807A2" w:rsidR="00B31EE9" w:rsidRPr="00B43E74" w:rsidRDefault="00B31EE9" w:rsidP="001117EE">
            <w:pPr>
              <w:autoSpaceDE w:val="0"/>
              <w:autoSpaceDN w:val="0"/>
              <w:adjustRightInd w:val="0"/>
              <w:jc w:val="both"/>
              <w:rPr>
                <w:rFonts w:ascii="Verdana" w:hAnsi="Verdana"/>
                <w:sz w:val="20"/>
                <w:szCs w:val="20"/>
                <w:lang w:val="lt-LT"/>
              </w:rPr>
            </w:pPr>
            <w:r w:rsidRPr="00B43E74">
              <w:rPr>
                <w:rFonts w:ascii="Verdana" w:hAnsi="Verdana"/>
                <w:sz w:val="20"/>
                <w:szCs w:val="20"/>
                <w:lang w:val="lt-LT"/>
              </w:rPr>
              <w:t>Palaikymas turi būti atliekamas LRT turimos „Quantum Xcellis Stornext“ duomenų apdorojimo sistemos garantijos sąlygomis</w:t>
            </w:r>
            <w:r w:rsidR="00A6308A" w:rsidRPr="00B43E74">
              <w:rPr>
                <w:rFonts w:ascii="Verdana" w:hAnsi="Verdana"/>
                <w:sz w:val="20"/>
                <w:szCs w:val="20"/>
                <w:lang w:val="lt-LT"/>
              </w:rPr>
              <w:t>.</w:t>
            </w:r>
          </w:p>
          <w:p w14:paraId="580127A8" w14:textId="77777777" w:rsidR="00B31EE9" w:rsidRPr="00B43E74" w:rsidRDefault="00B31EE9" w:rsidP="001117EE">
            <w:pPr>
              <w:autoSpaceDE w:val="0"/>
              <w:autoSpaceDN w:val="0"/>
              <w:adjustRightInd w:val="0"/>
              <w:jc w:val="both"/>
              <w:rPr>
                <w:rFonts w:ascii="Verdana" w:hAnsi="Verdana"/>
                <w:sz w:val="20"/>
                <w:szCs w:val="20"/>
                <w:lang w:val="lt-LT"/>
              </w:rPr>
            </w:pPr>
          </w:p>
          <w:p w14:paraId="3F5B2F9F" w14:textId="77777777" w:rsidR="00B31EE9" w:rsidRPr="00B43E74" w:rsidRDefault="00B31EE9" w:rsidP="001117EE">
            <w:pPr>
              <w:autoSpaceDE w:val="0"/>
              <w:autoSpaceDN w:val="0"/>
              <w:adjustRightInd w:val="0"/>
              <w:jc w:val="both"/>
              <w:rPr>
                <w:rFonts w:ascii="Verdana" w:hAnsi="Verdana"/>
                <w:sz w:val="20"/>
                <w:szCs w:val="20"/>
                <w:lang w:val="lt-LT"/>
              </w:rPr>
            </w:pPr>
            <w:r w:rsidRPr="00B43E74">
              <w:rPr>
                <w:rFonts w:ascii="Verdana" w:hAnsi="Verdana"/>
                <w:sz w:val="20"/>
                <w:szCs w:val="20"/>
                <w:lang w:val="lt-LT"/>
              </w:rPr>
              <w:t>2) Tiekėjas užtikrina, jog jam atlikus funkcionalumo išplėtimo darbus, LRT turimos įrangos garantijos (garantinio aptarnavimo) sąlygos nebus pažeistos.</w:t>
            </w:r>
          </w:p>
          <w:p w14:paraId="283ECD91" w14:textId="77777777" w:rsidR="00B31EE9" w:rsidRPr="00B43E74" w:rsidRDefault="00B31EE9" w:rsidP="001117EE">
            <w:pPr>
              <w:jc w:val="both"/>
              <w:rPr>
                <w:rFonts w:ascii="Verdana" w:hAnsi="Verdana"/>
                <w:color w:val="FF0000"/>
                <w:sz w:val="20"/>
                <w:szCs w:val="20"/>
                <w:lang w:val="lt-LT"/>
              </w:rPr>
            </w:pPr>
            <w:r w:rsidRPr="00B43E74">
              <w:rPr>
                <w:rFonts w:ascii="Verdana" w:hAnsi="Verdana"/>
                <w:sz w:val="20"/>
                <w:szCs w:val="20"/>
                <w:lang w:val="lt-LT"/>
              </w:rPr>
              <w:t>Tiekėjas su pasiūlymu turi pateikti siūlomos įrangos gamintojo raštišką patvirtinimą.</w:t>
            </w:r>
          </w:p>
        </w:tc>
        <w:tc>
          <w:tcPr>
            <w:tcW w:w="2834" w:type="dxa"/>
            <w:tcBorders>
              <w:right w:val="single" w:sz="4" w:space="0" w:color="auto"/>
            </w:tcBorders>
            <w:shd w:val="clear" w:color="auto" w:fill="auto"/>
          </w:tcPr>
          <w:p w14:paraId="0C60EF3F" w14:textId="77777777" w:rsidR="00B31EE9" w:rsidRPr="00B43E74" w:rsidRDefault="00B31EE9" w:rsidP="001117EE">
            <w:pPr>
              <w:jc w:val="both"/>
              <w:rPr>
                <w:rFonts w:ascii="Verdana" w:hAnsi="Verdana"/>
                <w:sz w:val="20"/>
                <w:szCs w:val="20"/>
                <w:lang w:val="lt-LT"/>
              </w:rPr>
            </w:pPr>
            <w:r w:rsidRPr="00B43E74">
              <w:rPr>
                <w:rFonts w:ascii="Verdana" w:hAnsi="Verdana"/>
                <w:i/>
                <w:iCs/>
                <w:snapToGrid w:val="0"/>
                <w:sz w:val="20"/>
                <w:szCs w:val="20"/>
                <w:lang w:val="lt-LT"/>
              </w:rPr>
              <w:t>/įrašyti/</w:t>
            </w:r>
          </w:p>
        </w:tc>
        <w:tc>
          <w:tcPr>
            <w:tcW w:w="2680" w:type="dxa"/>
            <w:tcBorders>
              <w:top w:val="single" w:sz="4" w:space="0" w:color="auto"/>
              <w:left w:val="single" w:sz="4" w:space="0" w:color="auto"/>
              <w:bottom w:val="single" w:sz="4" w:space="0" w:color="auto"/>
              <w:right w:val="single" w:sz="4" w:space="0" w:color="auto"/>
              <w:tl2br w:val="nil"/>
              <w:tr2bl w:val="nil"/>
            </w:tcBorders>
          </w:tcPr>
          <w:p w14:paraId="7DC706DF" w14:textId="77777777" w:rsidR="00B31EE9" w:rsidRPr="00B43E74" w:rsidRDefault="00B31EE9" w:rsidP="001117EE">
            <w:pPr>
              <w:jc w:val="both"/>
              <w:rPr>
                <w:rFonts w:ascii="Verdana" w:eastAsia="Times New Roman" w:hAnsi="Verdana"/>
                <w:i/>
                <w:iCs/>
                <w:sz w:val="20"/>
                <w:szCs w:val="20"/>
                <w:lang w:val="lt-LT"/>
              </w:rPr>
            </w:pPr>
            <w:r w:rsidRPr="00B43E74">
              <w:rPr>
                <w:rFonts w:ascii="Verdana" w:eastAsia="Times New Roman" w:hAnsi="Verdana"/>
                <w:i/>
                <w:iCs/>
                <w:sz w:val="20"/>
                <w:szCs w:val="20"/>
                <w:lang w:val="lt-LT"/>
              </w:rPr>
              <w:t>/privaloma pateikti šio reikalavimo 2) papunktyje nurodytą dokumentą /</w:t>
            </w:r>
          </w:p>
        </w:tc>
      </w:tr>
    </w:tbl>
    <w:p w14:paraId="05FF0D57" w14:textId="77777777" w:rsidR="00B31EE9" w:rsidRDefault="00B31EE9" w:rsidP="00B31EE9">
      <w:pPr>
        <w:jc w:val="right"/>
        <w:rPr>
          <w:rFonts w:ascii="Verdana" w:eastAsiaTheme="minorEastAsia" w:hAnsi="Verdana"/>
          <w:sz w:val="20"/>
          <w:szCs w:val="20"/>
          <w:lang w:val="lt-LT" w:eastAsia="en-US"/>
        </w:rPr>
      </w:pPr>
    </w:p>
    <w:p w14:paraId="39B919DD" w14:textId="77777777" w:rsidR="00765180" w:rsidRDefault="00765180" w:rsidP="00B31EE9">
      <w:pPr>
        <w:jc w:val="right"/>
        <w:rPr>
          <w:rFonts w:ascii="Verdana" w:eastAsiaTheme="minorEastAsia" w:hAnsi="Verdana"/>
          <w:sz w:val="20"/>
          <w:szCs w:val="20"/>
          <w:lang w:val="lt-LT" w:eastAsia="en-US"/>
        </w:rPr>
      </w:pPr>
    </w:p>
    <w:p w14:paraId="29CF0675" w14:textId="1993A487" w:rsidR="00765180" w:rsidRPr="00B43E74" w:rsidRDefault="00777ED5" w:rsidP="00765180">
      <w:pPr>
        <w:pStyle w:val="ListParagraph"/>
        <w:ind w:left="0"/>
        <w:jc w:val="both"/>
        <w:rPr>
          <w:rFonts w:ascii="Verdana" w:hAnsi="Verdana"/>
          <w:sz w:val="20"/>
          <w:szCs w:val="20"/>
          <w:lang w:val="lt-LT"/>
        </w:rPr>
      </w:pPr>
      <w:r>
        <w:rPr>
          <w:rFonts w:ascii="Verdana" w:hAnsi="Verdana"/>
          <w:sz w:val="20"/>
          <w:szCs w:val="20"/>
          <w:lang w:val="lt-LT"/>
        </w:rPr>
        <w:t>2</w:t>
      </w:r>
      <w:r w:rsidR="00765180" w:rsidRPr="00B43E74">
        <w:rPr>
          <w:rFonts w:ascii="Verdana" w:hAnsi="Verdana"/>
          <w:sz w:val="20"/>
          <w:szCs w:val="20"/>
          <w:lang w:val="lt-LT"/>
        </w:rPr>
        <w:t xml:space="preserve"> lentelė. Reikalavimai „Quantum Xcellis Stornext“ duomenų apdorojimo sistemos funkcionalumo išplėtimo licencijoms ir pasiūlytos programinės įrangos palaikymui.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460"/>
        <w:gridCol w:w="2834"/>
        <w:gridCol w:w="2680"/>
      </w:tblGrid>
      <w:tr w:rsidR="00BB0F9F" w:rsidRPr="006F0802" w14:paraId="1BEB9A2E" w14:textId="77777777" w:rsidTr="00473B8A">
        <w:tc>
          <w:tcPr>
            <w:tcW w:w="9628" w:type="dxa"/>
            <w:gridSpan w:val="4"/>
            <w:shd w:val="clear" w:color="auto" w:fill="auto"/>
          </w:tcPr>
          <w:p w14:paraId="06378B67" w14:textId="07CF32D0" w:rsidR="00765180" w:rsidRPr="00B43E74" w:rsidRDefault="003E7A32" w:rsidP="00B8711A">
            <w:pPr>
              <w:jc w:val="both"/>
              <w:rPr>
                <w:rFonts w:ascii="Verdana" w:hAnsi="Verdana"/>
                <w:color w:val="000000"/>
                <w:sz w:val="20"/>
                <w:szCs w:val="20"/>
                <w:lang w:val="lt-LT"/>
              </w:rPr>
            </w:pPr>
            <w:r>
              <w:rPr>
                <w:rFonts w:ascii="Verdana" w:hAnsi="Verdana"/>
                <w:sz w:val="20"/>
                <w:szCs w:val="20"/>
                <w:lang w:val="lt-LT"/>
              </w:rPr>
              <w:t>D</w:t>
            </w:r>
            <w:r w:rsidRPr="003E7A32">
              <w:rPr>
                <w:rFonts w:ascii="Verdana" w:hAnsi="Verdana"/>
                <w:sz w:val="20"/>
                <w:szCs w:val="20"/>
                <w:lang w:val="lt-LT"/>
              </w:rPr>
              <w:t>uomenų valdymo, papildomo funkcionalumo aktyvavimo licencija</w:t>
            </w:r>
            <w:r w:rsidR="00765180" w:rsidRPr="00B43E74">
              <w:rPr>
                <w:rFonts w:ascii="Verdana" w:hAnsi="Verdana"/>
                <w:color w:val="000000"/>
                <w:sz w:val="20"/>
                <w:szCs w:val="20"/>
                <w:lang w:val="lt-LT"/>
              </w:rPr>
              <w:t xml:space="preserve"> – </w:t>
            </w:r>
            <w:r w:rsidR="003F7DFB" w:rsidRPr="00E266B0">
              <w:rPr>
                <w:rFonts w:ascii="Verdana" w:hAnsi="Verdana"/>
                <w:color w:val="000000"/>
                <w:sz w:val="20"/>
                <w:szCs w:val="20"/>
                <w:lang w:val="lt-LT"/>
              </w:rPr>
              <w:t>2</w:t>
            </w:r>
            <w:r w:rsidR="00765180" w:rsidRPr="00B43E74">
              <w:rPr>
                <w:rFonts w:ascii="Verdana" w:hAnsi="Verdana"/>
                <w:color w:val="000000"/>
                <w:sz w:val="20"/>
                <w:szCs w:val="20"/>
                <w:lang w:val="lt-LT"/>
              </w:rPr>
              <w:t xml:space="preserve"> </w:t>
            </w:r>
            <w:r w:rsidR="00777ED5">
              <w:rPr>
                <w:rFonts w:ascii="Verdana" w:hAnsi="Verdana"/>
                <w:color w:val="000000"/>
                <w:sz w:val="20"/>
                <w:szCs w:val="20"/>
                <w:lang w:val="lt-LT"/>
              </w:rPr>
              <w:t>vnt</w:t>
            </w:r>
            <w:r w:rsidR="00765180" w:rsidRPr="00B43E74">
              <w:rPr>
                <w:rFonts w:ascii="Verdana" w:hAnsi="Verdana"/>
                <w:color w:val="000000"/>
                <w:sz w:val="20"/>
                <w:szCs w:val="20"/>
                <w:lang w:val="lt-LT"/>
              </w:rPr>
              <w:t>.</w:t>
            </w:r>
          </w:p>
        </w:tc>
      </w:tr>
      <w:tr w:rsidR="00B87D5A" w:rsidRPr="00B43E74" w14:paraId="504D0830" w14:textId="77777777" w:rsidTr="00B87D5A">
        <w:tc>
          <w:tcPr>
            <w:tcW w:w="4114" w:type="dxa"/>
            <w:gridSpan w:val="2"/>
            <w:shd w:val="clear" w:color="auto" w:fill="auto"/>
          </w:tcPr>
          <w:p w14:paraId="38868D2F" w14:textId="77777777" w:rsidR="00765180" w:rsidRPr="00B43E74" w:rsidRDefault="00765180" w:rsidP="00B8711A">
            <w:pPr>
              <w:pStyle w:val="BodyText"/>
              <w:spacing w:after="0" w:line="240" w:lineRule="auto"/>
              <w:rPr>
                <w:rFonts w:ascii="Verdana" w:hAnsi="Verdana" w:cs="Times New Roman"/>
                <w:color w:val="000000"/>
                <w:sz w:val="20"/>
                <w:szCs w:val="20"/>
              </w:rPr>
            </w:pPr>
            <w:r w:rsidRPr="00B43E74">
              <w:rPr>
                <w:rFonts w:ascii="Verdana" w:hAnsi="Verdana" w:cs="Times New Roman"/>
                <w:color w:val="000000"/>
                <w:sz w:val="20"/>
                <w:szCs w:val="20"/>
              </w:rPr>
              <w:t>Gamintojas</w:t>
            </w:r>
          </w:p>
        </w:tc>
        <w:tc>
          <w:tcPr>
            <w:tcW w:w="5514" w:type="dxa"/>
            <w:gridSpan w:val="2"/>
            <w:shd w:val="clear" w:color="auto" w:fill="auto"/>
          </w:tcPr>
          <w:p w14:paraId="1CE31FF0" w14:textId="77777777" w:rsidR="00765180" w:rsidRPr="00B43E74" w:rsidRDefault="00765180" w:rsidP="00B8711A">
            <w:pPr>
              <w:pStyle w:val="BodyText"/>
              <w:spacing w:after="0" w:line="240" w:lineRule="auto"/>
              <w:jc w:val="left"/>
              <w:rPr>
                <w:rFonts w:ascii="Verdana" w:hAnsi="Verdana" w:cs="Times New Roman"/>
                <w:i/>
                <w:color w:val="000000"/>
                <w:sz w:val="20"/>
                <w:szCs w:val="20"/>
              </w:rPr>
            </w:pPr>
            <w:r w:rsidRPr="00B43E74">
              <w:rPr>
                <w:rFonts w:ascii="Verdana" w:hAnsi="Verdana" w:cs="Times New Roman"/>
                <w:i/>
                <w:color w:val="000000"/>
                <w:sz w:val="20"/>
                <w:szCs w:val="20"/>
              </w:rPr>
              <w:t>/įrašyti/</w:t>
            </w:r>
          </w:p>
        </w:tc>
      </w:tr>
      <w:tr w:rsidR="00B87D5A" w:rsidRPr="00B43E74" w14:paraId="6BFF97B3" w14:textId="77777777" w:rsidTr="00B87D5A">
        <w:tc>
          <w:tcPr>
            <w:tcW w:w="4114" w:type="dxa"/>
            <w:gridSpan w:val="2"/>
            <w:shd w:val="clear" w:color="auto" w:fill="auto"/>
          </w:tcPr>
          <w:p w14:paraId="363FF6A6" w14:textId="77777777" w:rsidR="00765180" w:rsidRPr="00B43E74" w:rsidRDefault="00765180" w:rsidP="00B8711A">
            <w:pPr>
              <w:rPr>
                <w:rFonts w:ascii="Verdana" w:hAnsi="Verdana"/>
                <w:color w:val="000000"/>
                <w:sz w:val="20"/>
                <w:szCs w:val="20"/>
                <w:lang w:val="lt-LT"/>
              </w:rPr>
            </w:pPr>
            <w:r w:rsidRPr="00B43E74">
              <w:rPr>
                <w:rFonts w:ascii="Verdana" w:hAnsi="Verdana"/>
                <w:color w:val="000000"/>
                <w:sz w:val="20"/>
                <w:szCs w:val="20"/>
                <w:lang w:val="lt-LT"/>
              </w:rPr>
              <w:t>Modelis</w:t>
            </w:r>
          </w:p>
        </w:tc>
        <w:tc>
          <w:tcPr>
            <w:tcW w:w="5514" w:type="dxa"/>
            <w:gridSpan w:val="2"/>
            <w:shd w:val="clear" w:color="auto" w:fill="auto"/>
          </w:tcPr>
          <w:p w14:paraId="4EE616A5" w14:textId="77777777" w:rsidR="00765180" w:rsidRPr="00B43E74" w:rsidRDefault="00765180" w:rsidP="00B8711A">
            <w:pPr>
              <w:pStyle w:val="BodyText"/>
              <w:spacing w:after="0" w:line="240" w:lineRule="auto"/>
              <w:jc w:val="left"/>
              <w:rPr>
                <w:rFonts w:ascii="Verdana" w:hAnsi="Verdana" w:cs="Times New Roman"/>
                <w:i/>
                <w:color w:val="000000"/>
                <w:sz w:val="20"/>
                <w:szCs w:val="20"/>
              </w:rPr>
            </w:pPr>
            <w:r w:rsidRPr="00B43E74">
              <w:rPr>
                <w:rFonts w:ascii="Verdana" w:hAnsi="Verdana" w:cs="Times New Roman"/>
                <w:i/>
                <w:color w:val="000000"/>
                <w:sz w:val="20"/>
                <w:szCs w:val="20"/>
              </w:rPr>
              <w:t>/įrašyti/</w:t>
            </w:r>
          </w:p>
        </w:tc>
      </w:tr>
      <w:tr w:rsidR="00BB0F9F" w:rsidRPr="00B43E74" w14:paraId="40CFC0F9" w14:textId="77777777" w:rsidTr="00473B8A">
        <w:tc>
          <w:tcPr>
            <w:tcW w:w="654" w:type="dxa"/>
            <w:shd w:val="clear" w:color="auto" w:fill="auto"/>
            <w:vAlign w:val="center"/>
          </w:tcPr>
          <w:p w14:paraId="476B8D1C" w14:textId="77777777" w:rsidR="00765180" w:rsidRPr="00B43E74" w:rsidRDefault="00765180" w:rsidP="00B8711A">
            <w:pPr>
              <w:pStyle w:val="BodyText"/>
              <w:spacing w:after="0" w:line="240" w:lineRule="auto"/>
              <w:jc w:val="center"/>
              <w:rPr>
                <w:rFonts w:ascii="Verdana" w:hAnsi="Verdana" w:cs="Times New Roman"/>
                <w:snapToGrid w:val="0"/>
                <w:color w:val="000000"/>
                <w:sz w:val="20"/>
                <w:szCs w:val="20"/>
              </w:rPr>
            </w:pPr>
            <w:r w:rsidRPr="00B43E74">
              <w:rPr>
                <w:rFonts w:ascii="Verdana" w:hAnsi="Verdana" w:cs="Times New Roman"/>
                <w:snapToGrid w:val="0"/>
                <w:color w:val="000000"/>
                <w:sz w:val="20"/>
                <w:szCs w:val="20"/>
              </w:rPr>
              <w:t>Eil. Nr.</w:t>
            </w:r>
          </w:p>
        </w:tc>
        <w:tc>
          <w:tcPr>
            <w:tcW w:w="3460" w:type="dxa"/>
            <w:shd w:val="clear" w:color="auto" w:fill="auto"/>
            <w:vAlign w:val="center"/>
          </w:tcPr>
          <w:p w14:paraId="04115859" w14:textId="77777777" w:rsidR="00765180" w:rsidRPr="00B43E74" w:rsidRDefault="00765180" w:rsidP="00B8711A">
            <w:pPr>
              <w:jc w:val="center"/>
              <w:rPr>
                <w:rFonts w:ascii="Verdana" w:hAnsi="Verdana"/>
                <w:color w:val="000000"/>
                <w:sz w:val="20"/>
                <w:szCs w:val="20"/>
                <w:lang w:val="lt-LT"/>
              </w:rPr>
            </w:pPr>
            <w:r w:rsidRPr="00B43E74">
              <w:rPr>
                <w:rFonts w:ascii="Verdana" w:hAnsi="Verdana"/>
                <w:color w:val="000000"/>
                <w:sz w:val="20"/>
                <w:szCs w:val="20"/>
                <w:lang w:val="lt-LT"/>
              </w:rPr>
              <w:t>Reikalavimai</w:t>
            </w:r>
          </w:p>
        </w:tc>
        <w:tc>
          <w:tcPr>
            <w:tcW w:w="2834" w:type="dxa"/>
            <w:shd w:val="clear" w:color="auto" w:fill="auto"/>
            <w:vAlign w:val="center"/>
          </w:tcPr>
          <w:p w14:paraId="2876F466" w14:textId="77777777" w:rsidR="00765180" w:rsidRPr="00B43E74" w:rsidRDefault="00765180" w:rsidP="00B8711A">
            <w:pPr>
              <w:pStyle w:val="BodyText"/>
              <w:spacing w:after="0" w:line="240" w:lineRule="auto"/>
              <w:jc w:val="center"/>
              <w:rPr>
                <w:rFonts w:ascii="Verdana" w:hAnsi="Verdana" w:cs="Times New Roman"/>
                <w:color w:val="000000"/>
                <w:sz w:val="20"/>
                <w:szCs w:val="20"/>
              </w:rPr>
            </w:pPr>
            <w:r w:rsidRPr="00B43E74">
              <w:rPr>
                <w:rFonts w:ascii="Verdana" w:hAnsi="Verdana" w:cs="Times New Roman"/>
                <w:color w:val="000000"/>
                <w:sz w:val="20"/>
                <w:szCs w:val="20"/>
              </w:rPr>
              <w:t>Siūlomi parametrai</w:t>
            </w:r>
          </w:p>
        </w:tc>
        <w:tc>
          <w:tcPr>
            <w:tcW w:w="2680" w:type="dxa"/>
          </w:tcPr>
          <w:p w14:paraId="768AAB04" w14:textId="77777777" w:rsidR="00765180" w:rsidRPr="00B43E74" w:rsidRDefault="00765180" w:rsidP="00B8711A">
            <w:pPr>
              <w:pStyle w:val="BodyText"/>
              <w:spacing w:after="0" w:line="240" w:lineRule="auto"/>
              <w:jc w:val="center"/>
              <w:rPr>
                <w:rFonts w:ascii="Verdana" w:hAnsi="Verdana" w:cs="Times New Roman"/>
                <w:color w:val="000000"/>
                <w:sz w:val="20"/>
                <w:szCs w:val="20"/>
              </w:rPr>
            </w:pPr>
            <w:r w:rsidRPr="00B43E74">
              <w:rPr>
                <w:rFonts w:ascii="Verdana" w:eastAsia="Times New Roman" w:hAnsi="Verdana" w:cs="Times New Roman"/>
                <w:sz w:val="20"/>
                <w:szCs w:val="20"/>
              </w:rPr>
              <w:t>Siūlomus parametrus patvirtinanti Dokumentacija</w:t>
            </w:r>
          </w:p>
        </w:tc>
      </w:tr>
      <w:tr w:rsidR="003933A8" w:rsidRPr="006F0802" w14:paraId="2CEA16DD" w14:textId="77777777" w:rsidTr="00473B8A">
        <w:tc>
          <w:tcPr>
            <w:tcW w:w="654" w:type="dxa"/>
            <w:shd w:val="clear" w:color="auto" w:fill="auto"/>
          </w:tcPr>
          <w:p w14:paraId="7D2AE87F" w14:textId="77777777" w:rsidR="00765180" w:rsidRPr="00B43E74" w:rsidRDefault="00765180" w:rsidP="00B87D5A">
            <w:pPr>
              <w:pStyle w:val="ListParagraph"/>
              <w:numPr>
                <w:ilvl w:val="0"/>
                <w:numId w:val="5"/>
              </w:numPr>
              <w:ind w:right="-109"/>
              <w:jc w:val="right"/>
              <w:rPr>
                <w:rFonts w:ascii="Verdana" w:hAnsi="Verdana"/>
                <w:color w:val="000000"/>
                <w:sz w:val="20"/>
                <w:szCs w:val="20"/>
                <w:lang w:val="lt-LT"/>
              </w:rPr>
            </w:pPr>
          </w:p>
        </w:tc>
        <w:tc>
          <w:tcPr>
            <w:tcW w:w="3460" w:type="dxa"/>
            <w:shd w:val="clear" w:color="auto" w:fill="auto"/>
          </w:tcPr>
          <w:p w14:paraId="72263A62" w14:textId="7F6CCCF0" w:rsidR="00765180" w:rsidRPr="00B43E74" w:rsidRDefault="00765180" w:rsidP="00B8711A">
            <w:pPr>
              <w:autoSpaceDE w:val="0"/>
              <w:autoSpaceDN w:val="0"/>
              <w:adjustRightInd w:val="0"/>
              <w:jc w:val="both"/>
              <w:rPr>
                <w:rFonts w:ascii="Verdana" w:hAnsi="Verdana"/>
                <w:sz w:val="20"/>
                <w:szCs w:val="20"/>
                <w:lang w:val="lt-LT"/>
              </w:rPr>
            </w:pPr>
            <w:r w:rsidRPr="00B43E74">
              <w:rPr>
                <w:rFonts w:ascii="Verdana" w:hAnsi="Verdana"/>
                <w:b/>
                <w:bCs/>
                <w:color w:val="000000"/>
                <w:sz w:val="20"/>
                <w:szCs w:val="20"/>
                <w:lang w:val="lt-LT"/>
              </w:rPr>
              <w:t>Suderinamumas</w:t>
            </w:r>
            <w:r w:rsidRPr="00B43E74">
              <w:rPr>
                <w:rFonts w:ascii="Verdana" w:hAnsi="Verdana"/>
                <w:color w:val="000000"/>
                <w:sz w:val="20"/>
                <w:szCs w:val="20"/>
                <w:lang w:val="lt-LT"/>
              </w:rPr>
              <w:t xml:space="preserve">: </w:t>
            </w:r>
            <w:r w:rsidRPr="00B43E74">
              <w:rPr>
                <w:rFonts w:ascii="Verdana" w:hAnsi="Verdana"/>
                <w:sz w:val="20"/>
                <w:szCs w:val="20"/>
                <w:lang w:val="lt-LT"/>
              </w:rPr>
              <w:t xml:space="preserve">Pateikiama programinė įranga turi būti suderinama prijungimui prie šiuo metu naudojamos „Quantum Xcellis Stornext“ duomenų apdorojimo sistemos, bei Quantum Scalar i6000 bibliotekomis (SN 273100585, 273101303). </w:t>
            </w:r>
            <w:r w:rsidR="005575E1">
              <w:rPr>
                <w:rFonts w:ascii="Verdana" w:hAnsi="Verdana"/>
                <w:sz w:val="20"/>
                <w:szCs w:val="20"/>
                <w:lang w:val="lt-LT"/>
              </w:rPr>
              <w:t xml:space="preserve">Taip pat turi būti </w:t>
            </w:r>
            <w:r w:rsidR="005575E1">
              <w:rPr>
                <w:rFonts w:ascii="Verdana" w:hAnsi="Verdana"/>
                <w:sz w:val="20"/>
                <w:szCs w:val="20"/>
                <w:lang w:val="lt-LT"/>
              </w:rPr>
              <w:lastRenderedPageBreak/>
              <w:t>suderinama su 1-oje lentelėje teikiamomis licencijomis.</w:t>
            </w:r>
          </w:p>
          <w:p w14:paraId="3F9AB152" w14:textId="77777777" w:rsidR="00765180" w:rsidRPr="00B43E74" w:rsidRDefault="00765180" w:rsidP="00B8711A">
            <w:pPr>
              <w:jc w:val="both"/>
              <w:rPr>
                <w:rFonts w:ascii="Verdana" w:hAnsi="Verdana"/>
                <w:color w:val="000000"/>
                <w:sz w:val="20"/>
                <w:szCs w:val="20"/>
                <w:lang w:val="lt-LT"/>
              </w:rPr>
            </w:pPr>
            <w:r w:rsidRPr="00B43E74">
              <w:rPr>
                <w:rFonts w:ascii="Verdana" w:hAnsi="Verdana"/>
                <w:sz w:val="20"/>
                <w:szCs w:val="20"/>
                <w:lang w:val="lt-LT"/>
              </w:rPr>
              <w:t>Tiekėjas su pasiūlymu turi pateikti siūlomos įrangos gamintojo raštišką patvirtinimą apie tokį suderinamumą.</w:t>
            </w:r>
          </w:p>
        </w:tc>
        <w:tc>
          <w:tcPr>
            <w:tcW w:w="2834" w:type="dxa"/>
            <w:shd w:val="clear" w:color="auto" w:fill="auto"/>
          </w:tcPr>
          <w:p w14:paraId="2C916A09" w14:textId="77777777" w:rsidR="00765180" w:rsidRPr="00B43E74" w:rsidRDefault="00765180" w:rsidP="00B8711A">
            <w:pPr>
              <w:jc w:val="both"/>
              <w:rPr>
                <w:rFonts w:ascii="Verdana" w:hAnsi="Verdana"/>
                <w:color w:val="000000"/>
                <w:sz w:val="20"/>
                <w:szCs w:val="20"/>
                <w:lang w:val="lt-LT"/>
              </w:rPr>
            </w:pPr>
            <w:r w:rsidRPr="00B43E74">
              <w:rPr>
                <w:rFonts w:ascii="Verdana" w:hAnsi="Verdana"/>
                <w:i/>
                <w:iCs/>
                <w:snapToGrid w:val="0"/>
                <w:sz w:val="20"/>
                <w:szCs w:val="20"/>
                <w:lang w:val="lt-LT"/>
              </w:rPr>
              <w:lastRenderedPageBreak/>
              <w:t>/įrašyti/</w:t>
            </w:r>
          </w:p>
        </w:tc>
        <w:tc>
          <w:tcPr>
            <w:tcW w:w="2680" w:type="dxa"/>
            <w:tcBorders>
              <w:bottom w:val="single" w:sz="4" w:space="0" w:color="auto"/>
            </w:tcBorders>
          </w:tcPr>
          <w:p w14:paraId="619DAD8A" w14:textId="77777777" w:rsidR="00765180" w:rsidRPr="00B43E74" w:rsidRDefault="00765180" w:rsidP="00B8711A">
            <w:pPr>
              <w:jc w:val="both"/>
              <w:rPr>
                <w:rFonts w:ascii="Verdana" w:hAnsi="Verdana"/>
                <w:i/>
                <w:iCs/>
                <w:color w:val="000000"/>
                <w:sz w:val="20"/>
                <w:szCs w:val="20"/>
                <w:lang w:val="lt-LT"/>
              </w:rPr>
            </w:pPr>
            <w:r w:rsidRPr="00B43E74">
              <w:rPr>
                <w:rFonts w:ascii="Verdana" w:eastAsia="Times New Roman" w:hAnsi="Verdana"/>
                <w:i/>
                <w:iCs/>
                <w:sz w:val="20"/>
                <w:szCs w:val="20"/>
                <w:lang w:val="lt-LT"/>
              </w:rPr>
              <w:t>/</w:t>
            </w:r>
            <w:r w:rsidRPr="00B43E74">
              <w:rPr>
                <w:rFonts w:ascii="Verdana" w:hAnsi="Verdana"/>
                <w:i/>
                <w:iCs/>
                <w:sz w:val="20"/>
                <w:szCs w:val="20"/>
                <w:lang w:val="lt-LT"/>
              </w:rPr>
              <w:t>privaloma pateikti reikalavime nurodytą dokumentą</w:t>
            </w:r>
            <w:r w:rsidRPr="00B43E74">
              <w:rPr>
                <w:rFonts w:ascii="Verdana" w:eastAsia="Times New Roman" w:hAnsi="Verdana"/>
                <w:i/>
                <w:iCs/>
                <w:sz w:val="20"/>
                <w:szCs w:val="20"/>
                <w:lang w:val="lt-LT"/>
              </w:rPr>
              <w:t>/</w:t>
            </w:r>
          </w:p>
        </w:tc>
      </w:tr>
      <w:tr w:rsidR="00765180" w:rsidRPr="00B43E74" w14:paraId="14D9F4BE" w14:textId="77777777" w:rsidTr="00B87D5A">
        <w:tc>
          <w:tcPr>
            <w:tcW w:w="654" w:type="dxa"/>
            <w:shd w:val="clear" w:color="auto" w:fill="auto"/>
          </w:tcPr>
          <w:p w14:paraId="0F650B59" w14:textId="77777777" w:rsidR="00765180" w:rsidRPr="00B43E74" w:rsidRDefault="00765180" w:rsidP="00B87D5A">
            <w:pPr>
              <w:pStyle w:val="ListParagraph"/>
              <w:numPr>
                <w:ilvl w:val="0"/>
                <w:numId w:val="5"/>
              </w:numPr>
              <w:ind w:right="-109"/>
              <w:jc w:val="right"/>
              <w:rPr>
                <w:rFonts w:ascii="Verdana" w:hAnsi="Verdana"/>
                <w:color w:val="000000"/>
                <w:sz w:val="20"/>
                <w:szCs w:val="20"/>
                <w:lang w:val="lt-LT"/>
              </w:rPr>
            </w:pPr>
          </w:p>
        </w:tc>
        <w:tc>
          <w:tcPr>
            <w:tcW w:w="3460" w:type="dxa"/>
            <w:shd w:val="clear" w:color="auto" w:fill="auto"/>
          </w:tcPr>
          <w:p w14:paraId="3271079C" w14:textId="77777777" w:rsidR="00765180" w:rsidRPr="00B43E74" w:rsidRDefault="00765180" w:rsidP="00B8711A">
            <w:pPr>
              <w:autoSpaceDE w:val="0"/>
              <w:autoSpaceDN w:val="0"/>
              <w:adjustRightInd w:val="0"/>
              <w:jc w:val="both"/>
              <w:rPr>
                <w:rFonts w:ascii="Verdana" w:hAnsi="Verdana"/>
                <w:kern w:val="2"/>
                <w:sz w:val="20"/>
                <w:szCs w:val="20"/>
                <w:lang w:val="lt-LT"/>
                <w14:ligatures w14:val="standardContextual"/>
              </w:rPr>
            </w:pPr>
            <w:r w:rsidRPr="00B43E74">
              <w:rPr>
                <w:rFonts w:ascii="Verdana" w:hAnsi="Verdana"/>
                <w:kern w:val="2"/>
                <w:sz w:val="20"/>
                <w:szCs w:val="20"/>
                <w:lang w:val="lt-LT"/>
                <w14:ligatures w14:val="standardContextual"/>
              </w:rPr>
              <w:t>Su programinės įrangos funkcionalumo išplėtimu turi būti komplektuojamos 2 programinės įrangos licencijos, leidžiančios  Quantum Stornext duomenų duomenų apdorojimo sistemos juostinėje posistemėje esančius duomenis iškelti į nelicencijuotus turimų 2 Quantum Scalar i6000 juostų lizdus.</w:t>
            </w:r>
          </w:p>
          <w:p w14:paraId="353DC0F1" w14:textId="77777777" w:rsidR="00765180" w:rsidRPr="00B43E74" w:rsidRDefault="00765180" w:rsidP="00B8711A">
            <w:pPr>
              <w:autoSpaceDE w:val="0"/>
              <w:autoSpaceDN w:val="0"/>
              <w:adjustRightInd w:val="0"/>
              <w:jc w:val="both"/>
              <w:rPr>
                <w:rFonts w:ascii="Verdana" w:hAnsi="Verdana"/>
                <w:sz w:val="20"/>
                <w:szCs w:val="20"/>
                <w:lang w:val="lt-LT"/>
              </w:rPr>
            </w:pPr>
          </w:p>
        </w:tc>
        <w:tc>
          <w:tcPr>
            <w:tcW w:w="2834" w:type="dxa"/>
            <w:tcBorders>
              <w:bottom w:val="single" w:sz="4" w:space="0" w:color="auto"/>
            </w:tcBorders>
            <w:shd w:val="clear" w:color="auto" w:fill="auto"/>
          </w:tcPr>
          <w:p w14:paraId="1D1FAC27" w14:textId="77777777" w:rsidR="00765180" w:rsidRPr="00B43E74" w:rsidRDefault="00765180" w:rsidP="00B8711A">
            <w:pPr>
              <w:jc w:val="both"/>
              <w:rPr>
                <w:rFonts w:ascii="Verdana" w:hAnsi="Verdana"/>
                <w:i/>
                <w:iCs/>
                <w:snapToGrid w:val="0"/>
                <w:sz w:val="20"/>
                <w:szCs w:val="20"/>
                <w:lang w:val="lt-LT"/>
              </w:rPr>
            </w:pPr>
            <w:r w:rsidRPr="00B43E74">
              <w:rPr>
                <w:rFonts w:ascii="Verdana" w:hAnsi="Verdana"/>
                <w:i/>
                <w:iCs/>
                <w:snapToGrid w:val="0"/>
                <w:kern w:val="2"/>
                <w:sz w:val="20"/>
                <w:szCs w:val="20"/>
                <w:lang w:val="lt-LT"/>
                <w14:ligatures w14:val="standardContextual"/>
              </w:rPr>
              <w:t>/įrašyti/</w:t>
            </w:r>
          </w:p>
        </w:tc>
        <w:tc>
          <w:tcPr>
            <w:tcW w:w="2680" w:type="dxa"/>
            <w:tcBorders>
              <w:bottom w:val="single" w:sz="4" w:space="0" w:color="auto"/>
              <w:tl2br w:val="single" w:sz="4" w:space="0" w:color="auto"/>
              <w:tr2bl w:val="single" w:sz="4" w:space="0" w:color="auto"/>
            </w:tcBorders>
          </w:tcPr>
          <w:p w14:paraId="631C1C66" w14:textId="77777777" w:rsidR="00765180" w:rsidRPr="00B43E74" w:rsidRDefault="00765180" w:rsidP="00B8711A">
            <w:pPr>
              <w:jc w:val="both"/>
              <w:rPr>
                <w:rFonts w:ascii="Verdana" w:eastAsia="Times New Roman" w:hAnsi="Verdana"/>
                <w:i/>
                <w:iCs/>
                <w:sz w:val="20"/>
                <w:szCs w:val="20"/>
                <w:lang w:val="lt-LT"/>
              </w:rPr>
            </w:pPr>
          </w:p>
        </w:tc>
      </w:tr>
      <w:tr w:rsidR="00765180" w:rsidRPr="006F0802" w14:paraId="41F2C225" w14:textId="77777777" w:rsidTr="00B87D5A">
        <w:tc>
          <w:tcPr>
            <w:tcW w:w="654" w:type="dxa"/>
            <w:shd w:val="clear" w:color="auto" w:fill="auto"/>
          </w:tcPr>
          <w:p w14:paraId="17C6F224" w14:textId="77777777" w:rsidR="00765180" w:rsidRPr="00B43E74" w:rsidRDefault="00765180" w:rsidP="00B87D5A">
            <w:pPr>
              <w:pStyle w:val="ListParagraph"/>
              <w:numPr>
                <w:ilvl w:val="0"/>
                <w:numId w:val="5"/>
              </w:numPr>
              <w:ind w:right="-109"/>
              <w:jc w:val="right"/>
              <w:rPr>
                <w:rFonts w:ascii="Verdana" w:hAnsi="Verdana"/>
                <w:color w:val="000000"/>
                <w:sz w:val="20"/>
                <w:szCs w:val="20"/>
                <w:lang w:val="lt-LT"/>
              </w:rPr>
            </w:pPr>
          </w:p>
        </w:tc>
        <w:tc>
          <w:tcPr>
            <w:tcW w:w="3460" w:type="dxa"/>
            <w:shd w:val="clear" w:color="auto" w:fill="auto"/>
          </w:tcPr>
          <w:p w14:paraId="464411FD" w14:textId="77777777" w:rsidR="00765180" w:rsidRPr="00B43E74" w:rsidRDefault="00765180" w:rsidP="00B8711A">
            <w:pPr>
              <w:jc w:val="both"/>
              <w:rPr>
                <w:rFonts w:ascii="Verdana" w:hAnsi="Verdana"/>
                <w:color w:val="000000"/>
                <w:sz w:val="20"/>
                <w:szCs w:val="20"/>
                <w:lang w:val="lt-LT"/>
              </w:rPr>
            </w:pPr>
            <w:r w:rsidRPr="00B43E74">
              <w:rPr>
                <w:rFonts w:ascii="Verdana" w:hAnsi="Verdana"/>
                <w:b/>
                <w:bCs/>
                <w:color w:val="000000"/>
                <w:sz w:val="20"/>
                <w:szCs w:val="20"/>
                <w:lang w:val="lt-LT"/>
              </w:rPr>
              <w:t>Diegimo paslaugos:</w:t>
            </w:r>
            <w:r w:rsidRPr="00B43E74">
              <w:rPr>
                <w:rFonts w:ascii="Verdana" w:hAnsi="Verdana"/>
                <w:sz w:val="20"/>
                <w:szCs w:val="20"/>
                <w:lang w:val="lt-LT"/>
              </w:rPr>
              <w:t xml:space="preserve"> Siūlomos licencijos turės būti įdiegtos į  „Quantum Xcellis Stornext“ duomenų apdorojimo sistemą ir sukonfigūruotos darbui pagal Perkančiosios organizacijos reikalavimus.</w:t>
            </w:r>
          </w:p>
        </w:tc>
        <w:tc>
          <w:tcPr>
            <w:tcW w:w="2834" w:type="dxa"/>
            <w:tcBorders>
              <w:tl2br w:val="single" w:sz="4" w:space="0" w:color="auto"/>
              <w:tr2bl w:val="single" w:sz="4" w:space="0" w:color="auto"/>
            </w:tcBorders>
            <w:shd w:val="clear" w:color="auto" w:fill="auto"/>
          </w:tcPr>
          <w:p w14:paraId="3C72F89E" w14:textId="77777777" w:rsidR="00765180" w:rsidRPr="00B43E74" w:rsidRDefault="00765180" w:rsidP="00B8711A">
            <w:pPr>
              <w:jc w:val="both"/>
              <w:rPr>
                <w:rFonts w:ascii="Verdana" w:hAnsi="Verdana"/>
                <w:i/>
                <w:iCs/>
                <w:snapToGrid w:val="0"/>
                <w:sz w:val="20"/>
                <w:szCs w:val="20"/>
                <w:lang w:val="lt-LT"/>
              </w:rPr>
            </w:pPr>
          </w:p>
        </w:tc>
        <w:tc>
          <w:tcPr>
            <w:tcW w:w="2680" w:type="dxa"/>
            <w:tcBorders>
              <w:bottom w:val="single" w:sz="4" w:space="0" w:color="auto"/>
              <w:tl2br w:val="single" w:sz="4" w:space="0" w:color="auto"/>
              <w:tr2bl w:val="single" w:sz="4" w:space="0" w:color="auto"/>
            </w:tcBorders>
          </w:tcPr>
          <w:p w14:paraId="21B899D8" w14:textId="77777777" w:rsidR="00765180" w:rsidRPr="00B43E74" w:rsidRDefault="00765180" w:rsidP="00B8711A">
            <w:pPr>
              <w:jc w:val="both"/>
              <w:rPr>
                <w:rFonts w:ascii="Verdana" w:eastAsia="Times New Roman" w:hAnsi="Verdana"/>
                <w:i/>
                <w:iCs/>
                <w:sz w:val="20"/>
                <w:szCs w:val="20"/>
                <w:lang w:val="lt-LT"/>
              </w:rPr>
            </w:pPr>
          </w:p>
        </w:tc>
      </w:tr>
      <w:tr w:rsidR="00473B8A" w:rsidRPr="00B43E74" w14:paraId="23C0525C" w14:textId="77777777" w:rsidTr="00473B8A">
        <w:tc>
          <w:tcPr>
            <w:tcW w:w="654" w:type="dxa"/>
            <w:shd w:val="clear" w:color="auto" w:fill="auto"/>
          </w:tcPr>
          <w:p w14:paraId="190ED4A5" w14:textId="77777777" w:rsidR="00765180" w:rsidRPr="00B43E74" w:rsidRDefault="00765180" w:rsidP="00B87D5A">
            <w:pPr>
              <w:pStyle w:val="ListParagraph"/>
              <w:numPr>
                <w:ilvl w:val="0"/>
                <w:numId w:val="5"/>
              </w:numPr>
              <w:ind w:right="-109"/>
              <w:jc w:val="right"/>
              <w:rPr>
                <w:rFonts w:ascii="Verdana" w:hAnsi="Verdana"/>
                <w:sz w:val="20"/>
                <w:szCs w:val="20"/>
                <w:lang w:val="lt-LT"/>
              </w:rPr>
            </w:pPr>
          </w:p>
        </w:tc>
        <w:tc>
          <w:tcPr>
            <w:tcW w:w="3460" w:type="dxa"/>
            <w:shd w:val="clear" w:color="auto" w:fill="auto"/>
          </w:tcPr>
          <w:p w14:paraId="69007131" w14:textId="2486D7C5" w:rsidR="00765180" w:rsidRPr="00B43E74" w:rsidRDefault="00765180" w:rsidP="00B8711A">
            <w:pPr>
              <w:jc w:val="both"/>
              <w:rPr>
                <w:rFonts w:ascii="Verdana" w:hAnsi="Verdana"/>
                <w:sz w:val="20"/>
                <w:szCs w:val="20"/>
                <w:lang w:val="lt-LT"/>
              </w:rPr>
            </w:pPr>
            <w:r w:rsidRPr="00B43E74">
              <w:rPr>
                <w:rFonts w:ascii="Verdana" w:hAnsi="Verdana"/>
                <w:sz w:val="20"/>
                <w:szCs w:val="20"/>
                <w:lang w:val="lt-LT"/>
              </w:rPr>
              <w:t xml:space="preserve">Visos siūlomos prekės turi būti naujos, </w:t>
            </w:r>
            <w:r w:rsidR="00076091">
              <w:rPr>
                <w:rFonts w:ascii="Verdana" w:hAnsi="Verdana"/>
                <w:sz w:val="20"/>
                <w:szCs w:val="20"/>
                <w:lang w:val="lt-LT"/>
              </w:rPr>
              <w:t xml:space="preserve">dedikuotos LRT, </w:t>
            </w:r>
            <w:r w:rsidRPr="00B43E74">
              <w:rPr>
                <w:rFonts w:ascii="Verdana" w:hAnsi="Verdana"/>
                <w:sz w:val="20"/>
                <w:szCs w:val="20"/>
                <w:lang w:val="lt-LT"/>
              </w:rPr>
              <w:t>nenaudotos, neatnaujintos, ne ekspozicinės.</w:t>
            </w:r>
          </w:p>
        </w:tc>
        <w:tc>
          <w:tcPr>
            <w:tcW w:w="2834" w:type="dxa"/>
            <w:shd w:val="clear" w:color="auto" w:fill="auto"/>
          </w:tcPr>
          <w:p w14:paraId="510347EE" w14:textId="77777777" w:rsidR="00765180" w:rsidRPr="00B43E74" w:rsidRDefault="00765180" w:rsidP="00B8711A">
            <w:pPr>
              <w:jc w:val="both"/>
              <w:rPr>
                <w:rFonts w:ascii="Verdana" w:hAnsi="Verdana"/>
                <w:sz w:val="20"/>
                <w:szCs w:val="20"/>
                <w:lang w:val="lt-LT"/>
              </w:rPr>
            </w:pPr>
            <w:r w:rsidRPr="00B43E74">
              <w:rPr>
                <w:rFonts w:ascii="Verdana" w:hAnsi="Verdana"/>
                <w:i/>
                <w:iCs/>
                <w:snapToGrid w:val="0"/>
                <w:sz w:val="20"/>
                <w:szCs w:val="20"/>
                <w:lang w:val="lt-LT"/>
              </w:rPr>
              <w:t>/įrašyti/</w:t>
            </w:r>
          </w:p>
        </w:tc>
        <w:tc>
          <w:tcPr>
            <w:tcW w:w="2680" w:type="dxa"/>
            <w:tcBorders>
              <w:bottom w:val="single" w:sz="4" w:space="0" w:color="auto"/>
              <w:tl2br w:val="single" w:sz="4" w:space="0" w:color="auto"/>
              <w:tr2bl w:val="single" w:sz="4" w:space="0" w:color="auto"/>
            </w:tcBorders>
          </w:tcPr>
          <w:p w14:paraId="05EB5B38" w14:textId="77777777" w:rsidR="00765180" w:rsidRPr="00B43E74" w:rsidRDefault="00765180" w:rsidP="00B8711A">
            <w:pPr>
              <w:jc w:val="both"/>
              <w:rPr>
                <w:rFonts w:ascii="Verdana" w:hAnsi="Verdana"/>
                <w:i/>
                <w:iCs/>
                <w:sz w:val="20"/>
                <w:szCs w:val="20"/>
                <w:lang w:val="lt-LT"/>
              </w:rPr>
            </w:pPr>
          </w:p>
        </w:tc>
      </w:tr>
      <w:tr w:rsidR="00473B8A" w:rsidRPr="006F0802" w14:paraId="47E85042" w14:textId="77777777" w:rsidTr="00473B8A">
        <w:tc>
          <w:tcPr>
            <w:tcW w:w="654" w:type="dxa"/>
            <w:shd w:val="clear" w:color="auto" w:fill="auto"/>
          </w:tcPr>
          <w:p w14:paraId="5E506DF2" w14:textId="77777777" w:rsidR="00765180" w:rsidRPr="00B43E74" w:rsidRDefault="00765180" w:rsidP="00B87D5A">
            <w:pPr>
              <w:pStyle w:val="ListParagraph"/>
              <w:numPr>
                <w:ilvl w:val="0"/>
                <w:numId w:val="5"/>
              </w:numPr>
              <w:ind w:right="-109"/>
              <w:jc w:val="right"/>
              <w:rPr>
                <w:rFonts w:ascii="Verdana" w:hAnsi="Verdana"/>
                <w:sz w:val="20"/>
                <w:szCs w:val="20"/>
                <w:lang w:val="lt-LT"/>
              </w:rPr>
            </w:pPr>
          </w:p>
        </w:tc>
        <w:tc>
          <w:tcPr>
            <w:tcW w:w="3460" w:type="dxa"/>
            <w:shd w:val="clear" w:color="auto" w:fill="auto"/>
          </w:tcPr>
          <w:p w14:paraId="4E96C058" w14:textId="77777777" w:rsidR="00765180" w:rsidRPr="00B43E74" w:rsidRDefault="00765180" w:rsidP="00B8711A">
            <w:pPr>
              <w:autoSpaceDE w:val="0"/>
              <w:autoSpaceDN w:val="0"/>
              <w:adjustRightInd w:val="0"/>
              <w:jc w:val="both"/>
              <w:rPr>
                <w:rFonts w:ascii="Verdana" w:hAnsi="Verdana"/>
                <w:sz w:val="20"/>
                <w:szCs w:val="20"/>
                <w:lang w:val="lt-LT"/>
              </w:rPr>
            </w:pPr>
            <w:r w:rsidRPr="00B43E74">
              <w:rPr>
                <w:rFonts w:ascii="Verdana" w:hAnsi="Verdana"/>
                <w:sz w:val="20"/>
                <w:szCs w:val="20"/>
                <w:lang w:val="lt-LT"/>
              </w:rPr>
              <w:t xml:space="preserve">Gamintojo teikiamas palaikymas. </w:t>
            </w:r>
          </w:p>
          <w:p w14:paraId="085DCB3C" w14:textId="51500F70" w:rsidR="00765180" w:rsidRPr="00B43E74" w:rsidRDefault="00765180" w:rsidP="00B8711A">
            <w:pPr>
              <w:autoSpaceDE w:val="0"/>
              <w:autoSpaceDN w:val="0"/>
              <w:adjustRightInd w:val="0"/>
              <w:jc w:val="both"/>
              <w:rPr>
                <w:rFonts w:ascii="Verdana" w:hAnsi="Verdana"/>
                <w:sz w:val="20"/>
                <w:szCs w:val="20"/>
                <w:lang w:val="lt-LT"/>
              </w:rPr>
            </w:pPr>
            <w:r w:rsidRPr="00B43E74">
              <w:rPr>
                <w:rFonts w:ascii="Verdana" w:hAnsi="Verdana"/>
                <w:sz w:val="20"/>
                <w:szCs w:val="20"/>
                <w:lang w:val="lt-LT"/>
              </w:rPr>
              <w:t xml:space="preserve">1) </w:t>
            </w:r>
            <w:r w:rsidR="00076091">
              <w:rPr>
                <w:rFonts w:ascii="Verdana" w:hAnsi="Verdana"/>
                <w:sz w:val="20"/>
                <w:szCs w:val="20"/>
                <w:lang w:val="lt-LT"/>
              </w:rPr>
              <w:t>Siūlomai</w:t>
            </w:r>
            <w:r w:rsidRPr="00B43E74">
              <w:rPr>
                <w:rFonts w:ascii="Verdana" w:hAnsi="Verdana"/>
                <w:sz w:val="20"/>
                <w:szCs w:val="20"/>
                <w:lang w:val="lt-LT"/>
              </w:rPr>
              <w:t xml:space="preserve"> programinei įrangai turi būti suteiktas gamintojo teikiamas palaikymas, kuris galiotų nuo įrangos įdiegimo dienos iki 2026-02-01, 23:59 val. </w:t>
            </w:r>
          </w:p>
          <w:p w14:paraId="114A796B" w14:textId="77777777" w:rsidR="00765180" w:rsidRPr="00B43E74" w:rsidRDefault="00765180" w:rsidP="00B8711A">
            <w:pPr>
              <w:autoSpaceDE w:val="0"/>
              <w:autoSpaceDN w:val="0"/>
              <w:adjustRightInd w:val="0"/>
              <w:jc w:val="both"/>
              <w:rPr>
                <w:rFonts w:ascii="Verdana" w:hAnsi="Verdana"/>
                <w:sz w:val="20"/>
                <w:szCs w:val="20"/>
                <w:lang w:val="lt-LT"/>
              </w:rPr>
            </w:pPr>
            <w:r w:rsidRPr="00B43E74">
              <w:rPr>
                <w:rFonts w:ascii="Verdana" w:hAnsi="Verdana"/>
                <w:sz w:val="20"/>
                <w:szCs w:val="20"/>
                <w:lang w:val="lt-LT"/>
              </w:rPr>
              <w:t>Palaikymas turi būti atliekamas LRT turimos „Quantum Xcellis Stornext“ duomenų apdorojimo sistemos garantijos sąlygomis.</w:t>
            </w:r>
          </w:p>
          <w:p w14:paraId="7120AF52" w14:textId="77777777" w:rsidR="00765180" w:rsidRPr="00B43E74" w:rsidRDefault="00765180" w:rsidP="00B8711A">
            <w:pPr>
              <w:autoSpaceDE w:val="0"/>
              <w:autoSpaceDN w:val="0"/>
              <w:adjustRightInd w:val="0"/>
              <w:jc w:val="both"/>
              <w:rPr>
                <w:rFonts w:ascii="Verdana" w:hAnsi="Verdana"/>
                <w:sz w:val="20"/>
                <w:szCs w:val="20"/>
                <w:lang w:val="lt-LT"/>
              </w:rPr>
            </w:pPr>
          </w:p>
          <w:p w14:paraId="0DF2D880" w14:textId="77777777" w:rsidR="00765180" w:rsidRPr="00B43E74" w:rsidRDefault="00765180" w:rsidP="00B8711A">
            <w:pPr>
              <w:autoSpaceDE w:val="0"/>
              <w:autoSpaceDN w:val="0"/>
              <w:adjustRightInd w:val="0"/>
              <w:jc w:val="both"/>
              <w:rPr>
                <w:rFonts w:ascii="Verdana" w:hAnsi="Verdana"/>
                <w:sz w:val="20"/>
                <w:szCs w:val="20"/>
                <w:lang w:val="lt-LT"/>
              </w:rPr>
            </w:pPr>
            <w:r w:rsidRPr="00B43E74">
              <w:rPr>
                <w:rFonts w:ascii="Verdana" w:hAnsi="Verdana"/>
                <w:sz w:val="20"/>
                <w:szCs w:val="20"/>
                <w:lang w:val="lt-LT"/>
              </w:rPr>
              <w:t>2) Tiekėjas užtikrina, jog jam atlikus funkcionalumo išplėtimo darbus, LRT turimos įrangos garantijos (garantinio aptarnavimo) sąlygos nebus pažeistos.</w:t>
            </w:r>
          </w:p>
          <w:p w14:paraId="386855C8" w14:textId="77777777" w:rsidR="00765180" w:rsidRPr="00B43E74" w:rsidRDefault="00765180" w:rsidP="00B8711A">
            <w:pPr>
              <w:jc w:val="both"/>
              <w:rPr>
                <w:rFonts w:ascii="Verdana" w:hAnsi="Verdana"/>
                <w:color w:val="FF0000"/>
                <w:sz w:val="20"/>
                <w:szCs w:val="20"/>
                <w:lang w:val="lt-LT"/>
              </w:rPr>
            </w:pPr>
            <w:r w:rsidRPr="00B43E74">
              <w:rPr>
                <w:rFonts w:ascii="Verdana" w:hAnsi="Verdana"/>
                <w:sz w:val="20"/>
                <w:szCs w:val="20"/>
                <w:lang w:val="lt-LT"/>
              </w:rPr>
              <w:t>Tiekėjas su pasiūlymu turi pateikti siūlomos įrangos gamintojo raštišką patvirtinimą.</w:t>
            </w:r>
          </w:p>
        </w:tc>
        <w:tc>
          <w:tcPr>
            <w:tcW w:w="2834" w:type="dxa"/>
            <w:tcBorders>
              <w:right w:val="single" w:sz="4" w:space="0" w:color="auto"/>
            </w:tcBorders>
            <w:shd w:val="clear" w:color="auto" w:fill="auto"/>
          </w:tcPr>
          <w:p w14:paraId="15AFA4BD" w14:textId="77777777" w:rsidR="00765180" w:rsidRPr="00B43E74" w:rsidRDefault="00765180" w:rsidP="00B8711A">
            <w:pPr>
              <w:jc w:val="both"/>
              <w:rPr>
                <w:rFonts w:ascii="Verdana" w:hAnsi="Verdana"/>
                <w:sz w:val="20"/>
                <w:szCs w:val="20"/>
                <w:lang w:val="lt-LT"/>
              </w:rPr>
            </w:pPr>
            <w:r w:rsidRPr="00B43E74">
              <w:rPr>
                <w:rFonts w:ascii="Verdana" w:hAnsi="Verdana"/>
                <w:i/>
                <w:iCs/>
                <w:snapToGrid w:val="0"/>
                <w:sz w:val="20"/>
                <w:szCs w:val="20"/>
                <w:lang w:val="lt-LT"/>
              </w:rPr>
              <w:t>/įrašyti/</w:t>
            </w:r>
          </w:p>
        </w:tc>
        <w:tc>
          <w:tcPr>
            <w:tcW w:w="2680" w:type="dxa"/>
            <w:tcBorders>
              <w:top w:val="single" w:sz="4" w:space="0" w:color="auto"/>
              <w:left w:val="single" w:sz="4" w:space="0" w:color="auto"/>
              <w:bottom w:val="single" w:sz="4" w:space="0" w:color="auto"/>
              <w:right w:val="single" w:sz="4" w:space="0" w:color="auto"/>
              <w:tl2br w:val="nil"/>
              <w:tr2bl w:val="nil"/>
            </w:tcBorders>
          </w:tcPr>
          <w:p w14:paraId="0E4F9A4A" w14:textId="77777777" w:rsidR="00765180" w:rsidRPr="00B43E74" w:rsidRDefault="00765180" w:rsidP="00B8711A">
            <w:pPr>
              <w:jc w:val="both"/>
              <w:rPr>
                <w:rFonts w:ascii="Verdana" w:eastAsia="Times New Roman" w:hAnsi="Verdana"/>
                <w:i/>
                <w:iCs/>
                <w:sz w:val="20"/>
                <w:szCs w:val="20"/>
                <w:lang w:val="lt-LT"/>
              </w:rPr>
            </w:pPr>
            <w:r w:rsidRPr="00B43E74">
              <w:rPr>
                <w:rFonts w:ascii="Verdana" w:eastAsia="Times New Roman" w:hAnsi="Verdana"/>
                <w:i/>
                <w:iCs/>
                <w:sz w:val="20"/>
                <w:szCs w:val="20"/>
                <w:lang w:val="lt-LT"/>
              </w:rPr>
              <w:t>/privaloma pateikti šio reikalavimo 2) papunktyje nurodytą dokumentą /</w:t>
            </w:r>
          </w:p>
        </w:tc>
      </w:tr>
    </w:tbl>
    <w:p w14:paraId="252C5454" w14:textId="77777777" w:rsidR="00765180" w:rsidRPr="00B87D5A" w:rsidRDefault="00765180" w:rsidP="00B31EE9">
      <w:pPr>
        <w:jc w:val="right"/>
        <w:rPr>
          <w:rFonts w:ascii="Verdana" w:eastAsiaTheme="minorEastAsia" w:hAnsi="Verdana"/>
          <w:sz w:val="20"/>
          <w:szCs w:val="20"/>
          <w:lang w:val="fi-FI" w:eastAsia="en-US"/>
        </w:rPr>
      </w:pPr>
    </w:p>
    <w:p w14:paraId="24AF7243" w14:textId="77777777" w:rsidR="00B31EE9" w:rsidRPr="00B43E74" w:rsidRDefault="00B31EE9" w:rsidP="00B31EE9">
      <w:pPr>
        <w:pStyle w:val="ListParagraph"/>
        <w:ind w:left="0"/>
        <w:rPr>
          <w:rFonts w:ascii="Verdana" w:hAnsi="Verdana"/>
          <w:sz w:val="20"/>
          <w:szCs w:val="20"/>
          <w:lang w:val="lt-LT"/>
        </w:rPr>
      </w:pPr>
    </w:p>
    <w:p w14:paraId="79BF3BE5" w14:textId="77777777" w:rsidR="00B31EE9" w:rsidRPr="00135333" w:rsidRDefault="00B31EE9" w:rsidP="00B31EE9">
      <w:pPr>
        <w:pStyle w:val="ListParagraph"/>
        <w:numPr>
          <w:ilvl w:val="0"/>
          <w:numId w:val="1"/>
        </w:numPr>
        <w:rPr>
          <w:rFonts w:ascii="Verdana" w:hAnsi="Verdana"/>
          <w:b/>
          <w:bCs/>
          <w:sz w:val="20"/>
          <w:szCs w:val="20"/>
          <w:lang w:val="lt-LT"/>
        </w:rPr>
      </w:pPr>
      <w:r w:rsidRPr="00135333">
        <w:rPr>
          <w:rFonts w:ascii="Verdana" w:hAnsi="Verdana"/>
          <w:b/>
          <w:bCs/>
          <w:sz w:val="20"/>
          <w:szCs w:val="20"/>
          <w:lang w:val="lt-LT"/>
        </w:rPr>
        <w:t>ŽALIEJI REIKALAVIMAI</w:t>
      </w:r>
    </w:p>
    <w:p w14:paraId="3869ABF0" w14:textId="77777777" w:rsidR="00B31EE9" w:rsidRPr="00B43E74" w:rsidRDefault="00B31EE9" w:rsidP="00B31EE9">
      <w:pPr>
        <w:pStyle w:val="ListParagraph"/>
        <w:numPr>
          <w:ilvl w:val="1"/>
          <w:numId w:val="1"/>
        </w:numPr>
        <w:rPr>
          <w:rFonts w:ascii="Verdana" w:hAnsi="Verdana"/>
          <w:sz w:val="20"/>
          <w:szCs w:val="20"/>
          <w:lang w:val="lt-LT"/>
        </w:rPr>
      </w:pPr>
      <w:r w:rsidRPr="00B43E74">
        <w:rPr>
          <w:rFonts w:ascii="Verdana" w:hAnsi="Verdana"/>
          <w:sz w:val="20"/>
          <w:szCs w:val="20"/>
          <w:lang w:val="lt-LT"/>
        </w:rPr>
        <w:t xml:space="preserve">Perkančioji organizacija taiko aplinkos apsaugos kriterijus nurodytus 2 lentelėje šiame pirkime įsigyjamoms prekėms: </w:t>
      </w:r>
    </w:p>
    <w:p w14:paraId="48F5F7AB" w14:textId="77777777" w:rsidR="00B31EE9" w:rsidRPr="00B43E74" w:rsidRDefault="00B31EE9" w:rsidP="00B31EE9">
      <w:pPr>
        <w:pStyle w:val="NormalWeb"/>
        <w:spacing w:before="120" w:beforeAutospacing="0" w:after="0" w:afterAutospacing="0" w:line="240" w:lineRule="atLeast"/>
        <w:ind w:left="720"/>
        <w:jc w:val="right"/>
        <w:rPr>
          <w:rFonts w:ascii="Verdana" w:hAnsi="Verdana"/>
          <w:sz w:val="20"/>
          <w:szCs w:val="20"/>
          <w:lang w:val="lt-LT"/>
        </w:rPr>
      </w:pPr>
      <w:r w:rsidRPr="00B43E74">
        <w:rPr>
          <w:rFonts w:ascii="Verdana" w:hAnsi="Verdana"/>
          <w:sz w:val="20"/>
          <w:szCs w:val="20"/>
          <w:lang w:val="lt-LT"/>
        </w:rPr>
        <w:t>2 lentelė. 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B31EE9" w:rsidRPr="00B43E74" w14:paraId="49D0F7F1" w14:textId="77777777" w:rsidTr="001117EE">
        <w:trPr>
          <w:jc w:val="center"/>
        </w:trPr>
        <w:tc>
          <w:tcPr>
            <w:tcW w:w="570" w:type="dxa"/>
            <w:vAlign w:val="center"/>
          </w:tcPr>
          <w:p w14:paraId="1F2B4107" w14:textId="77777777" w:rsidR="00B31EE9" w:rsidRPr="00B43E74" w:rsidRDefault="00B31EE9" w:rsidP="001117EE">
            <w:pPr>
              <w:pStyle w:val="NormalWeb"/>
              <w:spacing w:before="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lastRenderedPageBreak/>
              <w:t>Eil. Nr.</w:t>
            </w:r>
          </w:p>
        </w:tc>
        <w:tc>
          <w:tcPr>
            <w:tcW w:w="4006" w:type="dxa"/>
            <w:vAlign w:val="center"/>
          </w:tcPr>
          <w:p w14:paraId="596A5E37" w14:textId="77777777" w:rsidR="00B31EE9" w:rsidRPr="00B43E74" w:rsidRDefault="00B31EE9" w:rsidP="001117EE">
            <w:pPr>
              <w:pStyle w:val="NormalWeb"/>
              <w:spacing w:before="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t>Aplinkos apsaugos kriterijai</w:t>
            </w:r>
          </w:p>
        </w:tc>
        <w:tc>
          <w:tcPr>
            <w:tcW w:w="2184" w:type="dxa"/>
          </w:tcPr>
          <w:p w14:paraId="60AD586B" w14:textId="77777777" w:rsidR="00B31EE9" w:rsidRPr="00B43E74" w:rsidRDefault="00B31EE9" w:rsidP="001117EE">
            <w:pPr>
              <w:pStyle w:val="NormalWeb"/>
              <w:spacing w:before="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t>Techninės specifikacijos reikalavimai, kuriems taikomi aplinkos apsaugos kriterijus</w:t>
            </w:r>
          </w:p>
        </w:tc>
        <w:tc>
          <w:tcPr>
            <w:tcW w:w="2862" w:type="dxa"/>
            <w:vAlign w:val="center"/>
          </w:tcPr>
          <w:p w14:paraId="7525E50C" w14:textId="77777777" w:rsidR="00B31EE9" w:rsidRPr="00B43E74" w:rsidRDefault="00B31EE9" w:rsidP="001117EE">
            <w:pPr>
              <w:pStyle w:val="NormalWeb"/>
              <w:spacing w:before="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t>Atitiktį kriterijams įrodantys dokumentai</w:t>
            </w:r>
          </w:p>
        </w:tc>
      </w:tr>
      <w:tr w:rsidR="00B31EE9" w:rsidRPr="00B43E74" w14:paraId="5FF6D955" w14:textId="77777777" w:rsidTr="001117EE">
        <w:trPr>
          <w:jc w:val="center"/>
        </w:trPr>
        <w:tc>
          <w:tcPr>
            <w:tcW w:w="570" w:type="dxa"/>
            <w:vAlign w:val="center"/>
          </w:tcPr>
          <w:p w14:paraId="70C4B8AE" w14:textId="77777777" w:rsidR="00B31EE9" w:rsidRPr="00B43E74" w:rsidRDefault="00B31EE9" w:rsidP="001117EE">
            <w:pPr>
              <w:pStyle w:val="NormalWeb"/>
              <w:spacing w:before="12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t>1.</w:t>
            </w:r>
          </w:p>
        </w:tc>
        <w:tc>
          <w:tcPr>
            <w:tcW w:w="4006" w:type="dxa"/>
            <w:vAlign w:val="center"/>
          </w:tcPr>
          <w:p w14:paraId="45EDED23" w14:textId="77777777" w:rsidR="00B31EE9" w:rsidRPr="00B43E74" w:rsidRDefault="00B31EE9" w:rsidP="001117EE">
            <w:pPr>
              <w:pStyle w:val="NormalWeb"/>
              <w:spacing w:before="0" w:beforeAutospacing="0" w:after="120" w:afterAutospacing="0" w:line="240" w:lineRule="atLeast"/>
              <w:jc w:val="both"/>
              <w:rPr>
                <w:rFonts w:ascii="Verdana" w:hAnsi="Verdana"/>
                <w:sz w:val="20"/>
                <w:szCs w:val="20"/>
                <w:lang w:val="lt-LT"/>
              </w:rPr>
            </w:pPr>
            <w:r w:rsidRPr="00B43E74">
              <w:rPr>
                <w:rFonts w:ascii="Verdana" w:hAnsi="Verdana"/>
                <w:sz w:val="20"/>
                <w:szCs w:val="20"/>
                <w:lang w:val="lt-LT"/>
              </w:rPr>
              <w:t>Vykdant Sutartį taikomi aplinkos apsaugos kriterijai: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(toliau – Tvarkos aprašas) 2 priedo 1 skyriuje nustatytus minimalius aplinkos apsaugos kriterijus, patvirtintus Lietuvos Respublikos aplinkos ministro 2011 m. birželio 28 d. įsakymu Nr. D1-508</w:t>
            </w:r>
          </w:p>
        </w:tc>
        <w:tc>
          <w:tcPr>
            <w:tcW w:w="2184" w:type="dxa"/>
            <w:vAlign w:val="center"/>
          </w:tcPr>
          <w:p w14:paraId="53AF3034" w14:textId="77777777" w:rsidR="00B31EE9" w:rsidRPr="00B43E74" w:rsidRDefault="00B31EE9" w:rsidP="001117EE">
            <w:pPr>
              <w:pStyle w:val="NormalWeb"/>
              <w:spacing w:before="0" w:beforeAutospacing="0" w:after="0" w:afterAutospacing="0" w:line="240" w:lineRule="atLeast"/>
              <w:jc w:val="center"/>
              <w:rPr>
                <w:rFonts w:ascii="Verdana" w:hAnsi="Verdana"/>
                <w:color w:val="000000"/>
                <w:sz w:val="20"/>
                <w:szCs w:val="20"/>
                <w:lang w:val="lt-LT"/>
              </w:rPr>
            </w:pPr>
            <w:r w:rsidRPr="00B43E74">
              <w:rPr>
                <w:rFonts w:ascii="Verdana" w:hAnsi="Verdana"/>
                <w:sz w:val="20"/>
                <w:szCs w:val="20"/>
                <w:lang w:val="lt-LT"/>
              </w:rPr>
              <w:t>/1 lentelės 2 eilutės reikalavimai/</w:t>
            </w:r>
          </w:p>
        </w:tc>
        <w:tc>
          <w:tcPr>
            <w:tcW w:w="2862" w:type="dxa"/>
            <w:vAlign w:val="center"/>
          </w:tcPr>
          <w:p w14:paraId="02D92897" w14:textId="77777777" w:rsidR="00B31EE9" w:rsidRPr="00B43E74" w:rsidRDefault="00B31EE9" w:rsidP="001117EE">
            <w:pPr>
              <w:pStyle w:val="NormalWeb"/>
              <w:spacing w:before="0" w:beforeAutospacing="0" w:after="0" w:afterAutospacing="0" w:line="240" w:lineRule="atLeast"/>
              <w:rPr>
                <w:rFonts w:ascii="Verdana" w:hAnsi="Verdana"/>
                <w:color w:val="000000"/>
                <w:sz w:val="20"/>
                <w:szCs w:val="20"/>
                <w:lang w:val="lt-LT"/>
              </w:rPr>
            </w:pPr>
            <w:r w:rsidRPr="00B43E74">
              <w:rPr>
                <w:rFonts w:ascii="Verdana" w:hAnsi="Verdana"/>
                <w:color w:val="000000"/>
                <w:sz w:val="20"/>
                <w:szCs w:val="20"/>
                <w:lang w:val="lt-LT"/>
              </w:rPr>
              <w:t>Dokumentų pateikti nereikalaujama</w:t>
            </w:r>
          </w:p>
        </w:tc>
      </w:tr>
      <w:tr w:rsidR="00B31EE9" w:rsidRPr="00B43E74" w14:paraId="7A0415AF" w14:textId="77777777" w:rsidTr="001117EE">
        <w:trPr>
          <w:jc w:val="center"/>
        </w:trPr>
        <w:tc>
          <w:tcPr>
            <w:tcW w:w="570" w:type="dxa"/>
            <w:vAlign w:val="center"/>
          </w:tcPr>
          <w:p w14:paraId="1BFC7FBB" w14:textId="77777777" w:rsidR="00B31EE9" w:rsidRPr="00B43E74" w:rsidRDefault="00B31EE9" w:rsidP="001117EE">
            <w:pPr>
              <w:pStyle w:val="NormalWeb"/>
              <w:spacing w:before="12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t>2.</w:t>
            </w:r>
          </w:p>
        </w:tc>
        <w:tc>
          <w:tcPr>
            <w:tcW w:w="4006" w:type="dxa"/>
            <w:vAlign w:val="center"/>
          </w:tcPr>
          <w:p w14:paraId="40BCD7FD" w14:textId="77777777" w:rsidR="00B31EE9" w:rsidRPr="00B43E74" w:rsidRDefault="00B31EE9" w:rsidP="001117EE">
            <w:pPr>
              <w:pStyle w:val="NormalWeb"/>
              <w:spacing w:before="0" w:beforeAutospacing="0" w:after="120" w:afterAutospacing="0" w:line="240" w:lineRule="atLeast"/>
              <w:jc w:val="both"/>
              <w:rPr>
                <w:rFonts w:ascii="Verdana" w:hAnsi="Verdana"/>
                <w:sz w:val="20"/>
                <w:szCs w:val="20"/>
                <w:lang w:val="lt-LT"/>
              </w:rPr>
            </w:pPr>
            <w:r w:rsidRPr="00B43E74">
              <w:rPr>
                <w:rFonts w:ascii="Verdana" w:hAnsi="Verdana"/>
                <w:sz w:val="20"/>
                <w:szCs w:val="20"/>
                <w:lang w:val="lt-LT"/>
              </w:rPr>
              <w:t>Šio pirkimo objektas yra licencija, todėl vadovaujantis Tvarkos aprašo 4.4.3 punktu pirkimas laikomas žaliuoju.</w:t>
            </w:r>
          </w:p>
        </w:tc>
        <w:tc>
          <w:tcPr>
            <w:tcW w:w="2184" w:type="dxa"/>
            <w:vAlign w:val="center"/>
          </w:tcPr>
          <w:p w14:paraId="27B6E173" w14:textId="77777777" w:rsidR="00B31EE9" w:rsidRPr="00B43E74" w:rsidRDefault="00B31EE9" w:rsidP="001117EE">
            <w:pPr>
              <w:pStyle w:val="NormalWeb"/>
              <w:spacing w:before="0" w:beforeAutospacing="0" w:after="0" w:afterAutospacing="0" w:line="240" w:lineRule="atLeast"/>
              <w:jc w:val="center"/>
              <w:rPr>
                <w:rFonts w:ascii="Verdana" w:hAnsi="Verdana"/>
                <w:sz w:val="20"/>
                <w:szCs w:val="20"/>
                <w:lang w:val="lt-LT"/>
              </w:rPr>
            </w:pPr>
            <w:r w:rsidRPr="00B43E74">
              <w:rPr>
                <w:rFonts w:ascii="Verdana" w:hAnsi="Verdana"/>
                <w:sz w:val="20"/>
                <w:szCs w:val="20"/>
                <w:lang w:val="lt-LT"/>
              </w:rPr>
              <w:t>/1 lentelė/</w:t>
            </w:r>
          </w:p>
        </w:tc>
        <w:tc>
          <w:tcPr>
            <w:tcW w:w="2862" w:type="dxa"/>
            <w:vAlign w:val="center"/>
          </w:tcPr>
          <w:p w14:paraId="2DF3B8C4" w14:textId="77777777" w:rsidR="00B31EE9" w:rsidRPr="00B43E74" w:rsidRDefault="00B31EE9" w:rsidP="001117EE">
            <w:pPr>
              <w:pStyle w:val="NormalWeb"/>
              <w:spacing w:before="0" w:beforeAutospacing="0" w:after="0" w:afterAutospacing="0" w:line="240" w:lineRule="atLeast"/>
              <w:rPr>
                <w:rFonts w:ascii="Verdana" w:hAnsi="Verdana"/>
                <w:color w:val="000000"/>
                <w:sz w:val="20"/>
                <w:szCs w:val="20"/>
                <w:lang w:val="lt-LT"/>
              </w:rPr>
            </w:pPr>
            <w:r w:rsidRPr="00B43E74">
              <w:rPr>
                <w:rFonts w:ascii="Verdana" w:hAnsi="Verdana"/>
                <w:color w:val="000000"/>
                <w:sz w:val="20"/>
                <w:szCs w:val="20"/>
                <w:lang w:val="lt-LT"/>
              </w:rPr>
              <w:t>Dokumentų pateikti nereikalaujama</w:t>
            </w:r>
          </w:p>
        </w:tc>
      </w:tr>
    </w:tbl>
    <w:p w14:paraId="09C0DCA7" w14:textId="77777777" w:rsidR="00B31EE9" w:rsidRPr="00B43E74" w:rsidRDefault="00B31EE9" w:rsidP="00B31EE9">
      <w:pPr>
        <w:ind w:left="720"/>
        <w:rPr>
          <w:rFonts w:ascii="Verdana" w:hAnsi="Verdana"/>
          <w:sz w:val="20"/>
          <w:szCs w:val="20"/>
          <w:lang w:val="lt-LT"/>
        </w:rPr>
      </w:pPr>
    </w:p>
    <w:p w14:paraId="46DDB2BB" w14:textId="77777777" w:rsidR="00B31EE9" w:rsidRPr="00135333" w:rsidRDefault="00B31EE9" w:rsidP="00B31EE9">
      <w:pPr>
        <w:pStyle w:val="ListParagraph"/>
        <w:numPr>
          <w:ilvl w:val="0"/>
          <w:numId w:val="1"/>
        </w:numPr>
        <w:rPr>
          <w:rFonts w:ascii="Verdana" w:hAnsi="Verdana"/>
          <w:b/>
          <w:bCs/>
          <w:sz w:val="20"/>
          <w:szCs w:val="20"/>
          <w:lang w:val="lt-LT"/>
        </w:rPr>
      </w:pPr>
      <w:r w:rsidRPr="00135333">
        <w:rPr>
          <w:rFonts w:ascii="Verdana" w:hAnsi="Verdana"/>
          <w:b/>
          <w:bCs/>
          <w:sz w:val="20"/>
          <w:szCs w:val="20"/>
          <w:lang w:val="lt-LT"/>
        </w:rPr>
        <w:t xml:space="preserve">NACIONALINIO SAUGUMO REIKALAVIMAI </w:t>
      </w:r>
    </w:p>
    <w:p w14:paraId="421E9563" w14:textId="37FC6765" w:rsidR="00B31EE9" w:rsidRPr="00B43E74" w:rsidRDefault="00B31EE9" w:rsidP="00B31EE9">
      <w:pPr>
        <w:pStyle w:val="ListParagraph"/>
        <w:numPr>
          <w:ilvl w:val="1"/>
          <w:numId w:val="1"/>
        </w:numPr>
        <w:jc w:val="both"/>
        <w:rPr>
          <w:rFonts w:ascii="Verdana" w:hAnsi="Verdana"/>
          <w:sz w:val="20"/>
          <w:szCs w:val="20"/>
          <w:lang w:val="lt-LT"/>
        </w:rPr>
      </w:pPr>
      <w:r w:rsidRPr="00B43E74">
        <w:rPr>
          <w:rFonts w:ascii="Verdana" w:hAnsi="Verdana"/>
          <w:sz w:val="20"/>
          <w:szCs w:val="20"/>
          <w:lang w:val="lt-LT"/>
        </w:rPr>
        <w:t xml:space="preserve">Šis pirkimas laikomas susijusiu su nacionaliniu saugumu, todėl šio pirkimo atžvilgiu keliami specialieji reikalavimai tiekėjo siūlomoms prekėms, nurodytoms 1 lentelėje, siekiant užtikrinti šalies nacionalinio saugumo interesus. Nacionalinio saugumo reikalavimai prekėms ir susijusioms paslaugoms nurodyti </w:t>
      </w:r>
      <w:r w:rsidRPr="00B43E74">
        <w:rPr>
          <w:rStyle w:val="normaltextrun"/>
          <w:rFonts w:ascii="Verdana" w:hAnsi="Verdana"/>
          <w:color w:val="000000"/>
          <w:sz w:val="20"/>
          <w:szCs w:val="20"/>
          <w:shd w:val="clear" w:color="auto" w:fill="FFFFFF"/>
          <w:lang w:val="lt-LT"/>
        </w:rPr>
        <w:t xml:space="preserve">Specialiųjų pirkimo sąlygų </w:t>
      </w:r>
      <w:r w:rsidR="00135333">
        <w:rPr>
          <w:rStyle w:val="normaltextrun"/>
          <w:rFonts w:ascii="Verdana" w:hAnsi="Verdana"/>
          <w:color w:val="000000"/>
          <w:sz w:val="20"/>
          <w:szCs w:val="20"/>
          <w:shd w:val="clear" w:color="auto" w:fill="FFFFFF"/>
          <w:lang w:val="lt-LT"/>
        </w:rPr>
        <w:t>4</w:t>
      </w:r>
      <w:r w:rsidRPr="00B43E74">
        <w:rPr>
          <w:rStyle w:val="normaltextrun"/>
          <w:rFonts w:ascii="Verdana" w:hAnsi="Verdana"/>
          <w:color w:val="000000"/>
          <w:sz w:val="20"/>
          <w:szCs w:val="20"/>
          <w:shd w:val="clear" w:color="auto" w:fill="FFFFFF"/>
          <w:lang w:val="lt-LT"/>
        </w:rPr>
        <w:t xml:space="preserve"> skyriuje</w:t>
      </w:r>
      <w:r w:rsidRPr="00B43E74">
        <w:rPr>
          <w:rFonts w:ascii="Verdana" w:hAnsi="Verdana"/>
          <w:sz w:val="20"/>
          <w:szCs w:val="20"/>
          <w:lang w:val="lt-LT"/>
        </w:rPr>
        <w:t>.</w:t>
      </w:r>
    </w:p>
    <w:p w14:paraId="2A55CE8F" w14:textId="77777777" w:rsidR="00B31EE9" w:rsidRPr="00B43E74" w:rsidRDefault="00B31EE9" w:rsidP="00B31EE9">
      <w:pPr>
        <w:jc w:val="center"/>
        <w:rPr>
          <w:rFonts w:ascii="Verdana" w:hAnsi="Verdana"/>
          <w:sz w:val="20"/>
          <w:szCs w:val="20"/>
          <w:lang w:val="lt-LT"/>
        </w:rPr>
      </w:pPr>
      <w:r w:rsidRPr="00B43E74">
        <w:rPr>
          <w:rFonts w:ascii="Verdana" w:hAnsi="Verdana"/>
          <w:sz w:val="20"/>
          <w:szCs w:val="20"/>
          <w:lang w:val="lt-LT"/>
        </w:rPr>
        <w:t>_________________</w:t>
      </w:r>
    </w:p>
    <w:p w14:paraId="38E20463" w14:textId="77777777" w:rsidR="00B31EE9" w:rsidRPr="00B43E74" w:rsidRDefault="00B31EE9" w:rsidP="00B31EE9">
      <w:pPr>
        <w:rPr>
          <w:rFonts w:ascii="Verdana" w:hAnsi="Verdana"/>
          <w:sz w:val="20"/>
          <w:szCs w:val="20"/>
          <w:lang w:val="lt-LT"/>
        </w:rPr>
      </w:pPr>
    </w:p>
    <w:p w14:paraId="443BEEEB" w14:textId="77777777" w:rsidR="00EB0DCB" w:rsidRPr="00B43E74" w:rsidRDefault="00EB0DCB">
      <w:pPr>
        <w:rPr>
          <w:rFonts w:ascii="Verdana" w:hAnsi="Verdana"/>
          <w:sz w:val="20"/>
          <w:szCs w:val="20"/>
          <w:lang w:val="lt-LT"/>
        </w:rPr>
      </w:pPr>
    </w:p>
    <w:sectPr w:rsidR="00EB0DCB" w:rsidRPr="00B43E74" w:rsidSect="00B31EE9">
      <w:headerReference w:type="default" r:id="rId9"/>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0C36" w14:textId="77777777" w:rsidR="00D8213D" w:rsidRDefault="00D8213D">
      <w:r>
        <w:separator/>
      </w:r>
    </w:p>
  </w:endnote>
  <w:endnote w:type="continuationSeparator" w:id="0">
    <w:p w14:paraId="3849D2B7" w14:textId="77777777" w:rsidR="00D8213D" w:rsidRDefault="00D8213D">
      <w:r>
        <w:continuationSeparator/>
      </w:r>
    </w:p>
  </w:endnote>
  <w:endnote w:type="continuationNotice" w:id="1">
    <w:p w14:paraId="5343C9C7" w14:textId="77777777" w:rsidR="00D8213D" w:rsidRDefault="00D82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9DB4" w14:textId="77777777" w:rsidR="00D8213D" w:rsidRDefault="00D8213D">
      <w:r>
        <w:separator/>
      </w:r>
    </w:p>
  </w:footnote>
  <w:footnote w:type="continuationSeparator" w:id="0">
    <w:p w14:paraId="7B6A4A71" w14:textId="77777777" w:rsidR="00D8213D" w:rsidRDefault="00D8213D">
      <w:r>
        <w:continuationSeparator/>
      </w:r>
    </w:p>
  </w:footnote>
  <w:footnote w:type="continuationNotice" w:id="1">
    <w:p w14:paraId="79DFEF4B" w14:textId="77777777" w:rsidR="00D8213D" w:rsidRDefault="00D82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3E7347BB" w14:textId="77777777" w:rsidR="00B67F31" w:rsidRDefault="00630C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939C9C" w14:textId="77777777" w:rsidR="00B67F31" w:rsidRDefault="00B67F31"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5741183C"/>
    <w:multiLevelType w:val="hybridMultilevel"/>
    <w:tmpl w:val="7D56B9D2"/>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5FF0373E"/>
    <w:multiLevelType w:val="multilevel"/>
    <w:tmpl w:val="66FE7C6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24329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920911">
    <w:abstractNumId w:val="1"/>
  </w:num>
  <w:num w:numId="3" w16cid:durableId="1148327771">
    <w:abstractNumId w:val="3"/>
  </w:num>
  <w:num w:numId="4" w16cid:durableId="271204073">
    <w:abstractNumId w:val="0"/>
  </w:num>
  <w:num w:numId="5" w16cid:durableId="2103647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E9"/>
    <w:rsid w:val="000035F1"/>
    <w:rsid w:val="00015BB2"/>
    <w:rsid w:val="00034957"/>
    <w:rsid w:val="000423E3"/>
    <w:rsid w:val="00076091"/>
    <w:rsid w:val="000E0FAA"/>
    <w:rsid w:val="000E7E32"/>
    <w:rsid w:val="00111FA5"/>
    <w:rsid w:val="0011452E"/>
    <w:rsid w:val="00135333"/>
    <w:rsid w:val="00135F64"/>
    <w:rsid w:val="00141CC4"/>
    <w:rsid w:val="00147CEC"/>
    <w:rsid w:val="00184F69"/>
    <w:rsid w:val="001A7D29"/>
    <w:rsid w:val="001B6745"/>
    <w:rsid w:val="001E7138"/>
    <w:rsid w:val="001F4C40"/>
    <w:rsid w:val="00207E2A"/>
    <w:rsid w:val="0025770B"/>
    <w:rsid w:val="0026311D"/>
    <w:rsid w:val="00276936"/>
    <w:rsid w:val="002838B1"/>
    <w:rsid w:val="002C3CBF"/>
    <w:rsid w:val="002F3B7A"/>
    <w:rsid w:val="00321C01"/>
    <w:rsid w:val="00340DA3"/>
    <w:rsid w:val="00357C81"/>
    <w:rsid w:val="0037291E"/>
    <w:rsid w:val="00387421"/>
    <w:rsid w:val="003933A8"/>
    <w:rsid w:val="003C1B05"/>
    <w:rsid w:val="003D100A"/>
    <w:rsid w:val="003E3171"/>
    <w:rsid w:val="003E7A32"/>
    <w:rsid w:val="003F45E3"/>
    <w:rsid w:val="003F7DFB"/>
    <w:rsid w:val="0041365D"/>
    <w:rsid w:val="004139A3"/>
    <w:rsid w:val="00451B5C"/>
    <w:rsid w:val="00473B8A"/>
    <w:rsid w:val="00474FE4"/>
    <w:rsid w:val="00480746"/>
    <w:rsid w:val="00480F62"/>
    <w:rsid w:val="004B1E57"/>
    <w:rsid w:val="004C03A3"/>
    <w:rsid w:val="004C6D16"/>
    <w:rsid w:val="005179D1"/>
    <w:rsid w:val="0053465B"/>
    <w:rsid w:val="00535B6B"/>
    <w:rsid w:val="0054226B"/>
    <w:rsid w:val="00542CB4"/>
    <w:rsid w:val="005443A1"/>
    <w:rsid w:val="0055435F"/>
    <w:rsid w:val="00555E14"/>
    <w:rsid w:val="005575E1"/>
    <w:rsid w:val="00587AAC"/>
    <w:rsid w:val="005C429D"/>
    <w:rsid w:val="005E3F88"/>
    <w:rsid w:val="005E42C6"/>
    <w:rsid w:val="005E7356"/>
    <w:rsid w:val="00630C12"/>
    <w:rsid w:val="006B3471"/>
    <w:rsid w:val="006E0FE4"/>
    <w:rsid w:val="006F0802"/>
    <w:rsid w:val="00701B74"/>
    <w:rsid w:val="00720244"/>
    <w:rsid w:val="007249BB"/>
    <w:rsid w:val="00765180"/>
    <w:rsid w:val="00777ED5"/>
    <w:rsid w:val="007F4560"/>
    <w:rsid w:val="00840886"/>
    <w:rsid w:val="008912FC"/>
    <w:rsid w:val="008A001A"/>
    <w:rsid w:val="00992C64"/>
    <w:rsid w:val="00A52ABF"/>
    <w:rsid w:val="00A6308A"/>
    <w:rsid w:val="00A70CD0"/>
    <w:rsid w:val="00A733D3"/>
    <w:rsid w:val="00A8021F"/>
    <w:rsid w:val="00A82070"/>
    <w:rsid w:val="00B23771"/>
    <w:rsid w:val="00B31EE9"/>
    <w:rsid w:val="00B43E74"/>
    <w:rsid w:val="00B50B6E"/>
    <w:rsid w:val="00B60308"/>
    <w:rsid w:val="00B67F31"/>
    <w:rsid w:val="00B7526C"/>
    <w:rsid w:val="00B87D5A"/>
    <w:rsid w:val="00B9749C"/>
    <w:rsid w:val="00BA0941"/>
    <w:rsid w:val="00BB0F9F"/>
    <w:rsid w:val="00BC5C17"/>
    <w:rsid w:val="00BF3EB9"/>
    <w:rsid w:val="00C54C2D"/>
    <w:rsid w:val="00C75B3C"/>
    <w:rsid w:val="00C7716F"/>
    <w:rsid w:val="00C82EB0"/>
    <w:rsid w:val="00CA00BC"/>
    <w:rsid w:val="00D254A6"/>
    <w:rsid w:val="00D376CC"/>
    <w:rsid w:val="00D528D1"/>
    <w:rsid w:val="00D52D37"/>
    <w:rsid w:val="00D6335A"/>
    <w:rsid w:val="00D8213D"/>
    <w:rsid w:val="00DB5B8A"/>
    <w:rsid w:val="00DB7371"/>
    <w:rsid w:val="00DC0FA9"/>
    <w:rsid w:val="00DD2B01"/>
    <w:rsid w:val="00E04CB2"/>
    <w:rsid w:val="00E07FF3"/>
    <w:rsid w:val="00E11027"/>
    <w:rsid w:val="00E266B0"/>
    <w:rsid w:val="00E55AF5"/>
    <w:rsid w:val="00E907A5"/>
    <w:rsid w:val="00EB0DCB"/>
    <w:rsid w:val="00EB4BE3"/>
    <w:rsid w:val="00EC3BBF"/>
    <w:rsid w:val="00EC59A8"/>
    <w:rsid w:val="00ED21C5"/>
    <w:rsid w:val="00F12529"/>
    <w:rsid w:val="00F1683B"/>
    <w:rsid w:val="00F314EC"/>
    <w:rsid w:val="00F8215A"/>
    <w:rsid w:val="00FC1F9D"/>
    <w:rsid w:val="00FC7AB8"/>
    <w:rsid w:val="00FF2D25"/>
    <w:rsid w:val="00FF2ED7"/>
    <w:rsid w:val="1A59E5D2"/>
    <w:rsid w:val="1B402456"/>
    <w:rsid w:val="2DFC0364"/>
    <w:rsid w:val="5D7B96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0C1A"/>
  <w15:chartTrackingRefBased/>
  <w15:docId w15:val="{359A8D0C-33F2-6240-9ACD-32CD56F2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E9"/>
    <w:rPr>
      <w:rFonts w:ascii="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B31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E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EE9"/>
    <w:rPr>
      <w:rFonts w:eastAsiaTheme="majorEastAsia" w:cstheme="majorBidi"/>
      <w:color w:val="272727" w:themeColor="text1" w:themeTint="D8"/>
    </w:rPr>
  </w:style>
  <w:style w:type="paragraph" w:styleId="Title">
    <w:name w:val="Title"/>
    <w:basedOn w:val="Normal"/>
    <w:next w:val="Normal"/>
    <w:link w:val="TitleChar"/>
    <w:uiPriority w:val="10"/>
    <w:qFormat/>
    <w:rsid w:val="00B31E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EE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31EE9"/>
    <w:pPr>
      <w:ind w:left="720"/>
      <w:contextualSpacing/>
    </w:pPr>
  </w:style>
  <w:style w:type="character" w:styleId="IntenseEmphasis">
    <w:name w:val="Intense Emphasis"/>
    <w:basedOn w:val="DefaultParagraphFont"/>
    <w:uiPriority w:val="21"/>
    <w:qFormat/>
    <w:rsid w:val="00B31EE9"/>
    <w:rPr>
      <w:i/>
      <w:iCs/>
      <w:color w:val="0F4761" w:themeColor="accent1" w:themeShade="BF"/>
    </w:rPr>
  </w:style>
  <w:style w:type="paragraph" w:styleId="IntenseQuote">
    <w:name w:val="Intense Quote"/>
    <w:basedOn w:val="Normal"/>
    <w:next w:val="Normal"/>
    <w:link w:val="IntenseQuoteChar"/>
    <w:uiPriority w:val="30"/>
    <w:qFormat/>
    <w:rsid w:val="00B31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EE9"/>
    <w:rPr>
      <w:i/>
      <w:iCs/>
      <w:color w:val="0F4761" w:themeColor="accent1" w:themeShade="BF"/>
    </w:rPr>
  </w:style>
  <w:style w:type="character" w:styleId="IntenseReference">
    <w:name w:val="Intense Reference"/>
    <w:basedOn w:val="DefaultParagraphFont"/>
    <w:uiPriority w:val="32"/>
    <w:qFormat/>
    <w:rsid w:val="00B31EE9"/>
    <w:rPr>
      <w:b/>
      <w:bCs/>
      <w:smallCaps/>
      <w:color w:val="0F4761" w:themeColor="accent1" w:themeShade="BF"/>
      <w:spacing w:val="5"/>
    </w:rPr>
  </w:style>
  <w:style w:type="paragraph" w:styleId="BodyText">
    <w:name w:val="Body Text"/>
    <w:basedOn w:val="Normal"/>
    <w:link w:val="BodyTextChar"/>
    <w:uiPriority w:val="99"/>
    <w:rsid w:val="00B31EE9"/>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B31EE9"/>
    <w:rPr>
      <w:rFonts w:ascii="Calibri" w:eastAsia="Calibri" w:hAnsi="Calibri" w:cs="font238"/>
      <w:kern w:val="1"/>
      <w:szCs w:val="22"/>
      <w:lang w:val="lt-LT" w:eastAsia="ar-SA"/>
      <w14:ligatures w14:val="none"/>
    </w:rPr>
  </w:style>
  <w:style w:type="paragraph" w:styleId="NormalWeb">
    <w:name w:val="Normal (Web)"/>
    <w:basedOn w:val="Normal"/>
    <w:uiPriority w:val="99"/>
    <w:unhideWhenUsed/>
    <w:rsid w:val="00B31EE9"/>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31EE9"/>
  </w:style>
  <w:style w:type="paragraph" w:styleId="Header">
    <w:name w:val="header"/>
    <w:basedOn w:val="Normal"/>
    <w:link w:val="HeaderChar"/>
    <w:uiPriority w:val="99"/>
    <w:unhideWhenUsed/>
    <w:rsid w:val="00B31EE9"/>
    <w:pPr>
      <w:tabs>
        <w:tab w:val="center" w:pos="4819"/>
        <w:tab w:val="right" w:pos="9638"/>
      </w:tabs>
    </w:pPr>
  </w:style>
  <w:style w:type="character" w:customStyle="1" w:styleId="HeaderChar">
    <w:name w:val="Header Char"/>
    <w:basedOn w:val="DefaultParagraphFont"/>
    <w:link w:val="Header"/>
    <w:uiPriority w:val="99"/>
    <w:rsid w:val="00B31EE9"/>
    <w:rPr>
      <w:rFonts w:ascii="Times New Roman" w:hAnsi="Times New Roman" w:cs="Times New Roman"/>
      <w:kern w:val="0"/>
      <w:lang w:val="en-GB" w:eastAsia="en-GB"/>
      <w14:ligatures w14:val="none"/>
    </w:rPr>
  </w:style>
  <w:style w:type="table" w:styleId="TableGrid">
    <w:name w:val="Table Grid"/>
    <w:basedOn w:val="TableNormal"/>
    <w:uiPriority w:val="39"/>
    <w:rsid w:val="00B31EE9"/>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EE9"/>
    <w:rPr>
      <w:color w:val="467886" w:themeColor="hyperlink"/>
      <w:u w:val="single"/>
    </w:rPr>
  </w:style>
  <w:style w:type="character" w:customStyle="1" w:styleId="normaltextrun">
    <w:name w:val="normaltextrun"/>
    <w:basedOn w:val="DefaultParagraphFont"/>
    <w:rsid w:val="00B31EE9"/>
  </w:style>
  <w:style w:type="character" w:styleId="CommentReference">
    <w:name w:val="annotation reference"/>
    <w:basedOn w:val="DefaultParagraphFont"/>
    <w:uiPriority w:val="99"/>
    <w:semiHidden/>
    <w:unhideWhenUsed/>
    <w:rsid w:val="00B43E74"/>
    <w:rPr>
      <w:sz w:val="16"/>
      <w:szCs w:val="16"/>
    </w:rPr>
  </w:style>
  <w:style w:type="paragraph" w:styleId="CommentText">
    <w:name w:val="annotation text"/>
    <w:basedOn w:val="Normal"/>
    <w:link w:val="CommentTextChar"/>
    <w:uiPriority w:val="99"/>
    <w:unhideWhenUsed/>
    <w:rsid w:val="00B43E74"/>
    <w:rPr>
      <w:sz w:val="20"/>
      <w:szCs w:val="20"/>
    </w:rPr>
  </w:style>
  <w:style w:type="character" w:customStyle="1" w:styleId="CommentTextChar">
    <w:name w:val="Comment Text Char"/>
    <w:basedOn w:val="DefaultParagraphFont"/>
    <w:link w:val="CommentText"/>
    <w:uiPriority w:val="99"/>
    <w:rsid w:val="00B43E74"/>
    <w:rPr>
      <w:rFonts w:ascii="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B43E74"/>
    <w:rPr>
      <w:b/>
      <w:bCs/>
    </w:rPr>
  </w:style>
  <w:style w:type="character" w:customStyle="1" w:styleId="CommentSubjectChar">
    <w:name w:val="Comment Subject Char"/>
    <w:basedOn w:val="CommentTextChar"/>
    <w:link w:val="CommentSubject"/>
    <w:uiPriority w:val="99"/>
    <w:semiHidden/>
    <w:rsid w:val="00B43E74"/>
    <w:rPr>
      <w:rFonts w:ascii="Times New Roman" w:hAnsi="Times New Roman" w:cs="Times New Roman"/>
      <w:b/>
      <w:bCs/>
      <w:kern w:val="0"/>
      <w:sz w:val="20"/>
      <w:szCs w:val="20"/>
      <w:lang w:val="en-GB" w:eastAsia="en-GB"/>
      <w14:ligatures w14:val="none"/>
    </w:rPr>
  </w:style>
  <w:style w:type="paragraph" w:styleId="Footer">
    <w:name w:val="footer"/>
    <w:basedOn w:val="Normal"/>
    <w:link w:val="FooterChar"/>
    <w:uiPriority w:val="99"/>
    <w:semiHidden/>
    <w:unhideWhenUsed/>
    <w:rsid w:val="003F45E3"/>
    <w:pPr>
      <w:tabs>
        <w:tab w:val="center" w:pos="4680"/>
        <w:tab w:val="right" w:pos="9360"/>
      </w:tabs>
    </w:pPr>
  </w:style>
  <w:style w:type="character" w:customStyle="1" w:styleId="FooterChar">
    <w:name w:val="Footer Char"/>
    <w:basedOn w:val="DefaultParagraphFont"/>
    <w:link w:val="Footer"/>
    <w:uiPriority w:val="99"/>
    <w:semiHidden/>
    <w:rsid w:val="00D254A6"/>
    <w:rPr>
      <w:rFonts w:ascii="Times New Roman" w:hAnsi="Times New Roman" w:cs="Times New Roman"/>
      <w:kern w:val="0"/>
      <w:lang w:val="en-GB" w:eastAsia="en-GB"/>
      <w14:ligatures w14:val="none"/>
    </w:rPr>
  </w:style>
  <w:style w:type="paragraph" w:styleId="Revision">
    <w:name w:val="Revision"/>
    <w:hidden/>
    <w:uiPriority w:val="99"/>
    <w:semiHidden/>
    <w:rsid w:val="00542CB4"/>
    <w:rPr>
      <w:rFonts w:ascii="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vpp.lt/index.php?option=com_vptpublic&amp;task=sutartys&amp;Itemid=109&amp;filter_show=1&amp;filter_limit=10&amp;vpt_unite=&amp;filter_tender=&amp;filter_number=18F-1013&amp;filter_proctype=&amp;filter_authority=&amp;filter_jarcode=124241078&amp;filter_purchaseCode=&amp;filter_cpv=&amp;filter_valuefrom=&amp;filter_valueto=&amp;filter_contractdate_from=&amp;filter_contractdate_to=&amp;filter_expirationdate_from=&amp;filter_expirationdate_to=&amp;filter_supplier=&amp;filter_supplier_jarcode=304096321&amp;filter_agreement_ty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10785</Words>
  <Characters>6149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16901</CharactersWithSpaces>
  <SharedDoc>false</SharedDoc>
  <HLinks>
    <vt:vector size="6" baseType="variant">
      <vt:variant>
        <vt:i4>6291497</vt:i4>
      </vt:variant>
      <vt:variant>
        <vt:i4>0</vt:i4>
      </vt:variant>
      <vt:variant>
        <vt:i4>0</vt:i4>
      </vt:variant>
      <vt:variant>
        <vt:i4>5</vt:i4>
      </vt:variant>
      <vt:variant>
        <vt:lpwstr>http://cvpp.lt/index.php?option=com_vptpublic&amp;task=sutartys&amp;Itemid=109&amp;filter_show=1&amp;filter_limit=10&amp;vpt_unite=&amp;filter_tender=&amp;filter_number=18F-1013&amp;filter_proctype=&amp;filter_authority=&amp;filter_jarcode=124241078&amp;filter_purchaseCode=&amp;filter_cpv=&amp;filter_valuefrom=&amp;filter_valueto=&amp;filter_contractdate_from=&amp;filter_contractdate_to=&amp;filter_expirationdate_from=&amp;filter_expirationdate_to=&amp;filter_supplier=&amp;filter_supplier_jarcode=304096321&amp;filter_agreement_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Berdikšlis</dc:creator>
  <cp:keywords/>
  <dc:description/>
  <cp:lastModifiedBy>Sonata Vainauskaitė</cp:lastModifiedBy>
  <cp:revision>4</cp:revision>
  <dcterms:created xsi:type="dcterms:W3CDTF">2025-03-17T15:00:00Z</dcterms:created>
  <dcterms:modified xsi:type="dcterms:W3CDTF">2025-04-14T05:55:00Z</dcterms:modified>
</cp:coreProperties>
</file>