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7068B0" w:rsidRDefault="008970DF" w:rsidP="00FF23F6">
      <w:pPr>
        <w:rPr>
          <w:rFonts w:ascii="Arial" w:hAnsi="Arial" w:cs="Arial"/>
          <w:sz w:val="20"/>
          <w:szCs w:val="20"/>
          <w:lang w:val="lt-LT"/>
        </w:rPr>
      </w:pPr>
    </w:p>
    <w:p w14:paraId="3ADB1DEA" w14:textId="77777777" w:rsidR="00A8398D" w:rsidRPr="007068B0" w:rsidRDefault="00A8398D" w:rsidP="00FF23F6">
      <w:pPr>
        <w:ind w:firstLine="720"/>
        <w:rPr>
          <w:rFonts w:ascii="Arial" w:hAnsi="Arial" w:cs="Arial"/>
          <w:sz w:val="20"/>
          <w:szCs w:val="20"/>
          <w:lang w:val="lt-LT"/>
        </w:rPr>
      </w:pPr>
    </w:p>
    <w:p w14:paraId="03177473" w14:textId="77777777" w:rsidR="00A8398D" w:rsidRPr="007068B0" w:rsidRDefault="00A8398D" w:rsidP="00FF23F6">
      <w:pPr>
        <w:rPr>
          <w:rFonts w:ascii="Arial" w:hAnsi="Arial" w:cs="Arial"/>
          <w:sz w:val="20"/>
          <w:szCs w:val="20"/>
          <w:lang w:val="lt-LT"/>
        </w:rPr>
      </w:pPr>
    </w:p>
    <w:p w14:paraId="0A061968" w14:textId="7DFE2DDC" w:rsidR="00D40468" w:rsidRPr="007068B0" w:rsidRDefault="00434E5B" w:rsidP="00DE49B1">
      <w:pPr>
        <w:ind w:firstLine="567"/>
        <w:jc w:val="both"/>
        <w:rPr>
          <w:rFonts w:ascii="Arial" w:hAnsi="Arial" w:cs="Arial"/>
          <w:b/>
          <w:bCs/>
          <w:color w:val="000000" w:themeColor="text1"/>
          <w:sz w:val="20"/>
          <w:szCs w:val="20"/>
          <w:lang w:val="lt-LT"/>
        </w:rPr>
      </w:pPr>
      <w:sdt>
        <w:sdtPr>
          <w:rPr>
            <w:rFonts w:ascii="Arial" w:hAnsi="Arial" w:cs="Arial"/>
            <w:b/>
            <w:bCs/>
            <w:sz w:val="20"/>
            <w:szCs w:val="20"/>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F210E0" w:rsidRPr="007068B0">
            <w:rPr>
              <w:rFonts w:ascii="Arial" w:hAnsi="Arial" w:cs="Arial"/>
              <w:b/>
              <w:bCs/>
              <w:sz w:val="20"/>
              <w:szCs w:val="20"/>
              <w:lang w:val="lt-LT"/>
            </w:rPr>
            <w:t>DĖL ATSAKYMŲ Į TIEKĖJŲ KLAUSIMUS IR PIRKIMO DOKUMENTŲ PATIKSLINIMO</w:t>
          </w:r>
        </w:sdtContent>
      </w:sdt>
    </w:p>
    <w:p w14:paraId="2CE7E1DC" w14:textId="4356F8ED" w:rsidR="00D40468" w:rsidRPr="007068B0" w:rsidRDefault="00D40468" w:rsidP="00DE49B1">
      <w:pPr>
        <w:ind w:firstLine="567"/>
        <w:jc w:val="both"/>
        <w:rPr>
          <w:rFonts w:ascii="Arial" w:hAnsi="Arial" w:cs="Arial"/>
          <w:color w:val="000000" w:themeColor="text1"/>
          <w:sz w:val="20"/>
          <w:szCs w:val="20"/>
          <w:lang w:val="lt-LT"/>
        </w:rPr>
      </w:pPr>
    </w:p>
    <w:p w14:paraId="531CC309" w14:textId="4DD52829" w:rsidR="00AD4D4D" w:rsidRPr="007068B0" w:rsidRDefault="00AD4D4D" w:rsidP="00DE49B1">
      <w:pPr>
        <w:ind w:firstLine="567"/>
        <w:jc w:val="both"/>
        <w:rPr>
          <w:rFonts w:ascii="Arial" w:hAnsi="Arial" w:cs="Arial"/>
          <w:sz w:val="20"/>
          <w:szCs w:val="20"/>
          <w:lang w:val="lt-LT"/>
        </w:rPr>
      </w:pPr>
      <w:r w:rsidRPr="007068B0">
        <w:rPr>
          <w:rFonts w:ascii="Arial" w:hAnsi="Arial" w:cs="Arial"/>
          <w:color w:val="000000" w:themeColor="text1"/>
          <w:sz w:val="20"/>
          <w:szCs w:val="20"/>
          <w:lang w:val="lt-LT"/>
        </w:rPr>
        <w:t>Siunčiame</w:t>
      </w:r>
      <w:r w:rsidR="00EF629E" w:rsidRPr="007068B0">
        <w:rPr>
          <w:rFonts w:ascii="Arial" w:hAnsi="Arial" w:cs="Arial"/>
          <w:color w:val="000000" w:themeColor="text1"/>
          <w:sz w:val="20"/>
          <w:szCs w:val="20"/>
          <w:lang w:val="lt-LT"/>
        </w:rPr>
        <w:t xml:space="preserve"> </w:t>
      </w:r>
      <w:sdt>
        <w:sdtPr>
          <w:rPr>
            <w:rFonts w:ascii="Arial" w:hAnsi="Arial" w:cs="Arial"/>
            <w:sz w:val="20"/>
            <w:szCs w:val="20"/>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F210E0" w:rsidRPr="007068B0">
            <w:rPr>
              <w:rFonts w:ascii="Arial" w:hAnsi="Arial" w:cs="Arial"/>
              <w:sz w:val="20"/>
              <w:szCs w:val="20"/>
              <w:lang w:val="lt-LT"/>
            </w:rPr>
            <w:t>atsakymus į tiekėjų klausimus ir pirkimo dokumentų patikslinimą</w:t>
          </w:r>
        </w:sdtContent>
      </w:sdt>
      <w:r w:rsidR="003C4D05" w:rsidRPr="007068B0">
        <w:rPr>
          <w:rStyle w:val="normaltextrun"/>
          <w:rFonts w:ascii="Arial" w:hAnsi="Arial" w:cs="Arial"/>
          <w:i/>
          <w:iCs/>
          <w:color w:val="FF0000"/>
          <w:sz w:val="20"/>
          <w:szCs w:val="20"/>
          <w:u w:val="single"/>
          <w:shd w:val="clear" w:color="auto" w:fill="FFFFFF"/>
        </w:rPr>
        <w:t xml:space="preserve"> </w:t>
      </w:r>
      <w:proofErr w:type="spellStart"/>
      <w:r w:rsidR="003C4D05" w:rsidRPr="007068B0">
        <w:rPr>
          <w:rStyle w:val="normaltextrun"/>
          <w:rFonts w:ascii="Arial" w:hAnsi="Arial" w:cs="Arial"/>
          <w:sz w:val="20"/>
          <w:szCs w:val="20"/>
          <w:u w:val="single"/>
          <w:shd w:val="clear" w:color="auto" w:fill="FFFFFF"/>
        </w:rPr>
        <w:t>pirkime</w:t>
      </w:r>
      <w:proofErr w:type="spellEnd"/>
      <w:r w:rsidR="00D52751" w:rsidRPr="007068B0">
        <w:rPr>
          <w:rStyle w:val="normaltextrun"/>
          <w:rFonts w:ascii="Arial" w:hAnsi="Arial" w:cs="Arial"/>
          <w:sz w:val="20"/>
          <w:szCs w:val="20"/>
          <w:u w:val="single"/>
          <w:shd w:val="clear" w:color="auto" w:fill="FFFFFF"/>
        </w:rPr>
        <w:t xml:space="preserve"> “(2025-GSC-522) TAAS </w:t>
      </w:r>
      <w:proofErr w:type="spellStart"/>
      <w:r w:rsidR="00D52751" w:rsidRPr="007068B0">
        <w:rPr>
          <w:rStyle w:val="normaltextrun"/>
          <w:rFonts w:ascii="Arial" w:hAnsi="Arial" w:cs="Arial"/>
          <w:sz w:val="20"/>
          <w:szCs w:val="20"/>
          <w:u w:val="single"/>
          <w:shd w:val="clear" w:color="auto" w:fill="FFFFFF"/>
        </w:rPr>
        <w:t>sistemos</w:t>
      </w:r>
      <w:proofErr w:type="spellEnd"/>
      <w:r w:rsidR="00D52751" w:rsidRPr="007068B0">
        <w:rPr>
          <w:rStyle w:val="normaltextrun"/>
          <w:rFonts w:ascii="Arial" w:hAnsi="Arial" w:cs="Arial"/>
          <w:sz w:val="20"/>
          <w:szCs w:val="20"/>
          <w:u w:val="single"/>
          <w:shd w:val="clear" w:color="auto" w:fill="FFFFFF"/>
        </w:rPr>
        <w:t xml:space="preserve"> </w:t>
      </w:r>
      <w:proofErr w:type="spellStart"/>
      <w:r w:rsidR="00D52751" w:rsidRPr="007068B0">
        <w:rPr>
          <w:rStyle w:val="normaltextrun"/>
          <w:rFonts w:ascii="Arial" w:hAnsi="Arial" w:cs="Arial"/>
          <w:sz w:val="20"/>
          <w:szCs w:val="20"/>
          <w:u w:val="single"/>
          <w:shd w:val="clear" w:color="auto" w:fill="FFFFFF"/>
        </w:rPr>
        <w:t>aptarnavimo</w:t>
      </w:r>
      <w:proofErr w:type="spellEnd"/>
      <w:r w:rsidR="00D52751" w:rsidRPr="007068B0">
        <w:rPr>
          <w:rStyle w:val="normaltextrun"/>
          <w:rFonts w:ascii="Arial" w:hAnsi="Arial" w:cs="Arial"/>
          <w:sz w:val="20"/>
          <w:szCs w:val="20"/>
          <w:u w:val="single"/>
          <w:shd w:val="clear" w:color="auto" w:fill="FFFFFF"/>
        </w:rPr>
        <w:t xml:space="preserve"> </w:t>
      </w:r>
      <w:proofErr w:type="spellStart"/>
      <w:r w:rsidR="00D52751" w:rsidRPr="007068B0">
        <w:rPr>
          <w:rStyle w:val="normaltextrun"/>
          <w:rFonts w:ascii="Arial" w:hAnsi="Arial" w:cs="Arial"/>
          <w:sz w:val="20"/>
          <w:szCs w:val="20"/>
          <w:u w:val="single"/>
          <w:shd w:val="clear" w:color="auto" w:fill="FFFFFF"/>
        </w:rPr>
        <w:t>paslaugos</w:t>
      </w:r>
      <w:proofErr w:type="spellEnd"/>
      <w:r w:rsidR="00D52751" w:rsidRPr="007068B0">
        <w:rPr>
          <w:rStyle w:val="normaltextrun"/>
          <w:rFonts w:ascii="Arial" w:hAnsi="Arial" w:cs="Arial"/>
          <w:sz w:val="20"/>
          <w:szCs w:val="20"/>
          <w:u w:val="single"/>
          <w:shd w:val="clear" w:color="auto" w:fill="FFFFFF"/>
        </w:rPr>
        <w:t>”.</w:t>
      </w:r>
    </w:p>
    <w:p w14:paraId="11731F77" w14:textId="1148DAEB" w:rsidR="00AD4D4D" w:rsidRPr="007068B0" w:rsidRDefault="00AD4D4D" w:rsidP="00DE49B1">
      <w:pPr>
        <w:ind w:firstLine="567"/>
        <w:jc w:val="both"/>
        <w:rPr>
          <w:rFonts w:ascii="Arial" w:hAnsi="Arial" w:cs="Arial"/>
          <w:i/>
          <w:color w:val="FF0000"/>
          <w:sz w:val="20"/>
          <w:szCs w:val="20"/>
          <w:lang w:val="lt-LT"/>
        </w:rPr>
      </w:pPr>
      <w:bookmarkStart w:id="0" w:name="_Hlk25240925"/>
      <w:r w:rsidRPr="007068B0">
        <w:rPr>
          <w:rFonts w:ascii="Arial" w:hAnsi="Arial" w:cs="Arial"/>
          <w:sz w:val="20"/>
          <w:szCs w:val="20"/>
          <w:lang w:val="lt-LT"/>
        </w:rPr>
        <w:t xml:space="preserve">Siekdami išvengti turinio interpretacijų, tiekėjų klausimus cituojame tiksliai taip, kaip buvo pateikti </w:t>
      </w:r>
      <w:r w:rsidR="008579D8" w:rsidRPr="007068B0">
        <w:rPr>
          <w:rFonts w:ascii="Arial" w:hAnsi="Arial" w:cs="Arial"/>
          <w:sz w:val="20"/>
          <w:szCs w:val="20"/>
          <w:lang w:val="lt-LT"/>
        </w:rPr>
        <w:t xml:space="preserve">Centrinės viešųjų pirkimų informacinės sistemos (toliau – </w:t>
      </w:r>
      <w:r w:rsidRPr="007068B0">
        <w:rPr>
          <w:rFonts w:ascii="Arial" w:hAnsi="Arial" w:cs="Arial"/>
          <w:sz w:val="20"/>
          <w:szCs w:val="20"/>
          <w:lang w:val="lt-LT"/>
        </w:rPr>
        <w:t>CVP IS</w:t>
      </w:r>
      <w:r w:rsidR="008579D8" w:rsidRPr="007068B0">
        <w:rPr>
          <w:rFonts w:ascii="Arial" w:hAnsi="Arial" w:cs="Arial"/>
          <w:sz w:val="20"/>
          <w:szCs w:val="20"/>
          <w:lang w:val="lt-LT"/>
        </w:rPr>
        <w:t>)</w:t>
      </w:r>
      <w:r w:rsidRPr="007068B0">
        <w:rPr>
          <w:rFonts w:ascii="Arial" w:hAnsi="Arial" w:cs="Arial"/>
          <w:sz w:val="20"/>
          <w:szCs w:val="20"/>
          <w:lang w:val="lt-LT"/>
        </w:rPr>
        <w:t xml:space="preserve"> priemonėmis (tekstas neredaguotas).</w:t>
      </w:r>
      <w:bookmarkEnd w:id="0"/>
    </w:p>
    <w:p w14:paraId="19B06EA3" w14:textId="6E286FE8" w:rsidR="00BD6B85" w:rsidRPr="007068B0" w:rsidRDefault="00BD6B85" w:rsidP="00DE49B1">
      <w:pPr>
        <w:ind w:firstLine="567"/>
        <w:jc w:val="both"/>
        <w:rPr>
          <w:rFonts w:ascii="Arial" w:hAnsi="Arial" w:cs="Arial"/>
          <w:color w:val="FF0000"/>
          <w:sz w:val="20"/>
          <w:szCs w:val="20"/>
          <w:lang w:val="lt-LT"/>
        </w:rPr>
      </w:pPr>
    </w:p>
    <w:tbl>
      <w:tblPr>
        <w:tblStyle w:val="TableGrid"/>
        <w:tblW w:w="0" w:type="auto"/>
        <w:tblLook w:val="04A0" w:firstRow="1" w:lastRow="0" w:firstColumn="1" w:lastColumn="0" w:noHBand="0" w:noVBand="1"/>
      </w:tblPr>
      <w:tblGrid>
        <w:gridCol w:w="517"/>
        <w:gridCol w:w="1917"/>
        <w:gridCol w:w="3047"/>
        <w:gridCol w:w="4453"/>
        <w:gridCol w:w="3806"/>
      </w:tblGrid>
      <w:tr w:rsidR="003027D0" w:rsidRPr="007068B0" w14:paraId="04749F25" w14:textId="77777777" w:rsidTr="00875A10">
        <w:tc>
          <w:tcPr>
            <w:tcW w:w="0" w:type="auto"/>
            <w:shd w:val="clear" w:color="auto" w:fill="D9E2F3" w:themeFill="accent1" w:themeFillTint="33"/>
            <w:vAlign w:val="center"/>
          </w:tcPr>
          <w:p w14:paraId="58B3E9AC" w14:textId="77777777" w:rsidR="003027D0" w:rsidRPr="007068B0" w:rsidRDefault="003027D0" w:rsidP="00E63DEF">
            <w:pPr>
              <w:tabs>
                <w:tab w:val="left" w:pos="171"/>
              </w:tabs>
              <w:rPr>
                <w:rFonts w:ascii="Arial" w:hAnsi="Arial" w:cs="Arial"/>
                <w:b/>
                <w:bCs/>
                <w:sz w:val="20"/>
                <w:szCs w:val="20"/>
              </w:rPr>
            </w:pPr>
            <w:r w:rsidRPr="007068B0">
              <w:rPr>
                <w:rFonts w:ascii="Arial" w:hAnsi="Arial" w:cs="Arial"/>
                <w:b/>
                <w:bCs/>
                <w:sz w:val="20"/>
                <w:szCs w:val="20"/>
              </w:rPr>
              <w:t>Eil. Nr.</w:t>
            </w:r>
          </w:p>
        </w:tc>
        <w:tc>
          <w:tcPr>
            <w:tcW w:w="1988" w:type="dxa"/>
            <w:shd w:val="clear" w:color="auto" w:fill="D9E2F3" w:themeFill="accent1" w:themeFillTint="33"/>
            <w:vAlign w:val="center"/>
          </w:tcPr>
          <w:p w14:paraId="09184C38" w14:textId="77777777" w:rsidR="003027D0" w:rsidRPr="007068B0" w:rsidRDefault="003027D0" w:rsidP="00E63DEF">
            <w:pPr>
              <w:jc w:val="center"/>
              <w:rPr>
                <w:rFonts w:ascii="Arial" w:hAnsi="Arial" w:cs="Arial"/>
                <w:b/>
                <w:bCs/>
                <w:sz w:val="20"/>
                <w:szCs w:val="20"/>
              </w:rPr>
            </w:pPr>
            <w:r w:rsidRPr="007068B0">
              <w:rPr>
                <w:rFonts w:ascii="Arial" w:hAnsi="Arial" w:cs="Arial"/>
                <w:b/>
                <w:bCs/>
                <w:sz w:val="20"/>
                <w:szCs w:val="20"/>
              </w:rPr>
              <w:t>Nuoroda į pirkimo dokumentus, konkretus reikalavimas (numeris ar tekstas), kurį norima koreguoti</w:t>
            </w:r>
          </w:p>
        </w:tc>
        <w:tc>
          <w:tcPr>
            <w:tcW w:w="3260" w:type="dxa"/>
            <w:shd w:val="clear" w:color="auto" w:fill="D9E2F3" w:themeFill="accent1" w:themeFillTint="33"/>
            <w:vAlign w:val="center"/>
          </w:tcPr>
          <w:p w14:paraId="0430C6EE" w14:textId="77777777" w:rsidR="003027D0" w:rsidRPr="007068B0" w:rsidRDefault="003027D0" w:rsidP="00E63DEF">
            <w:pPr>
              <w:jc w:val="center"/>
              <w:rPr>
                <w:rFonts w:ascii="Arial" w:hAnsi="Arial" w:cs="Arial"/>
                <w:b/>
                <w:bCs/>
                <w:sz w:val="20"/>
                <w:szCs w:val="20"/>
              </w:rPr>
            </w:pPr>
            <w:r w:rsidRPr="007068B0">
              <w:rPr>
                <w:rFonts w:ascii="Arial" w:hAnsi="Arial" w:cs="Arial"/>
                <w:b/>
                <w:bCs/>
                <w:sz w:val="20"/>
                <w:szCs w:val="20"/>
              </w:rPr>
              <w:t>Siūloma korekcija / klausimas</w:t>
            </w:r>
          </w:p>
        </w:tc>
        <w:tc>
          <w:tcPr>
            <w:tcW w:w="4820" w:type="dxa"/>
            <w:shd w:val="clear" w:color="auto" w:fill="D9E2F3" w:themeFill="accent1" w:themeFillTint="33"/>
            <w:vAlign w:val="center"/>
          </w:tcPr>
          <w:p w14:paraId="5E4C4FFB" w14:textId="77777777" w:rsidR="003027D0" w:rsidRPr="007068B0" w:rsidRDefault="003027D0" w:rsidP="00E63DEF">
            <w:pPr>
              <w:jc w:val="center"/>
              <w:rPr>
                <w:rFonts w:ascii="Arial" w:hAnsi="Arial" w:cs="Arial"/>
                <w:b/>
                <w:bCs/>
                <w:sz w:val="20"/>
                <w:szCs w:val="20"/>
              </w:rPr>
            </w:pPr>
            <w:r w:rsidRPr="007068B0">
              <w:rPr>
                <w:rFonts w:ascii="Arial" w:hAnsi="Arial" w:cs="Arial"/>
                <w:b/>
                <w:bCs/>
                <w:sz w:val="20"/>
                <w:szCs w:val="20"/>
              </w:rPr>
              <w:t>Siūlomos korekcijos pagrindimas, motyvas</w:t>
            </w:r>
          </w:p>
        </w:tc>
        <w:tc>
          <w:tcPr>
            <w:tcW w:w="4105" w:type="dxa"/>
            <w:shd w:val="clear" w:color="auto" w:fill="D9E2F3" w:themeFill="accent1" w:themeFillTint="33"/>
          </w:tcPr>
          <w:p w14:paraId="30A540E1" w14:textId="77777777" w:rsidR="003027D0" w:rsidRPr="007068B0" w:rsidRDefault="003027D0" w:rsidP="00E63DEF">
            <w:pPr>
              <w:jc w:val="center"/>
              <w:rPr>
                <w:rFonts w:ascii="Arial" w:hAnsi="Arial" w:cs="Arial"/>
                <w:b/>
                <w:bCs/>
                <w:sz w:val="20"/>
                <w:szCs w:val="20"/>
              </w:rPr>
            </w:pPr>
          </w:p>
          <w:p w14:paraId="4EB6B268" w14:textId="77777777" w:rsidR="003027D0" w:rsidRPr="007068B0" w:rsidRDefault="003027D0" w:rsidP="00E63DEF">
            <w:pPr>
              <w:jc w:val="center"/>
              <w:rPr>
                <w:rFonts w:ascii="Arial" w:hAnsi="Arial" w:cs="Arial"/>
                <w:b/>
                <w:bCs/>
                <w:sz w:val="20"/>
                <w:szCs w:val="20"/>
              </w:rPr>
            </w:pPr>
          </w:p>
          <w:p w14:paraId="51E7223C" w14:textId="77777777" w:rsidR="003027D0" w:rsidRPr="007068B0" w:rsidRDefault="003027D0" w:rsidP="00E63DEF">
            <w:pPr>
              <w:jc w:val="center"/>
              <w:rPr>
                <w:rFonts w:ascii="Arial" w:hAnsi="Arial" w:cs="Arial"/>
                <w:b/>
                <w:bCs/>
                <w:sz w:val="20"/>
                <w:szCs w:val="20"/>
              </w:rPr>
            </w:pPr>
          </w:p>
          <w:p w14:paraId="2B194B90" w14:textId="77777777" w:rsidR="003027D0" w:rsidRPr="007068B0" w:rsidRDefault="003027D0" w:rsidP="00E63DEF">
            <w:pPr>
              <w:jc w:val="center"/>
              <w:rPr>
                <w:rFonts w:ascii="Arial" w:hAnsi="Arial" w:cs="Arial"/>
                <w:b/>
                <w:bCs/>
                <w:sz w:val="20"/>
                <w:szCs w:val="20"/>
              </w:rPr>
            </w:pPr>
            <w:r w:rsidRPr="007068B0">
              <w:rPr>
                <w:rFonts w:ascii="Arial" w:hAnsi="Arial" w:cs="Arial"/>
                <w:b/>
                <w:bCs/>
                <w:sz w:val="20"/>
                <w:szCs w:val="20"/>
              </w:rPr>
              <w:t>Atsakymai į tiekėjų klausimus</w:t>
            </w:r>
          </w:p>
        </w:tc>
      </w:tr>
      <w:tr w:rsidR="003027D0" w:rsidRPr="007068B0" w14:paraId="0902442D" w14:textId="77777777" w:rsidTr="00E63DEF">
        <w:tc>
          <w:tcPr>
            <w:tcW w:w="0" w:type="auto"/>
          </w:tcPr>
          <w:p w14:paraId="0909FB07"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5EEFF1F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4.1.1.4. ir 4.1.1.5. punktai</w:t>
            </w:r>
          </w:p>
        </w:tc>
        <w:tc>
          <w:tcPr>
            <w:tcW w:w="3260" w:type="dxa"/>
          </w:tcPr>
          <w:p w14:paraId="36217F72"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pašalinti šiuos punktus iš Techninės specifikacijos.</w:t>
            </w:r>
          </w:p>
        </w:tc>
        <w:tc>
          <w:tcPr>
            <w:tcW w:w="4820" w:type="dxa"/>
          </w:tcPr>
          <w:p w14:paraId="3E230A89"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Techninės specifikacijos 2 skyriuje ir 4.1.1.3 punkte įvardinta, kad priežiūros paslaugas sudaro tik Sistemos sutrikimų šalinimo ir Kliento atstovų konsultavimo paslaugos įsigyjamos pagal poreikį, </w:t>
            </w:r>
            <w:proofErr w:type="spellStart"/>
            <w:r w:rsidRPr="007068B0">
              <w:rPr>
                <w:rFonts w:ascii="Arial" w:hAnsi="Arial" w:cs="Arial"/>
                <w:sz w:val="20"/>
                <w:szCs w:val="20"/>
              </w:rPr>
              <w:t>t.y</w:t>
            </w:r>
            <w:proofErr w:type="spellEnd"/>
            <w:r w:rsidRPr="007068B0">
              <w:rPr>
                <w:rFonts w:ascii="Arial" w:hAnsi="Arial" w:cs="Arial"/>
                <w:sz w:val="20"/>
                <w:szCs w:val="20"/>
              </w:rPr>
              <w:t>. užregistravus užklausą/paklausimą arba incidentą Kliento  Paslaugų valdymo ar kitoje naudojamoje sistemoje (maksimali paslaugų apimtis per 3 metus 252 val.). Techninėje specifikacijoje nenumatytos apmokamos mėnesinės sistemos priežiūros paslaugos, kurių metu galėtų būti vykdoma prevencinė Sistemos priežiūra, jos veikimo monitoringas, versijų suderinamumo tikrinimas ir panašūs periodiniai darbai. Tokie darbai gali būti daromi, jeigu jie bus konkrečiai užsakyti sutarties vykdymo metu.</w:t>
            </w:r>
          </w:p>
        </w:tc>
        <w:tc>
          <w:tcPr>
            <w:tcW w:w="4105" w:type="dxa"/>
          </w:tcPr>
          <w:p w14:paraId="6158069B" w14:textId="1562A1CA"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w:t>
            </w:r>
            <w:r w:rsidR="00D52751" w:rsidRPr="007068B0">
              <w:rPr>
                <w:rFonts w:ascii="Arial" w:hAnsi="Arial" w:cs="Arial"/>
                <w:sz w:val="20"/>
                <w:szCs w:val="20"/>
              </w:rPr>
              <w:t>u siūlymu s</w:t>
            </w:r>
            <w:r w:rsidRPr="007068B0">
              <w:rPr>
                <w:rFonts w:ascii="Arial" w:hAnsi="Arial" w:cs="Arial"/>
                <w:sz w:val="20"/>
                <w:szCs w:val="20"/>
              </w:rPr>
              <w:t xml:space="preserve">utinkame, </w:t>
            </w:r>
            <w:r w:rsidR="00D52751" w:rsidRPr="007068B0">
              <w:rPr>
                <w:rFonts w:ascii="Arial" w:hAnsi="Arial" w:cs="Arial"/>
                <w:sz w:val="20"/>
                <w:szCs w:val="20"/>
              </w:rPr>
              <w:t xml:space="preserve">iš </w:t>
            </w:r>
            <w:r w:rsidRPr="007068B0">
              <w:rPr>
                <w:rFonts w:ascii="Arial" w:hAnsi="Arial" w:cs="Arial"/>
                <w:sz w:val="20"/>
                <w:szCs w:val="20"/>
              </w:rPr>
              <w:t>technin</w:t>
            </w:r>
            <w:r w:rsidR="00D52751" w:rsidRPr="007068B0">
              <w:rPr>
                <w:rFonts w:ascii="Arial" w:hAnsi="Arial" w:cs="Arial"/>
                <w:sz w:val="20"/>
                <w:szCs w:val="20"/>
              </w:rPr>
              <w:t>ės</w:t>
            </w:r>
            <w:r w:rsidRPr="007068B0">
              <w:rPr>
                <w:rFonts w:ascii="Arial" w:hAnsi="Arial" w:cs="Arial"/>
                <w:sz w:val="20"/>
                <w:szCs w:val="20"/>
              </w:rPr>
              <w:t xml:space="preserve"> specifikacij</w:t>
            </w:r>
            <w:r w:rsidR="00D52751" w:rsidRPr="007068B0">
              <w:rPr>
                <w:rFonts w:ascii="Arial" w:hAnsi="Arial" w:cs="Arial"/>
                <w:sz w:val="20"/>
                <w:szCs w:val="20"/>
              </w:rPr>
              <w:t>os</w:t>
            </w:r>
            <w:r w:rsidR="00056428" w:rsidRPr="007068B0">
              <w:rPr>
                <w:rFonts w:ascii="Arial" w:hAnsi="Arial" w:cs="Arial"/>
                <w:sz w:val="20"/>
                <w:szCs w:val="20"/>
              </w:rPr>
              <w:t xml:space="preserve"> šaliname  4.1.1.4. ir 4.1.1.5. punktus</w:t>
            </w:r>
            <w:r w:rsidRPr="007068B0">
              <w:rPr>
                <w:rFonts w:ascii="Arial" w:hAnsi="Arial" w:cs="Arial"/>
                <w:sz w:val="20"/>
                <w:szCs w:val="20"/>
              </w:rPr>
              <w:t>.</w:t>
            </w:r>
          </w:p>
        </w:tc>
      </w:tr>
      <w:tr w:rsidR="003027D0" w:rsidRPr="007068B0" w14:paraId="39C04519" w14:textId="77777777" w:rsidTr="00E63DEF">
        <w:tc>
          <w:tcPr>
            <w:tcW w:w="0" w:type="auto"/>
          </w:tcPr>
          <w:p w14:paraId="36FE19FC"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4D37B5C2"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4.1.2.6. punktas</w:t>
            </w:r>
          </w:p>
        </w:tc>
        <w:tc>
          <w:tcPr>
            <w:tcW w:w="3260" w:type="dxa"/>
          </w:tcPr>
          <w:p w14:paraId="6D44ABD1"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papildyti sekančiai:</w:t>
            </w:r>
          </w:p>
          <w:p w14:paraId="7E8050AE" w14:textId="77777777" w:rsidR="003027D0" w:rsidRPr="007068B0" w:rsidRDefault="003027D0" w:rsidP="00E63DEF">
            <w:pPr>
              <w:jc w:val="both"/>
              <w:rPr>
                <w:rFonts w:ascii="Arial" w:hAnsi="Arial" w:cs="Arial"/>
                <w:sz w:val="20"/>
                <w:szCs w:val="20"/>
              </w:rPr>
            </w:pPr>
            <w:r w:rsidRPr="007068B0">
              <w:rPr>
                <w:rFonts w:ascii="Arial" w:hAnsi="Arial" w:cs="Arial"/>
                <w:sz w:val="20"/>
                <w:szCs w:val="20"/>
              </w:rPr>
              <w:t xml:space="preserve">„Atskirais atvejais Kliento arba Paslaugų teikėjo iniciatyva, Klientas Raštu su Paslaugų teikėju gali susiderinti kitus, </w:t>
            </w:r>
            <w:r w:rsidRPr="007068B0">
              <w:rPr>
                <w:rFonts w:ascii="Arial" w:hAnsi="Arial" w:cs="Arial"/>
                <w:sz w:val="20"/>
                <w:szCs w:val="20"/>
              </w:rPr>
              <w:lastRenderedPageBreak/>
              <w:t>Klientui priimtinus, Sistemos veikimo sutrikimų pašalinimo terminus.“</w:t>
            </w:r>
          </w:p>
        </w:tc>
        <w:tc>
          <w:tcPr>
            <w:tcW w:w="4820" w:type="dxa"/>
          </w:tcPr>
          <w:p w14:paraId="1BA428D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lastRenderedPageBreak/>
              <w:t>Kadangi Paslaugų teikėjas nustatinės Sistemos veikimo sutrikimo priežastis ir jų pašalinimo būdus, tai būtent jis žinos, kokie gali būti pašalinimo terminai ir galėtų inicijuoti jų suderinimą esant poreikiui.</w:t>
            </w:r>
          </w:p>
        </w:tc>
        <w:tc>
          <w:tcPr>
            <w:tcW w:w="4105" w:type="dxa"/>
          </w:tcPr>
          <w:p w14:paraId="03BE61F2" w14:textId="719598EC" w:rsidR="003027D0" w:rsidRPr="007068B0" w:rsidRDefault="00D2403E" w:rsidP="00E63DEF">
            <w:pPr>
              <w:spacing w:before="60" w:after="60"/>
              <w:jc w:val="both"/>
              <w:rPr>
                <w:rFonts w:ascii="Arial" w:hAnsi="Arial" w:cs="Arial"/>
                <w:sz w:val="20"/>
                <w:szCs w:val="20"/>
              </w:rPr>
            </w:pPr>
            <w:r w:rsidRPr="007068B0">
              <w:rPr>
                <w:rFonts w:ascii="Arial" w:hAnsi="Arial" w:cs="Arial"/>
                <w:sz w:val="20"/>
                <w:szCs w:val="20"/>
              </w:rPr>
              <w:t>Su siūlymu sutinkame, nur</w:t>
            </w:r>
            <w:r w:rsidR="00786E2B" w:rsidRPr="007068B0">
              <w:rPr>
                <w:rFonts w:ascii="Arial" w:hAnsi="Arial" w:cs="Arial"/>
                <w:sz w:val="20"/>
                <w:szCs w:val="20"/>
              </w:rPr>
              <w:t>o</w:t>
            </w:r>
            <w:r w:rsidRPr="007068B0">
              <w:rPr>
                <w:rFonts w:ascii="Arial" w:hAnsi="Arial" w:cs="Arial"/>
                <w:sz w:val="20"/>
                <w:szCs w:val="20"/>
              </w:rPr>
              <w:t>dytą punktą papildome</w:t>
            </w:r>
            <w:r w:rsidR="003027D0" w:rsidRPr="007068B0">
              <w:rPr>
                <w:rFonts w:ascii="Arial" w:hAnsi="Arial" w:cs="Arial"/>
                <w:sz w:val="20"/>
                <w:szCs w:val="20"/>
              </w:rPr>
              <w:t>.</w:t>
            </w:r>
          </w:p>
        </w:tc>
      </w:tr>
      <w:tr w:rsidR="003027D0" w:rsidRPr="007068B0" w14:paraId="0165E836" w14:textId="77777777" w:rsidTr="00E63DEF">
        <w:tc>
          <w:tcPr>
            <w:tcW w:w="0" w:type="auto"/>
          </w:tcPr>
          <w:p w14:paraId="2027B52A"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2E5DC102"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4.2.8. punktas</w:t>
            </w:r>
          </w:p>
        </w:tc>
        <w:tc>
          <w:tcPr>
            <w:tcW w:w="3260" w:type="dxa"/>
          </w:tcPr>
          <w:p w14:paraId="5DC23EC5" w14:textId="77777777" w:rsidR="003027D0" w:rsidRPr="007068B0" w:rsidRDefault="003027D0" w:rsidP="00E63DEF">
            <w:pPr>
              <w:spacing w:before="60" w:after="60"/>
              <w:jc w:val="both"/>
              <w:rPr>
                <w:rFonts w:ascii="Arial" w:hAnsi="Arial" w:cs="Arial"/>
                <w:sz w:val="20"/>
                <w:szCs w:val="20"/>
              </w:rPr>
            </w:pPr>
            <w:bookmarkStart w:id="1" w:name="_Ref188971697"/>
            <w:r w:rsidRPr="007068B0">
              <w:rPr>
                <w:rFonts w:ascii="Arial" w:hAnsi="Arial" w:cs="Arial"/>
                <w:sz w:val="20"/>
                <w:szCs w:val="20"/>
              </w:rPr>
              <w:t>Siūlome patikslinti sekančiai:</w:t>
            </w:r>
          </w:p>
          <w:p w14:paraId="7FEEEB9F" w14:textId="77777777" w:rsidR="003027D0" w:rsidRPr="007068B0" w:rsidRDefault="003027D0" w:rsidP="00E63DEF">
            <w:pPr>
              <w:jc w:val="both"/>
              <w:rPr>
                <w:rFonts w:ascii="Arial" w:hAnsi="Arial" w:cs="Arial"/>
                <w:sz w:val="20"/>
                <w:szCs w:val="20"/>
              </w:rPr>
            </w:pPr>
            <w:r w:rsidRPr="007068B0">
              <w:rPr>
                <w:rFonts w:ascii="Arial" w:hAnsi="Arial" w:cs="Arial"/>
                <w:sz w:val="20"/>
                <w:szCs w:val="20"/>
              </w:rPr>
              <w:t>„Paslaugų teikėjas įsipareigoja per analizės Užsakyme suderintą terminą pateikti Vystymo paslaugų Užsakymo reikalavimų detalų sprendimo aprašymą (reikalavimų analizę ir siūlomą sprendimo aprašymą</w:t>
            </w:r>
            <w:bookmarkEnd w:id="1"/>
            <w:r w:rsidRPr="007068B0">
              <w:rPr>
                <w:rFonts w:ascii="Arial" w:hAnsi="Arial" w:cs="Arial"/>
                <w:sz w:val="20"/>
                <w:szCs w:val="20"/>
              </w:rPr>
              <w:t>).“</w:t>
            </w:r>
          </w:p>
        </w:tc>
        <w:tc>
          <w:tcPr>
            <w:tcW w:w="4820" w:type="dxa"/>
          </w:tcPr>
          <w:p w14:paraId="0BD22DB9"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Techninės specifikacijos 2 skyriuje įvardintos vystymo paslaugos: </w:t>
            </w:r>
          </w:p>
          <w:p w14:paraId="1930C888" w14:textId="77777777" w:rsidR="003027D0" w:rsidRPr="007068B0" w:rsidRDefault="003027D0" w:rsidP="003027D0">
            <w:pPr>
              <w:pStyle w:val="ListParagraph"/>
              <w:numPr>
                <w:ilvl w:val="0"/>
                <w:numId w:val="4"/>
              </w:numPr>
              <w:spacing w:before="60" w:after="60" w:line="240" w:lineRule="auto"/>
              <w:jc w:val="both"/>
              <w:rPr>
                <w:rFonts w:ascii="Arial" w:hAnsi="Arial" w:cs="Arial"/>
                <w:sz w:val="20"/>
                <w:szCs w:val="20"/>
              </w:rPr>
            </w:pPr>
            <w:r w:rsidRPr="007068B0">
              <w:rPr>
                <w:rFonts w:ascii="Arial" w:hAnsi="Arial" w:cs="Arial"/>
                <w:sz w:val="20"/>
                <w:szCs w:val="20"/>
              </w:rPr>
              <w:t>Užsakymo analizė</w:t>
            </w:r>
          </w:p>
          <w:p w14:paraId="7F89D754" w14:textId="77777777" w:rsidR="003027D0" w:rsidRPr="007068B0" w:rsidRDefault="003027D0" w:rsidP="003027D0">
            <w:pPr>
              <w:pStyle w:val="ListParagraph"/>
              <w:numPr>
                <w:ilvl w:val="0"/>
                <w:numId w:val="4"/>
              </w:numPr>
              <w:spacing w:before="60" w:after="60" w:line="240" w:lineRule="auto"/>
              <w:jc w:val="both"/>
              <w:rPr>
                <w:rFonts w:ascii="Arial" w:hAnsi="Arial" w:cs="Arial"/>
                <w:sz w:val="20"/>
                <w:szCs w:val="20"/>
              </w:rPr>
            </w:pPr>
            <w:r w:rsidRPr="007068B0">
              <w:rPr>
                <w:rFonts w:ascii="Arial" w:hAnsi="Arial" w:cs="Arial"/>
                <w:sz w:val="20"/>
                <w:szCs w:val="20"/>
              </w:rPr>
              <w:t>Detali reikalavimų analizė ir sprendinio parengimas.</w:t>
            </w:r>
          </w:p>
          <w:p w14:paraId="6616AE1F"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Būtent šių Kliento Užsakymų rezultate būtų pateikiami reikalingi aprašymai ir tai būtų atliekama per šiuose Užsakymuose patvirtintą laiką.</w:t>
            </w:r>
          </w:p>
        </w:tc>
        <w:tc>
          <w:tcPr>
            <w:tcW w:w="4105" w:type="dxa"/>
          </w:tcPr>
          <w:p w14:paraId="0F22B7CD"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Perkančioji organizacija pažymi, kad Techninės specifikacijos 2.1.2.1 punkte nurodyta „Užsakymo analizė“ suprantama kaip preliminarus Kliento Užsakyme pateikto uždavinio ar problemos vertinimas. 2.1.2.2 punkte numatyta detali reikalavimų analizė ir sprendinio parengimas laikomi atskiru etapu ir ne visais atvejais atliekami pagal atskirą analizės Užsakymą – jie gali būti vykdomi kaip bendro Vystymo paslaugų Užsakymo dalis.</w:t>
            </w:r>
          </w:p>
          <w:p w14:paraId="41F1F376"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Atsižvelgiant į tai, Perkančioji organizacija negali sutikti su formuluote, kuri detalios reikalavimų analizės atlikimą sieja tik su „analizės Užsakymu“. Siekiant aiškumo, siūloma tokia patikslinta formuluotė:</w:t>
            </w:r>
          </w:p>
          <w:p w14:paraId="7A15D459" w14:textId="77777777" w:rsidR="003027D0" w:rsidRPr="007068B0" w:rsidRDefault="003027D0" w:rsidP="00E63DEF">
            <w:pPr>
              <w:spacing w:before="60" w:after="60"/>
              <w:jc w:val="both"/>
              <w:rPr>
                <w:rFonts w:ascii="Arial" w:hAnsi="Arial" w:cs="Arial"/>
                <w:i/>
                <w:iCs/>
                <w:sz w:val="20"/>
                <w:szCs w:val="20"/>
              </w:rPr>
            </w:pPr>
            <w:r w:rsidRPr="007068B0">
              <w:rPr>
                <w:rFonts w:ascii="Arial" w:hAnsi="Arial" w:cs="Arial"/>
                <w:i/>
                <w:iCs/>
                <w:sz w:val="20"/>
                <w:szCs w:val="20"/>
              </w:rPr>
              <w:t>„Paslaugų teikėjas įsipareigoja per Užsakyme nustatytą ir šalių suderintą terminą pateikti Vystymo paslaugų Užsakymo reikalavimų detalų sprendimo aprašymą, jeigu tokia paslauga numatyta atitinkamame Užsakyme.“</w:t>
            </w:r>
          </w:p>
          <w:p w14:paraId="32805C69" w14:textId="77777777" w:rsidR="003027D0" w:rsidRPr="007068B0" w:rsidRDefault="003027D0" w:rsidP="00E63DEF">
            <w:pPr>
              <w:spacing w:before="60" w:after="60"/>
              <w:jc w:val="both"/>
              <w:rPr>
                <w:rFonts w:ascii="Arial" w:hAnsi="Arial" w:cs="Arial"/>
                <w:sz w:val="20"/>
                <w:szCs w:val="20"/>
              </w:rPr>
            </w:pPr>
          </w:p>
        </w:tc>
      </w:tr>
      <w:tr w:rsidR="003027D0" w:rsidRPr="007068B0" w14:paraId="3F6FCE79" w14:textId="77777777" w:rsidTr="00E63DEF">
        <w:tc>
          <w:tcPr>
            <w:tcW w:w="0" w:type="auto"/>
          </w:tcPr>
          <w:p w14:paraId="3D8A1EB5"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76C8DD58"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4.2.9. punktas</w:t>
            </w:r>
          </w:p>
        </w:tc>
        <w:tc>
          <w:tcPr>
            <w:tcW w:w="3260" w:type="dxa"/>
          </w:tcPr>
          <w:p w14:paraId="12E06B3D"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punkte palikti tik pirmą sakinį:</w:t>
            </w:r>
          </w:p>
          <w:p w14:paraId="467EB6C9"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„Už apimtis (darbo valandų kiekį), kurios nebuvo suderintos (t. y. kurios nebuvo nurodytos Užsakyme) Klientas neapmoka.“</w:t>
            </w:r>
          </w:p>
        </w:tc>
        <w:tc>
          <w:tcPr>
            <w:tcW w:w="4820" w:type="dxa"/>
          </w:tcPr>
          <w:p w14:paraId="06371CA2"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Antras šio punkto sakinys prieštarauja pirmam, nes pagal pirmą sakinį Klientas neapmoka už darbus, kurių nebuvo Užsakyme, o antras sakinys sako, kad be Užsakyme numatytų darbų dar turi būti atliekami ir papildomi darbai (už kuriuos nebūtų apmokama). Techninėje specifikacijoje negali būti įvardinami papildomi Užsakymo darbai, kurie nebus įvardinti pačiame Užsakyme. </w:t>
            </w:r>
          </w:p>
        </w:tc>
        <w:tc>
          <w:tcPr>
            <w:tcW w:w="4105" w:type="dxa"/>
          </w:tcPr>
          <w:p w14:paraId="0B521DA4"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Perkančioji organizacija pažymi, kad 4.2.9 punkto antrasis sakinys neprieštarauja pirmajam. Juo nėra nustatomi papildomi, Užsakyme nenumatyti darbai, o apibrėžiamas Užsakyme numatytų Vystymo paslaugų rezultatas ir turinys (architektūrinių sprendimų ir jų aprašymo pateikimas).</w:t>
            </w:r>
          </w:p>
          <w:p w14:paraId="6847C53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Pirmuoju sakiniu reglamentuojamas apmokėjimo principas, kad Klientas </w:t>
            </w:r>
            <w:r w:rsidRPr="007068B0">
              <w:rPr>
                <w:rFonts w:ascii="Arial" w:hAnsi="Arial" w:cs="Arial"/>
                <w:sz w:val="20"/>
                <w:szCs w:val="20"/>
              </w:rPr>
              <w:lastRenderedPageBreak/>
              <w:t>neapmokama už nesuderintas darbų apimtis, o antruoju – kokybiniai reikalavimai Užsakyme užsakytų Vystymo paslaugų įgyvendinimo rezultatui. Visi darbai atliekami tik pagal Kliento Užsakymą ir jo apimtį.</w:t>
            </w:r>
          </w:p>
          <w:p w14:paraId="2464AD83"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Atsižvelgiant į tai, siūlymui palikti tik pirmąjį sakinio dalį nepritariama.</w:t>
            </w:r>
          </w:p>
          <w:p w14:paraId="456143B8" w14:textId="77777777" w:rsidR="003027D0" w:rsidRPr="007068B0" w:rsidRDefault="003027D0" w:rsidP="00E63DEF">
            <w:pPr>
              <w:spacing w:before="60" w:after="60"/>
              <w:jc w:val="both"/>
              <w:rPr>
                <w:rFonts w:ascii="Arial" w:hAnsi="Arial" w:cs="Arial"/>
                <w:sz w:val="20"/>
                <w:szCs w:val="20"/>
              </w:rPr>
            </w:pPr>
          </w:p>
        </w:tc>
      </w:tr>
      <w:tr w:rsidR="003027D0" w:rsidRPr="007068B0" w14:paraId="22CF80B1" w14:textId="77777777" w:rsidTr="00E63DEF">
        <w:tc>
          <w:tcPr>
            <w:tcW w:w="0" w:type="auto"/>
          </w:tcPr>
          <w:p w14:paraId="3F50CFA0"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1A39F489"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4.2.14. punktas</w:t>
            </w:r>
          </w:p>
        </w:tc>
        <w:tc>
          <w:tcPr>
            <w:tcW w:w="3260" w:type="dxa"/>
          </w:tcPr>
          <w:p w14:paraId="3C66E338"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patikslinti sekančiai:</w:t>
            </w:r>
          </w:p>
          <w:p w14:paraId="52279EB4" w14:textId="77777777" w:rsidR="003027D0" w:rsidRPr="007068B0" w:rsidRDefault="003027D0" w:rsidP="00E63DEF">
            <w:pPr>
              <w:tabs>
                <w:tab w:val="left" w:pos="993"/>
              </w:tabs>
              <w:jc w:val="both"/>
              <w:rPr>
                <w:rFonts w:ascii="Arial" w:hAnsi="Arial" w:cs="Arial"/>
                <w:sz w:val="20"/>
                <w:szCs w:val="20"/>
              </w:rPr>
            </w:pPr>
            <w:r w:rsidRPr="007068B0">
              <w:rPr>
                <w:rFonts w:ascii="Arial" w:hAnsi="Arial" w:cs="Arial"/>
                <w:sz w:val="20"/>
                <w:szCs w:val="20"/>
              </w:rPr>
              <w:t>„</w:t>
            </w:r>
            <w:r w:rsidRPr="007068B0">
              <w:rPr>
                <w:rFonts w:ascii="Arial" w:eastAsia="Arial" w:hAnsi="Arial" w:cs="Arial"/>
                <w:sz w:val="20"/>
                <w:szCs w:val="20"/>
              </w:rPr>
              <w:t>Kartu su diegimo instrukcija Paslaugų teikėjas turi pateikti atnaujintą naudotojo vadovą (Klientas prieš Užsakymą pateiks Paslaugų teikėjui einamąją naudotojo vadovo versiją), kuriame turi būti pateikta:</w:t>
            </w:r>
            <w:r w:rsidRPr="007068B0">
              <w:rPr>
                <w:rFonts w:ascii="Arial" w:hAnsi="Arial" w:cs="Arial"/>
                <w:sz w:val="20"/>
                <w:szCs w:val="20"/>
              </w:rPr>
              <w:t>“</w:t>
            </w:r>
          </w:p>
        </w:tc>
        <w:tc>
          <w:tcPr>
            <w:tcW w:w="4820" w:type="dxa"/>
          </w:tcPr>
          <w:p w14:paraId="5500448B"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Kadangi Paslaugų teikėjas neturi Sistemos naudotojo vadovo, tai jo atnaujinimui Klientas turėtų pateikti einamąją naudotojo vadovo versiją.</w:t>
            </w:r>
          </w:p>
        </w:tc>
        <w:tc>
          <w:tcPr>
            <w:tcW w:w="4105" w:type="dxa"/>
          </w:tcPr>
          <w:p w14:paraId="06526A95"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Perkančioji organizacija pažymi, kad 4.2.14 punkto reikalavimas taikomas užsakytų Vystymo paslaugų apimtyje. Paslaugų teikėjas atnaujina naudotojo vadovą tiek, kiek tai susiję su įgyvendintais funkcionalumo pakeitimais. Pasirašius sutartį, Paslaugų teikėjui bus pateikta visa Kliento turima su Sistema susijusi dokumentacija, įskaitant ir einamąją naudotojo vadovo versiją.</w:t>
            </w:r>
          </w:p>
        </w:tc>
      </w:tr>
      <w:tr w:rsidR="003027D0" w:rsidRPr="007068B0" w14:paraId="7CC71600" w14:textId="77777777" w:rsidTr="00E63DEF">
        <w:tc>
          <w:tcPr>
            <w:tcW w:w="0" w:type="auto"/>
          </w:tcPr>
          <w:p w14:paraId="0D88C060"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5248CD95"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5.1.14. punktas</w:t>
            </w:r>
          </w:p>
        </w:tc>
        <w:tc>
          <w:tcPr>
            <w:tcW w:w="3260" w:type="dxa"/>
          </w:tcPr>
          <w:p w14:paraId="4E03BB7F"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pašalinti šį punktą iš Techninės specifikacijos.</w:t>
            </w:r>
          </w:p>
        </w:tc>
        <w:tc>
          <w:tcPr>
            <w:tcW w:w="4820" w:type="dxa"/>
          </w:tcPr>
          <w:p w14:paraId="003CE656"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Kaip minėta aukščiau, Techninės specifikacijos 2 skyriuje yra numatytas tik paslaugų teikimas pagal atskirus Kliento pateiktus Užsakymus ar užklausas/ paklausimus ir nenumatytas jokių periodinių apmokamų mėnesinių/metinių paslaugų teikimas. Iš principo, Klientas gali iš viso neužsakyti jokių paslaugų per visą sutarties laikotarpį. Tad Techninėje specifikacijoje neturi būti numatomas papildomų periodinių paslaugų (ataskaitų ar pan.) teikimas. Jeigu toks poreikis bus, tai jos galės būti užsakytos atskiru Užsakymu.</w:t>
            </w:r>
          </w:p>
        </w:tc>
        <w:tc>
          <w:tcPr>
            <w:tcW w:w="4105" w:type="dxa"/>
          </w:tcPr>
          <w:p w14:paraId="3B5D13A3"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5.1.14 punktu nenustatomos periodinės apmokamos paslaugos ir jis nėra siejamas su atskirais Kliento Užsakymais. Šiuo punktu nustatomas bendras sutartinis reikalavimas informacijos saugos ir IT valdysenos užtikrinimui (ataskaitos arba audito galimybė), todėl siūlymui jį šalinti nepritariama.</w:t>
            </w:r>
          </w:p>
        </w:tc>
      </w:tr>
      <w:tr w:rsidR="003027D0" w:rsidRPr="007068B0" w14:paraId="47924BA4" w14:textId="77777777" w:rsidTr="00E63DEF">
        <w:tc>
          <w:tcPr>
            <w:tcW w:w="0" w:type="auto"/>
          </w:tcPr>
          <w:p w14:paraId="7CA3F8A7"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39872C35"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5.2 skyrius</w:t>
            </w:r>
          </w:p>
        </w:tc>
        <w:tc>
          <w:tcPr>
            <w:tcW w:w="3260" w:type="dxa"/>
          </w:tcPr>
          <w:p w14:paraId="11B7CBBE"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pašalinti šį skyrių iš Techninės specifikacijos.</w:t>
            </w:r>
          </w:p>
        </w:tc>
        <w:tc>
          <w:tcPr>
            <w:tcW w:w="4820" w:type="dxa"/>
          </w:tcPr>
          <w:p w14:paraId="530FED5F"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Dauguma architektūrinių reikalavimų yra skirti naujai kuriamai sistemai. TAAS sistema yra jau sukurta ir naudojama. Jos funkcionalumas / architektūra jau dabar netenkina kai kurių keliamų architektūrinių reikalavimų. Naujai užsakomi vystymo darbai negalės iš principo tenkinti nurodytų reikalavimų, jeigu visa Sistema </w:t>
            </w:r>
            <w:r w:rsidRPr="007068B0">
              <w:rPr>
                <w:rFonts w:ascii="Arial" w:hAnsi="Arial" w:cs="Arial"/>
                <w:sz w:val="20"/>
                <w:szCs w:val="20"/>
              </w:rPr>
              <w:lastRenderedPageBreak/>
              <w:t xml:space="preserve">dabar jų jau netenkina. Esant poreikiui konkrečiame paslaugų užsakyme galima bus įvardinti, kokie architektūriniai reikalavimai taikomi konkrečiam Užsakymui.  </w:t>
            </w:r>
          </w:p>
        </w:tc>
        <w:tc>
          <w:tcPr>
            <w:tcW w:w="4105" w:type="dxa"/>
          </w:tcPr>
          <w:p w14:paraId="25123BF1" w14:textId="3567B77D" w:rsidR="003027D0" w:rsidRPr="007068B0" w:rsidRDefault="00301AE2" w:rsidP="00E63DEF">
            <w:pPr>
              <w:spacing w:before="60" w:after="60"/>
              <w:jc w:val="both"/>
              <w:rPr>
                <w:rFonts w:ascii="Arial" w:hAnsi="Arial" w:cs="Arial"/>
                <w:sz w:val="20"/>
                <w:szCs w:val="20"/>
              </w:rPr>
            </w:pPr>
            <w:r w:rsidRPr="007068B0">
              <w:rPr>
                <w:rFonts w:ascii="Arial" w:hAnsi="Arial" w:cs="Arial"/>
                <w:sz w:val="20"/>
                <w:szCs w:val="20"/>
              </w:rPr>
              <w:lastRenderedPageBreak/>
              <w:t>Atsižvelgiant į jūsų</w:t>
            </w:r>
            <w:r w:rsidR="00786E2B" w:rsidRPr="007068B0">
              <w:rPr>
                <w:rFonts w:ascii="Arial" w:hAnsi="Arial" w:cs="Arial"/>
                <w:sz w:val="20"/>
                <w:szCs w:val="20"/>
              </w:rPr>
              <w:t xml:space="preserve"> siūlymą, </w:t>
            </w:r>
            <w:r w:rsidR="003027D0" w:rsidRPr="007068B0">
              <w:rPr>
                <w:rFonts w:ascii="Arial" w:hAnsi="Arial" w:cs="Arial"/>
                <w:sz w:val="20"/>
                <w:szCs w:val="20"/>
              </w:rPr>
              <w:t>perkančioji organizacija sutinka pakoreguoti techninę specifikaciją pašalinant neaktualius punktus</w:t>
            </w:r>
            <w:r w:rsidR="00786E2B" w:rsidRPr="007068B0">
              <w:rPr>
                <w:rFonts w:ascii="Arial" w:hAnsi="Arial" w:cs="Arial"/>
                <w:sz w:val="20"/>
                <w:szCs w:val="20"/>
              </w:rPr>
              <w:t xml:space="preserve"> taip, kaip nurodyta pridedamoje Techninės specifikacijos Aktualiojo redakcijoje.</w:t>
            </w:r>
          </w:p>
        </w:tc>
      </w:tr>
      <w:tr w:rsidR="003027D0" w:rsidRPr="007068B0" w14:paraId="6FAF4A0F" w14:textId="77777777" w:rsidTr="00E63DEF">
        <w:tc>
          <w:tcPr>
            <w:tcW w:w="0" w:type="auto"/>
          </w:tcPr>
          <w:p w14:paraId="526CAA2B"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2DC91A6D"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Techninės specifikacijos 7.1.4. punktas</w:t>
            </w:r>
          </w:p>
        </w:tc>
        <w:tc>
          <w:tcPr>
            <w:tcW w:w="3260" w:type="dxa"/>
          </w:tcPr>
          <w:p w14:paraId="1707832B"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papildyti sekančiai:</w:t>
            </w:r>
          </w:p>
          <w:p w14:paraId="163FCB9C"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„Kartu su Vystymo paslaugų perdavimo–priėmimo aktu Paslaugų teikėjas privalo Klientui pateikti 7.1.4.1.– 7.1.4.8 punktuose nurodytą dokumentaciją ir suprogramuotus kodus. Kiekviename Užsakyme bus nurodomą, kurią konkrečiai dokumentaciją reikia paruošti su atitinkamu Užsakymu:“</w:t>
            </w:r>
          </w:p>
        </w:tc>
        <w:tc>
          <w:tcPr>
            <w:tcW w:w="4820" w:type="dxa"/>
          </w:tcPr>
          <w:p w14:paraId="2872E1FC"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Konsultavimo ar vystymo Užsakymai yra labai skirtingai ir ne visais atvejai gali būti iš principo paruošta kuri nors iš  7.1.4.1 – 7.1.4.8. išvardintų dokumentacijų, todėl Užsakyme turėtų būti aiškiai įvardinta, kuri dokumentacija turi būti paruošta su atitinkamu Užsakymų. </w:t>
            </w:r>
          </w:p>
        </w:tc>
        <w:tc>
          <w:tcPr>
            <w:tcW w:w="4105" w:type="dxa"/>
          </w:tcPr>
          <w:p w14:paraId="5A5450DE" w14:textId="30B4F96B" w:rsidR="003027D0" w:rsidRPr="007068B0" w:rsidRDefault="00786E2B" w:rsidP="00E63DEF">
            <w:pPr>
              <w:spacing w:before="60" w:after="60"/>
              <w:jc w:val="both"/>
              <w:rPr>
                <w:rFonts w:ascii="Arial" w:hAnsi="Arial" w:cs="Arial"/>
                <w:sz w:val="20"/>
                <w:szCs w:val="20"/>
              </w:rPr>
            </w:pPr>
            <w:r w:rsidRPr="007068B0">
              <w:rPr>
                <w:rFonts w:ascii="Arial" w:hAnsi="Arial" w:cs="Arial"/>
                <w:sz w:val="20"/>
                <w:szCs w:val="20"/>
              </w:rPr>
              <w:t>Su siūlymu sutinkame, nurodytą punktą papildome.</w:t>
            </w:r>
          </w:p>
        </w:tc>
      </w:tr>
      <w:tr w:rsidR="003027D0" w:rsidRPr="007068B0" w14:paraId="2972D652" w14:textId="77777777" w:rsidTr="00E63DEF">
        <w:tc>
          <w:tcPr>
            <w:tcW w:w="0" w:type="auto"/>
          </w:tcPr>
          <w:p w14:paraId="32B9137E"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012D8DF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Sutarties SS 14.5 ir 14.6 punktai</w:t>
            </w:r>
          </w:p>
        </w:tc>
        <w:tc>
          <w:tcPr>
            <w:tcW w:w="3260" w:type="dxa"/>
          </w:tcPr>
          <w:p w14:paraId="4BAAD667"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pašalinti šias sąlygas iš Sutarties.</w:t>
            </w:r>
          </w:p>
        </w:tc>
        <w:tc>
          <w:tcPr>
            <w:tcW w:w="4820" w:type="dxa"/>
          </w:tcPr>
          <w:p w14:paraId="73EFF952"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Nurodytos Sutarties sąlygos nėra susijusios su Sutarties dalyku; Tiekėjui privalomi įstatymų reikalavimai, įskaitant ir LR mobilizacijos ir priimančios šalies paramos įstatymo (1996) normas, būtų taikomi ne sutartiniu pagrindu, esant atitinkamiems pagrindams; tokių sąlygų įtraukimas į Sutartį sukuria esminį neapibrėžtumą Tiekėjui, kuris negali būti tinkamai įvertintas finansiškai. Jei Pirkėjas mano, kad nurodytos sąlygos yra reikalingos, jų turinys Tiekėjo atžvilgiu privalo būti išsamiai apibrėžtas Sutarties TS.</w:t>
            </w:r>
          </w:p>
        </w:tc>
        <w:tc>
          <w:tcPr>
            <w:tcW w:w="4105" w:type="dxa"/>
          </w:tcPr>
          <w:p w14:paraId="583CA42A" w14:textId="3F1CBBE2" w:rsidR="003027D0" w:rsidRPr="007068B0" w:rsidRDefault="008F3D24" w:rsidP="00E63DEF">
            <w:pPr>
              <w:spacing w:before="60" w:after="60"/>
              <w:jc w:val="both"/>
              <w:rPr>
                <w:rFonts w:ascii="Arial" w:hAnsi="Arial" w:cs="Arial"/>
                <w:sz w:val="20"/>
                <w:szCs w:val="20"/>
              </w:rPr>
            </w:pPr>
            <w:r w:rsidRPr="007068B0">
              <w:rPr>
                <w:rFonts w:ascii="Arial" w:hAnsi="Arial" w:cs="Arial"/>
                <w:sz w:val="20"/>
                <w:szCs w:val="20"/>
              </w:rPr>
              <w:t>Su siūlymu sutinkame, nurodytus punktus išbraukiame</w:t>
            </w:r>
            <w:r w:rsidR="003027D0" w:rsidRPr="007068B0">
              <w:rPr>
                <w:rFonts w:ascii="Arial" w:hAnsi="Arial" w:cs="Arial"/>
                <w:sz w:val="20"/>
                <w:szCs w:val="20"/>
              </w:rPr>
              <w:t xml:space="preserve">. </w:t>
            </w:r>
          </w:p>
        </w:tc>
      </w:tr>
      <w:tr w:rsidR="003027D0" w:rsidRPr="007068B0" w14:paraId="7EA7965E" w14:textId="77777777" w:rsidTr="00E63DEF">
        <w:tc>
          <w:tcPr>
            <w:tcW w:w="0" w:type="auto"/>
          </w:tcPr>
          <w:p w14:paraId="3594D351"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297BA7DD"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Sutarties BS 17.2 punktas</w:t>
            </w:r>
          </w:p>
        </w:tc>
        <w:tc>
          <w:tcPr>
            <w:tcW w:w="3260" w:type="dxa"/>
          </w:tcPr>
          <w:p w14:paraId="07E3902C"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(pvz., papildant Sutarties SS nauju 14.7 papunkčiu) pakeisti nurodytą BS 17.2 punktą taip:</w:t>
            </w:r>
          </w:p>
          <w:p w14:paraId="401E9504" w14:textId="77777777" w:rsidR="003027D0" w:rsidRPr="007068B0" w:rsidRDefault="003027D0" w:rsidP="00E63DEF">
            <w:pPr>
              <w:spacing w:before="60" w:after="60"/>
              <w:jc w:val="both"/>
              <w:rPr>
                <w:rFonts w:ascii="Arial" w:hAnsi="Arial" w:cs="Arial"/>
                <w:sz w:val="20"/>
                <w:szCs w:val="20"/>
              </w:rPr>
            </w:pPr>
          </w:p>
          <w:p w14:paraId="70479AA9" w14:textId="77777777" w:rsidR="003027D0" w:rsidRPr="007068B0" w:rsidRDefault="003027D0" w:rsidP="00E63DEF">
            <w:pPr>
              <w:jc w:val="both"/>
              <w:rPr>
                <w:rFonts w:ascii="Arial" w:hAnsi="Arial" w:cs="Arial"/>
                <w:sz w:val="20"/>
                <w:szCs w:val="20"/>
              </w:rPr>
            </w:pPr>
            <w:r w:rsidRPr="007068B0">
              <w:rPr>
                <w:rFonts w:ascii="Arial" w:hAnsi="Arial" w:cs="Arial"/>
                <w:sz w:val="20"/>
                <w:szCs w:val="20"/>
              </w:rPr>
              <w:t xml:space="preserve">„17.2. Netesybų sumokėjimas ir (ar) Sutarties įvykdymo užtikrinimo gavimas nepanaikina Šalies teisės reikalauti, kad kita Šalis </w:t>
            </w:r>
            <w:r w:rsidRPr="007068B0">
              <w:rPr>
                <w:rFonts w:ascii="Arial" w:hAnsi="Arial" w:cs="Arial"/>
                <w:sz w:val="20"/>
                <w:szCs w:val="20"/>
              </w:rPr>
              <w:lastRenderedPageBreak/>
              <w:t>kompensuotų jos patirtus nuostolius. Šioje Sutartyje nustatytos netesybos yra laikomos minimaliais, neįrodinėtinais Šalių nuostoliais. Šalys viena kitai atlygina tik tiesioginius nuostolius, kurie ribojami Sutarties Pradinės kainos dydžio suma. Šiame punkte numatytas atsakomybės ribojimas netaikomas, jei žala atsirado dėl konfidencialumo įsipareigojimų ar intelektinės nuosavybės teisių pažeidimo.“</w:t>
            </w:r>
          </w:p>
          <w:p w14:paraId="060527EE" w14:textId="77777777" w:rsidR="003027D0" w:rsidRPr="007068B0" w:rsidRDefault="003027D0" w:rsidP="00E63DEF">
            <w:pPr>
              <w:spacing w:before="60" w:after="60"/>
              <w:jc w:val="both"/>
              <w:rPr>
                <w:rFonts w:ascii="Arial" w:hAnsi="Arial" w:cs="Arial"/>
                <w:sz w:val="20"/>
                <w:szCs w:val="20"/>
              </w:rPr>
            </w:pPr>
          </w:p>
        </w:tc>
        <w:tc>
          <w:tcPr>
            <w:tcW w:w="4820" w:type="dxa"/>
          </w:tcPr>
          <w:p w14:paraId="0ED9838C"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lastRenderedPageBreak/>
              <w:t xml:space="preserve">Pagal jau vyraujančią geriausią rinkos (ir Pirkėjo konkrečiai) sutarčių politiką prašome apriboti Sutarties šalių atsakomybę ir (i) tiesioginiais nuostoliais greta jau numatyto apribojimo (ii) Sutarties kaina. Tokio apribojimo nebuvimas iš esmės didina Tiekėjo riziką ir neigiamai Pirkėjui įtakoja pasiūlymo kainą. </w:t>
            </w:r>
          </w:p>
        </w:tc>
        <w:tc>
          <w:tcPr>
            <w:tcW w:w="4105" w:type="dxa"/>
          </w:tcPr>
          <w:p w14:paraId="49983A2C"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Pritariame iš dalies, t. y. sutinkame papildomai numatyti atsakomybės ribojimą tiesioginiais nuostoliais, tačiau nesutinkame su pasiūlymu taikyti atsakomybės ribojimą ir tais atvejais, jeigu žala atsirado dėl asmens duomenų apsaugą reglamentuojančių teisės aktų pažeidimo. </w:t>
            </w:r>
          </w:p>
          <w:p w14:paraId="6FFC792E" w14:textId="77777777" w:rsidR="003027D0" w:rsidRPr="007068B0" w:rsidRDefault="003027D0" w:rsidP="00E63DEF">
            <w:pPr>
              <w:spacing w:before="60" w:after="60"/>
              <w:jc w:val="both"/>
              <w:rPr>
                <w:rFonts w:ascii="Arial" w:hAnsi="Arial" w:cs="Arial"/>
                <w:sz w:val="20"/>
                <w:szCs w:val="20"/>
              </w:rPr>
            </w:pPr>
          </w:p>
          <w:p w14:paraId="43C1D9B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lastRenderedPageBreak/>
              <w:t>Atsižvelgiant į tai, Sutarties SS papildomos nauju 14.5 punktu, kuris išdėstomas sekančiai:</w:t>
            </w:r>
          </w:p>
          <w:p w14:paraId="7EC91810"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w:t>
            </w:r>
            <w:r w:rsidRPr="007068B0">
              <w:rPr>
                <w:rFonts w:ascii="Arial" w:hAnsi="Arial" w:cs="Arial"/>
                <w:i/>
                <w:iCs/>
                <w:sz w:val="20"/>
                <w:szCs w:val="20"/>
              </w:rPr>
              <w:t>Nepažeidžiant kitų Sutarties BS nustatytų sąlygų, Šalys viena kitai atlygina tik tiesioginius nuostolius, kurie ribojami Sutarties Pradinės kainos dydžio suma</w:t>
            </w:r>
            <w:r w:rsidRPr="007068B0">
              <w:rPr>
                <w:rFonts w:ascii="Arial" w:hAnsi="Arial" w:cs="Arial"/>
                <w:sz w:val="20"/>
                <w:szCs w:val="20"/>
              </w:rPr>
              <w:t>.“</w:t>
            </w:r>
          </w:p>
          <w:p w14:paraId="03AD29EF" w14:textId="77777777" w:rsidR="003027D0" w:rsidRPr="007068B0" w:rsidRDefault="003027D0" w:rsidP="00E63DEF">
            <w:pPr>
              <w:spacing w:before="60" w:after="60"/>
              <w:jc w:val="both"/>
              <w:rPr>
                <w:rFonts w:ascii="Arial" w:hAnsi="Arial" w:cs="Arial"/>
                <w:sz w:val="20"/>
                <w:szCs w:val="20"/>
              </w:rPr>
            </w:pPr>
          </w:p>
          <w:p w14:paraId="252E5CB7" w14:textId="77777777" w:rsidR="003027D0" w:rsidRPr="007068B0" w:rsidRDefault="003027D0" w:rsidP="00E63DEF">
            <w:pPr>
              <w:spacing w:before="60" w:after="60"/>
              <w:jc w:val="both"/>
              <w:rPr>
                <w:rFonts w:ascii="Arial" w:hAnsi="Arial" w:cs="Arial"/>
                <w:sz w:val="20"/>
                <w:szCs w:val="20"/>
              </w:rPr>
            </w:pPr>
          </w:p>
        </w:tc>
      </w:tr>
      <w:tr w:rsidR="003027D0" w:rsidRPr="007068B0" w14:paraId="47CD7656" w14:textId="77777777" w:rsidTr="00E63DEF">
        <w:tc>
          <w:tcPr>
            <w:tcW w:w="0" w:type="auto"/>
          </w:tcPr>
          <w:p w14:paraId="7E4095B2" w14:textId="77777777" w:rsidR="003027D0" w:rsidRPr="007068B0" w:rsidRDefault="003027D0" w:rsidP="003027D0">
            <w:pPr>
              <w:pStyle w:val="ListParagraph"/>
              <w:numPr>
                <w:ilvl w:val="0"/>
                <w:numId w:val="3"/>
              </w:numPr>
              <w:tabs>
                <w:tab w:val="left" w:pos="171"/>
              </w:tabs>
              <w:spacing w:after="0" w:line="240" w:lineRule="auto"/>
              <w:ind w:left="0" w:firstLine="0"/>
              <w:rPr>
                <w:rFonts w:ascii="Arial" w:hAnsi="Arial" w:cs="Arial"/>
                <w:sz w:val="20"/>
                <w:szCs w:val="20"/>
              </w:rPr>
            </w:pPr>
          </w:p>
        </w:tc>
        <w:tc>
          <w:tcPr>
            <w:tcW w:w="1988" w:type="dxa"/>
          </w:tcPr>
          <w:p w14:paraId="0EBBD01E"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Duomenų tvarkymo sutartis (Sutarties SS 5 priedas)</w:t>
            </w:r>
          </w:p>
        </w:tc>
        <w:tc>
          <w:tcPr>
            <w:tcW w:w="3260" w:type="dxa"/>
          </w:tcPr>
          <w:p w14:paraId="562BCB84"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Siūlome papildyti Duomenų tvarkymo sutartį nauju 11.5 punktu:</w:t>
            </w:r>
          </w:p>
          <w:p w14:paraId="692B5EC4" w14:textId="77777777" w:rsidR="003027D0" w:rsidRPr="007068B0" w:rsidRDefault="003027D0" w:rsidP="00E63DEF">
            <w:pPr>
              <w:spacing w:before="60" w:after="60"/>
              <w:jc w:val="both"/>
              <w:rPr>
                <w:rFonts w:ascii="Arial" w:hAnsi="Arial" w:cs="Arial"/>
                <w:sz w:val="20"/>
                <w:szCs w:val="20"/>
              </w:rPr>
            </w:pPr>
          </w:p>
          <w:p w14:paraId="3FDF80E9"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„11.5. Tvarkytojo civilinė atsakomybė apribojama pagal Sutarties Bendrųjų sąlygų 17.2 punktą (kaip pakeistą Sutarties Specialiųjų sąlygų 14.7 papunktyje).”</w:t>
            </w:r>
          </w:p>
        </w:tc>
        <w:tc>
          <w:tcPr>
            <w:tcW w:w="4820" w:type="dxa"/>
          </w:tcPr>
          <w:p w14:paraId="7C614036"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 xml:space="preserve">Duomenų tvarkymo santykis nėra papildomai atlyginamas Tiekėjui ir pati duomenų tvarkymo sutartis yra akcesorinė pagrindinės paslaugų sutarties atžvilgiu. Visos sandorio rizikų valdymo priemonės, numatytos pagrindinėje sutartyje, turi būti taikomos ir duomenų tvarkymo santykiui. </w:t>
            </w:r>
          </w:p>
          <w:p w14:paraId="39E94217"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Pažymime, kad būtent tokia praktika mums yra žinoma pagal mūsų daugkartinę patirtį su Pirkėju.</w:t>
            </w:r>
          </w:p>
        </w:tc>
        <w:tc>
          <w:tcPr>
            <w:tcW w:w="4105" w:type="dxa"/>
          </w:tcPr>
          <w:p w14:paraId="44994A8A" w14:textId="77777777" w:rsidR="003027D0" w:rsidRPr="007068B0" w:rsidRDefault="003027D0" w:rsidP="00E63DEF">
            <w:pPr>
              <w:spacing w:before="60" w:after="60"/>
              <w:jc w:val="both"/>
              <w:rPr>
                <w:rFonts w:ascii="Arial" w:hAnsi="Arial" w:cs="Arial"/>
                <w:sz w:val="20"/>
                <w:szCs w:val="20"/>
              </w:rPr>
            </w:pPr>
            <w:r w:rsidRPr="007068B0">
              <w:rPr>
                <w:rFonts w:ascii="Arial" w:hAnsi="Arial" w:cs="Arial"/>
                <w:sz w:val="20"/>
                <w:szCs w:val="20"/>
              </w:rPr>
              <w:t>Nepritariame. Pažymėtina, kad Duomenų tvarkymo sutarties 11.1 p. nustato tik tiesioginių nuostolių atlyginimą. Pirkėjo įsitikinimu, tai yra laikoma pakankamu tiekėjo atsakomybės ribojimu atsižvelgiant į pirkimo objekto specifiką ir potencialias rizikas, susijusias su asmens duomenų tvarkymu.</w:t>
            </w:r>
          </w:p>
        </w:tc>
      </w:tr>
    </w:tbl>
    <w:p w14:paraId="6A12FB20" w14:textId="77777777" w:rsidR="009251DC" w:rsidRPr="007068B0" w:rsidRDefault="009251DC" w:rsidP="00DE49B1">
      <w:pPr>
        <w:ind w:firstLine="567"/>
        <w:jc w:val="both"/>
        <w:rPr>
          <w:rFonts w:ascii="Arial" w:eastAsiaTheme="minorHAnsi" w:hAnsi="Arial" w:cs="Arial"/>
          <w:sz w:val="20"/>
          <w:szCs w:val="20"/>
          <w:lang w:val="lt-LT" w:eastAsia="lt-LT"/>
        </w:rPr>
      </w:pPr>
    </w:p>
    <w:p w14:paraId="0D231050" w14:textId="1DB95588" w:rsidR="00BD6B85" w:rsidRPr="007068B0" w:rsidRDefault="00DE15C5" w:rsidP="00DE49B1">
      <w:pPr>
        <w:ind w:firstLine="567"/>
        <w:jc w:val="both"/>
        <w:rPr>
          <w:rFonts w:ascii="Arial" w:eastAsiaTheme="minorHAnsi" w:hAnsi="Arial" w:cs="Arial"/>
          <w:sz w:val="20"/>
          <w:szCs w:val="20"/>
          <w:lang w:val="lt-LT" w:eastAsia="lt-LT"/>
        </w:rPr>
      </w:pPr>
      <w:r w:rsidRPr="007068B0">
        <w:rPr>
          <w:rFonts w:ascii="Arial" w:eastAsiaTheme="minorHAnsi" w:hAnsi="Arial" w:cs="Arial"/>
          <w:sz w:val="20"/>
          <w:szCs w:val="20"/>
          <w:lang w:val="lt-LT" w:eastAsia="lt-LT"/>
        </w:rPr>
        <w:t>Pakeitimai dokumentuose</w:t>
      </w:r>
      <w:r w:rsidR="009822DD" w:rsidRPr="007068B0">
        <w:rPr>
          <w:rFonts w:ascii="Arial" w:eastAsiaTheme="minorHAnsi" w:hAnsi="Arial" w:cs="Arial"/>
          <w:sz w:val="20"/>
          <w:szCs w:val="20"/>
          <w:lang w:val="lt-LT" w:eastAsia="lt-LT"/>
        </w:rPr>
        <w:t xml:space="preserve"> pažymėti raudona spalva.</w:t>
      </w:r>
    </w:p>
    <w:p w14:paraId="6D5A78C5" w14:textId="77777777" w:rsidR="00980FE5" w:rsidRPr="007068B0" w:rsidRDefault="00980FE5" w:rsidP="00DE49B1">
      <w:pPr>
        <w:ind w:firstLine="567"/>
        <w:jc w:val="both"/>
        <w:rPr>
          <w:rFonts w:ascii="Arial" w:hAnsi="Arial" w:cs="Arial"/>
          <w:sz w:val="20"/>
          <w:szCs w:val="20"/>
          <w:lang w:val="lt-LT"/>
        </w:rPr>
      </w:pPr>
    </w:p>
    <w:p w14:paraId="0EB378E5" w14:textId="1207E9E0" w:rsidR="00AD4D4D" w:rsidRPr="007068B0" w:rsidRDefault="00965979" w:rsidP="00DE49B1">
      <w:pPr>
        <w:tabs>
          <w:tab w:val="left" w:pos="567"/>
        </w:tabs>
        <w:ind w:right="-1" w:firstLine="567"/>
        <w:jc w:val="both"/>
        <w:rPr>
          <w:rFonts w:ascii="Arial" w:hAnsi="Arial" w:cs="Arial"/>
          <w:color w:val="0D0D0D"/>
          <w:sz w:val="20"/>
          <w:szCs w:val="20"/>
          <w:lang w:val="lt-LT"/>
        </w:rPr>
      </w:pPr>
      <w:r w:rsidRPr="007068B0">
        <w:rPr>
          <w:rFonts w:ascii="Arial" w:hAnsi="Arial" w:cs="Arial"/>
          <w:color w:val="0D0D0D" w:themeColor="text1" w:themeTint="F2"/>
          <w:sz w:val="20"/>
          <w:szCs w:val="20"/>
          <w:lang w:val="lt-LT"/>
        </w:rPr>
        <w:t>V</w:t>
      </w:r>
      <w:r w:rsidR="00AD4D4D" w:rsidRPr="007068B0">
        <w:rPr>
          <w:rFonts w:ascii="Arial" w:hAnsi="Arial" w:cs="Arial"/>
          <w:color w:val="0D0D0D" w:themeColor="text1" w:themeTint="F2"/>
          <w:sz w:val="20"/>
          <w:szCs w:val="20"/>
          <w:lang w:val="lt-LT"/>
        </w:rPr>
        <w:t>adovaujantis</w:t>
      </w:r>
      <w:r w:rsidR="00C935C9" w:rsidRPr="007068B0">
        <w:rPr>
          <w:rFonts w:ascii="Arial" w:hAnsi="Arial" w:cs="Arial"/>
          <w:color w:val="0D0D0D" w:themeColor="text1" w:themeTint="F2"/>
          <w:sz w:val="20"/>
          <w:szCs w:val="20"/>
          <w:lang w:val="lt-LT"/>
        </w:rPr>
        <w:t xml:space="preserve"> </w:t>
      </w:r>
      <w:r w:rsidR="0015237E" w:rsidRPr="007068B0">
        <w:rPr>
          <w:rFonts w:ascii="Arial" w:hAnsi="Arial" w:cs="Arial"/>
          <w:sz w:val="20"/>
          <w:szCs w:val="20"/>
          <w:lang w:val="lt-LT"/>
        </w:rPr>
        <w:t>Bendrųjų pirkim</w:t>
      </w:r>
      <w:r w:rsidR="006C5167" w:rsidRPr="007068B0">
        <w:rPr>
          <w:rFonts w:ascii="Arial" w:hAnsi="Arial" w:cs="Arial"/>
          <w:sz w:val="20"/>
          <w:szCs w:val="20"/>
          <w:lang w:val="lt-LT"/>
        </w:rPr>
        <w:t>ų</w:t>
      </w:r>
      <w:r w:rsidR="0015237E" w:rsidRPr="007068B0">
        <w:rPr>
          <w:rFonts w:ascii="Arial" w:hAnsi="Arial" w:cs="Arial"/>
          <w:sz w:val="20"/>
          <w:szCs w:val="20"/>
          <w:lang w:val="lt-LT"/>
        </w:rPr>
        <w:t xml:space="preserve"> sąlyg</w:t>
      </w:r>
      <w:r w:rsidR="008031AD" w:rsidRPr="007068B0">
        <w:rPr>
          <w:rFonts w:ascii="Arial" w:hAnsi="Arial" w:cs="Arial"/>
          <w:sz w:val="20"/>
          <w:szCs w:val="20"/>
          <w:lang w:val="lt-LT"/>
        </w:rPr>
        <w:t xml:space="preserve">ų </w:t>
      </w:r>
      <w:r w:rsidR="008C74CE" w:rsidRPr="007068B0">
        <w:rPr>
          <w:rFonts w:ascii="Arial" w:hAnsi="Arial" w:cs="Arial"/>
          <w:sz w:val="20"/>
          <w:szCs w:val="20"/>
          <w:lang w:val="lt-LT"/>
        </w:rPr>
        <w:t xml:space="preserve">(BPS) </w:t>
      </w:r>
      <w:r w:rsidR="008031AD" w:rsidRPr="007068B0">
        <w:rPr>
          <w:rFonts w:ascii="Arial" w:hAnsi="Arial" w:cs="Arial"/>
          <w:sz w:val="20"/>
          <w:szCs w:val="20"/>
          <w:lang w:val="lt-LT"/>
        </w:rPr>
        <w:t>nuostatomis</w:t>
      </w:r>
      <w:r w:rsidR="18BDE9E3" w:rsidRPr="007068B0">
        <w:rPr>
          <w:rFonts w:ascii="Arial" w:hAnsi="Arial" w:cs="Arial"/>
          <w:sz w:val="20"/>
          <w:szCs w:val="20"/>
          <w:lang w:val="lt-LT"/>
        </w:rPr>
        <w:t>,</w:t>
      </w:r>
      <w:r w:rsidR="00C935C9" w:rsidRPr="007068B0">
        <w:rPr>
          <w:rFonts w:ascii="Arial" w:hAnsi="Arial" w:cs="Arial"/>
          <w:color w:val="0D0D0D" w:themeColor="text1" w:themeTint="F2"/>
          <w:sz w:val="20"/>
          <w:szCs w:val="20"/>
          <w:lang w:val="lt-LT"/>
        </w:rPr>
        <w:t xml:space="preserve"> </w:t>
      </w:r>
      <w:r w:rsidR="00AD4D4D" w:rsidRPr="007068B0">
        <w:rPr>
          <w:rFonts w:ascii="Arial" w:hAnsi="Arial" w:cs="Arial"/>
          <w:color w:val="0D0D0D" w:themeColor="text1" w:themeTint="F2"/>
          <w:sz w:val="20"/>
          <w:szCs w:val="20"/>
          <w:lang w:val="lt-LT"/>
        </w:rPr>
        <w:t>nukeliamas</w:t>
      </w:r>
      <w:r w:rsidR="00C935C9" w:rsidRPr="007068B0">
        <w:rPr>
          <w:rFonts w:ascii="Arial" w:hAnsi="Arial" w:cs="Arial"/>
          <w:color w:val="0D0D0D" w:themeColor="text1" w:themeTint="F2"/>
          <w:sz w:val="20"/>
          <w:szCs w:val="20"/>
          <w:lang w:val="lt-LT"/>
        </w:rPr>
        <w:t xml:space="preserve"> </w:t>
      </w:r>
      <w:sdt>
        <w:sdtPr>
          <w:rPr>
            <w:rFonts w:ascii="Arial" w:hAnsi="Arial" w:cs="Arial"/>
            <w:sz w:val="20"/>
            <w:szCs w:val="20"/>
            <w:lang w:val="lt-LT"/>
          </w:rPr>
          <w:id w:val="-605358153"/>
          <w:placeholder>
            <w:docPart w:val="187640FF7C824BDFA1EE6E4D4A2BBE20"/>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EndPr/>
        <w:sdtContent>
          <w:r w:rsidR="006C2551" w:rsidRPr="007068B0">
            <w:rPr>
              <w:rFonts w:ascii="Arial" w:hAnsi="Arial" w:cs="Arial"/>
              <w:sz w:val="20"/>
              <w:szCs w:val="20"/>
              <w:lang w:val="lt-LT"/>
            </w:rPr>
            <w:t>Pirminių pasiūlymų</w:t>
          </w:r>
        </w:sdtContent>
      </w:sdt>
      <w:r w:rsidR="008E4AFF" w:rsidRPr="007068B0">
        <w:rPr>
          <w:rFonts w:ascii="Arial" w:hAnsi="Arial" w:cs="Arial"/>
          <w:color w:val="0D0D0D" w:themeColor="text1" w:themeTint="F2"/>
          <w:sz w:val="20"/>
          <w:szCs w:val="20"/>
          <w:lang w:val="lt-LT"/>
        </w:rPr>
        <w:t xml:space="preserve"> </w:t>
      </w:r>
      <w:r w:rsidR="00AD4D4D" w:rsidRPr="007068B0">
        <w:rPr>
          <w:rFonts w:ascii="Arial" w:hAnsi="Arial" w:cs="Arial"/>
          <w:color w:val="0D0D0D" w:themeColor="text1" w:themeTint="F2"/>
          <w:sz w:val="20"/>
          <w:szCs w:val="20"/>
          <w:lang w:val="lt-LT"/>
        </w:rPr>
        <w:t>pateikimo terminas.</w:t>
      </w:r>
      <w:r w:rsidRPr="007068B0">
        <w:rPr>
          <w:rFonts w:ascii="Arial" w:hAnsi="Arial" w:cs="Arial"/>
          <w:color w:val="0D0D0D" w:themeColor="text1" w:themeTint="F2"/>
          <w:sz w:val="20"/>
          <w:szCs w:val="20"/>
          <w:lang w:val="lt-LT"/>
        </w:rPr>
        <w:t xml:space="preserve"> </w:t>
      </w:r>
      <w:r w:rsidR="00AD4D4D" w:rsidRPr="007068B0">
        <w:rPr>
          <w:rFonts w:ascii="Arial" w:hAnsi="Arial" w:cs="Arial"/>
          <w:color w:val="0D0D0D" w:themeColor="text1" w:themeTint="F2"/>
          <w:sz w:val="20"/>
          <w:szCs w:val="20"/>
          <w:lang w:val="lt-LT"/>
        </w:rPr>
        <w:t>Informacija apie patikslintą</w:t>
      </w:r>
      <w:r w:rsidR="008E4AFF" w:rsidRPr="007068B0">
        <w:rPr>
          <w:rFonts w:ascii="Arial" w:hAnsi="Arial" w:cs="Arial"/>
          <w:sz w:val="20"/>
          <w:szCs w:val="20"/>
          <w:lang w:val="lt-LT"/>
        </w:rPr>
        <w:t xml:space="preserve"> </w:t>
      </w:r>
      <w:r w:rsidR="00AD4D4D" w:rsidRPr="007068B0">
        <w:rPr>
          <w:rFonts w:ascii="Arial" w:hAnsi="Arial" w:cs="Arial"/>
          <w:color w:val="0D0D0D" w:themeColor="text1" w:themeTint="F2"/>
          <w:sz w:val="20"/>
          <w:szCs w:val="20"/>
          <w:lang w:val="lt-LT"/>
        </w:rPr>
        <w:t>terminą pateikiama CVP IS.</w:t>
      </w:r>
    </w:p>
    <w:p w14:paraId="1631B1E0" w14:textId="77777777" w:rsidR="00AD4D4D" w:rsidRPr="007068B0" w:rsidRDefault="00AD4D4D" w:rsidP="00DE49B1">
      <w:pPr>
        <w:pStyle w:val="Tekstas"/>
        <w:tabs>
          <w:tab w:val="clear" w:pos="6804"/>
          <w:tab w:val="left" w:pos="4215"/>
        </w:tabs>
        <w:ind w:firstLine="567"/>
        <w:jc w:val="both"/>
        <w:rPr>
          <w:rFonts w:ascii="Arial" w:hAnsi="Arial" w:cs="Arial"/>
          <w:sz w:val="20"/>
          <w:lang w:val="lt-LT"/>
        </w:rPr>
      </w:pPr>
    </w:p>
    <w:p w14:paraId="1FDE71AB" w14:textId="77777777" w:rsidR="008031AD" w:rsidRPr="007068B0" w:rsidRDefault="00AD4D4D" w:rsidP="00DE49B1">
      <w:pPr>
        <w:pStyle w:val="Tekstas"/>
        <w:tabs>
          <w:tab w:val="clear" w:pos="6804"/>
        </w:tabs>
        <w:ind w:firstLine="567"/>
        <w:jc w:val="both"/>
        <w:rPr>
          <w:rFonts w:ascii="Arial" w:hAnsi="Arial" w:cs="Arial"/>
          <w:b/>
          <w:bCs/>
          <w:color w:val="auto"/>
          <w:sz w:val="20"/>
          <w:lang w:val="lt-LT"/>
        </w:rPr>
      </w:pPr>
      <w:r w:rsidRPr="007068B0">
        <w:rPr>
          <w:rFonts w:ascii="Arial" w:hAnsi="Arial" w:cs="Arial"/>
          <w:b/>
          <w:bCs/>
          <w:color w:val="auto"/>
          <w:sz w:val="20"/>
          <w:lang w:val="lt-LT"/>
        </w:rPr>
        <w:t xml:space="preserve">PRIDEDAMA: </w:t>
      </w:r>
    </w:p>
    <w:p w14:paraId="34290B3E" w14:textId="77777777" w:rsidR="007068B0" w:rsidRPr="007068B0" w:rsidRDefault="006C2551" w:rsidP="006C2551">
      <w:pPr>
        <w:pStyle w:val="Tekstas"/>
        <w:numPr>
          <w:ilvl w:val="0"/>
          <w:numId w:val="5"/>
        </w:numPr>
        <w:tabs>
          <w:tab w:val="clear" w:pos="6804"/>
        </w:tabs>
        <w:jc w:val="both"/>
        <w:rPr>
          <w:rFonts w:ascii="Arial" w:hAnsi="Arial" w:cs="Arial"/>
          <w:color w:val="auto"/>
          <w:sz w:val="20"/>
          <w:lang w:val="lt-LT"/>
        </w:rPr>
      </w:pPr>
      <w:r w:rsidRPr="007068B0">
        <w:rPr>
          <w:rFonts w:ascii="Arial" w:hAnsi="Arial" w:cs="Arial"/>
          <w:color w:val="auto"/>
          <w:sz w:val="20"/>
          <w:lang w:val="lt-LT"/>
        </w:rPr>
        <w:t>Techninė specifikacija – AKTUALI REDAKCIJA</w:t>
      </w:r>
      <w:r w:rsidR="007068B0" w:rsidRPr="007068B0">
        <w:rPr>
          <w:rFonts w:ascii="Arial" w:hAnsi="Arial" w:cs="Arial"/>
          <w:color w:val="auto"/>
          <w:sz w:val="20"/>
          <w:lang w:val="lt-LT"/>
        </w:rPr>
        <w:t>;</w:t>
      </w:r>
    </w:p>
    <w:p w14:paraId="0B819932" w14:textId="1E4CC7E1" w:rsidR="00AD4D4D" w:rsidRPr="007068B0" w:rsidRDefault="007068B0" w:rsidP="006C2551">
      <w:pPr>
        <w:pStyle w:val="Tekstas"/>
        <w:numPr>
          <w:ilvl w:val="0"/>
          <w:numId w:val="5"/>
        </w:numPr>
        <w:tabs>
          <w:tab w:val="clear" w:pos="6804"/>
        </w:tabs>
        <w:jc w:val="both"/>
        <w:rPr>
          <w:rFonts w:ascii="Arial" w:hAnsi="Arial" w:cs="Arial"/>
          <w:color w:val="auto"/>
          <w:sz w:val="20"/>
          <w:lang w:val="lt-LT"/>
        </w:rPr>
      </w:pPr>
      <w:r w:rsidRPr="007068B0">
        <w:rPr>
          <w:rFonts w:ascii="Arial" w:hAnsi="Arial" w:cs="Arial"/>
          <w:color w:val="auto"/>
          <w:sz w:val="20"/>
          <w:lang w:val="lt-LT"/>
        </w:rPr>
        <w:t xml:space="preserve">Sutarties SS - </w:t>
      </w:r>
      <w:r w:rsidR="006C2551" w:rsidRPr="007068B0">
        <w:rPr>
          <w:rFonts w:ascii="Arial" w:hAnsi="Arial" w:cs="Arial"/>
          <w:color w:val="auto"/>
          <w:sz w:val="20"/>
          <w:lang w:val="lt-LT"/>
        </w:rPr>
        <w:t xml:space="preserve"> </w:t>
      </w:r>
      <w:r w:rsidRPr="007068B0">
        <w:rPr>
          <w:rFonts w:ascii="Arial" w:hAnsi="Arial" w:cs="Arial"/>
          <w:color w:val="auto"/>
          <w:sz w:val="20"/>
          <w:lang w:val="lt-LT"/>
        </w:rPr>
        <w:t>AKTUALI REDAKCIJA.</w:t>
      </w:r>
    </w:p>
    <w:p w14:paraId="51D88C52" w14:textId="5FB0C86C" w:rsidR="00AD4D4D" w:rsidRPr="007068B0" w:rsidRDefault="00AD4D4D" w:rsidP="00DE49B1">
      <w:pPr>
        <w:pStyle w:val="Tekstas"/>
        <w:tabs>
          <w:tab w:val="clear" w:pos="6804"/>
        </w:tabs>
        <w:ind w:firstLine="567"/>
        <w:jc w:val="both"/>
        <w:rPr>
          <w:rFonts w:ascii="Arial" w:hAnsi="Arial" w:cs="Arial"/>
          <w:sz w:val="20"/>
          <w:lang w:val="lt-LT"/>
        </w:rPr>
      </w:pPr>
    </w:p>
    <w:p w14:paraId="26A1FE59" w14:textId="77777777" w:rsidR="006A70EF" w:rsidRPr="007068B0" w:rsidRDefault="006A70EF" w:rsidP="00DE49B1">
      <w:pPr>
        <w:pStyle w:val="Tekstas"/>
        <w:tabs>
          <w:tab w:val="clear" w:pos="6804"/>
        </w:tabs>
        <w:ind w:firstLine="567"/>
        <w:jc w:val="both"/>
        <w:rPr>
          <w:rFonts w:ascii="Arial" w:hAnsi="Arial" w:cs="Arial"/>
          <w:sz w:val="20"/>
          <w:lang w:val="lt-LT"/>
        </w:rPr>
      </w:pPr>
    </w:p>
    <w:p w14:paraId="5EBDB0BB" w14:textId="521E011B" w:rsidR="004E1453" w:rsidRPr="007068B0" w:rsidRDefault="00434E5B" w:rsidP="00A50417">
      <w:pPr>
        <w:pStyle w:val="Tekstas"/>
        <w:tabs>
          <w:tab w:val="clear" w:pos="6804"/>
        </w:tabs>
        <w:ind w:firstLine="567"/>
        <w:jc w:val="both"/>
        <w:rPr>
          <w:rFonts w:ascii="Arial" w:hAnsi="Arial" w:cs="Arial"/>
          <w:color w:val="595959" w:themeColor="text1" w:themeTint="A6"/>
          <w:sz w:val="20"/>
          <w:lang w:val="lt-LT"/>
        </w:rPr>
      </w:pPr>
      <w:sdt>
        <w:sdtPr>
          <w:rPr>
            <w:rFonts w:ascii="Arial" w:hAnsi="Arial" w:cs="Arial"/>
            <w:bCs/>
            <w:sz w:val="20"/>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7068B0" w:rsidRPr="007068B0">
            <w:rPr>
              <w:rFonts w:ascii="Arial" w:hAnsi="Arial" w:cs="Arial"/>
              <w:bCs/>
              <w:sz w:val="20"/>
            </w:rPr>
            <w:t>Viešųjų pirkimų ekspertė Rūta Alaburdienė, Mob. +370 698 05530</w:t>
          </w:r>
        </w:sdtContent>
      </w:sdt>
    </w:p>
    <w:p w14:paraId="7B67B6F9" w14:textId="77777777" w:rsidR="00777D81" w:rsidRPr="007068B0" w:rsidRDefault="00777D81" w:rsidP="00FF23F6">
      <w:pPr>
        <w:ind w:right="-141"/>
        <w:rPr>
          <w:rFonts w:ascii="Arial" w:hAnsi="Arial" w:cs="Arial"/>
          <w:color w:val="595959" w:themeColor="text1" w:themeTint="A6"/>
          <w:sz w:val="20"/>
          <w:szCs w:val="20"/>
          <w:lang w:val="lt-LT"/>
        </w:rPr>
      </w:pPr>
    </w:p>
    <w:sectPr w:rsidR="00777D81" w:rsidRPr="007068B0"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76E1" w14:textId="77777777" w:rsidR="00651A9A" w:rsidRDefault="00651A9A" w:rsidP="000C042A">
      <w:r>
        <w:separator/>
      </w:r>
    </w:p>
  </w:endnote>
  <w:endnote w:type="continuationSeparator" w:id="0">
    <w:p w14:paraId="0F77DE57" w14:textId="77777777" w:rsidR="00651A9A" w:rsidRDefault="00651A9A" w:rsidP="000C042A">
      <w:r>
        <w:continuationSeparator/>
      </w:r>
    </w:p>
  </w:endnote>
  <w:endnote w:type="continuationNotice" w:id="1">
    <w:p w14:paraId="0ABD36D7" w14:textId="77777777" w:rsidR="00651A9A" w:rsidRDefault="00651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B032" w14:textId="77777777" w:rsidR="00651A9A" w:rsidRDefault="00651A9A" w:rsidP="000C042A">
      <w:r>
        <w:separator/>
      </w:r>
    </w:p>
  </w:footnote>
  <w:footnote w:type="continuationSeparator" w:id="0">
    <w:p w14:paraId="1E25590E" w14:textId="77777777" w:rsidR="00651A9A" w:rsidRDefault="00651A9A" w:rsidP="000C042A">
      <w:r>
        <w:continuationSeparator/>
      </w:r>
    </w:p>
  </w:footnote>
  <w:footnote w:type="continuationNotice" w:id="1">
    <w:p w14:paraId="47E65692" w14:textId="77777777" w:rsidR="00651A9A" w:rsidRDefault="00651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434E5B">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A383D8E"/>
    <w:multiLevelType w:val="hybridMultilevel"/>
    <w:tmpl w:val="771623FC"/>
    <w:lvl w:ilvl="0" w:tplc="2D1E3E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7254D41"/>
    <w:multiLevelType w:val="hybridMultilevel"/>
    <w:tmpl w:val="F73C7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366503"/>
    <w:multiLevelType w:val="hybridMultilevel"/>
    <w:tmpl w:val="2B9A0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675679">
    <w:abstractNumId w:val="2"/>
  </w:num>
  <w:num w:numId="2" w16cid:durableId="1949964827">
    <w:abstractNumId w:val="0"/>
  </w:num>
  <w:num w:numId="3" w16cid:durableId="2060129778">
    <w:abstractNumId w:val="4"/>
  </w:num>
  <w:num w:numId="4" w16cid:durableId="1055274493">
    <w:abstractNumId w:val="3"/>
  </w:num>
  <w:num w:numId="5" w16cid:durableId="54749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56428"/>
    <w:rsid w:val="00062F36"/>
    <w:rsid w:val="00067CEE"/>
    <w:rsid w:val="00071DD9"/>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57BFE"/>
    <w:rsid w:val="0026091A"/>
    <w:rsid w:val="00266D81"/>
    <w:rsid w:val="00271162"/>
    <w:rsid w:val="00276059"/>
    <w:rsid w:val="0028235A"/>
    <w:rsid w:val="00287F7A"/>
    <w:rsid w:val="002A3AF4"/>
    <w:rsid w:val="002D1648"/>
    <w:rsid w:val="002D6187"/>
    <w:rsid w:val="002F5B42"/>
    <w:rsid w:val="00301AE2"/>
    <w:rsid w:val="003027D0"/>
    <w:rsid w:val="00314C69"/>
    <w:rsid w:val="00326AC1"/>
    <w:rsid w:val="003353F7"/>
    <w:rsid w:val="00350E88"/>
    <w:rsid w:val="00366285"/>
    <w:rsid w:val="00367E4B"/>
    <w:rsid w:val="00374C47"/>
    <w:rsid w:val="0038264B"/>
    <w:rsid w:val="00397663"/>
    <w:rsid w:val="003A70EE"/>
    <w:rsid w:val="003B2820"/>
    <w:rsid w:val="003B66B9"/>
    <w:rsid w:val="003C1DC7"/>
    <w:rsid w:val="003C4D05"/>
    <w:rsid w:val="003C600E"/>
    <w:rsid w:val="003D5661"/>
    <w:rsid w:val="003E4EB5"/>
    <w:rsid w:val="003E6058"/>
    <w:rsid w:val="00407A9B"/>
    <w:rsid w:val="00411E1A"/>
    <w:rsid w:val="00421B21"/>
    <w:rsid w:val="00432EA4"/>
    <w:rsid w:val="00434E5B"/>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5439"/>
    <w:rsid w:val="0050154F"/>
    <w:rsid w:val="005614FE"/>
    <w:rsid w:val="00597847"/>
    <w:rsid w:val="005A173D"/>
    <w:rsid w:val="005A377C"/>
    <w:rsid w:val="005B18C2"/>
    <w:rsid w:val="005C04DE"/>
    <w:rsid w:val="005F42FF"/>
    <w:rsid w:val="00621DBB"/>
    <w:rsid w:val="0063141E"/>
    <w:rsid w:val="006315FE"/>
    <w:rsid w:val="00640436"/>
    <w:rsid w:val="00641E7F"/>
    <w:rsid w:val="00647C94"/>
    <w:rsid w:val="00651A9A"/>
    <w:rsid w:val="00653613"/>
    <w:rsid w:val="00662A6C"/>
    <w:rsid w:val="006763C4"/>
    <w:rsid w:val="006818D9"/>
    <w:rsid w:val="00687FB4"/>
    <w:rsid w:val="0069181F"/>
    <w:rsid w:val="00692B2C"/>
    <w:rsid w:val="006A70EF"/>
    <w:rsid w:val="006B0B47"/>
    <w:rsid w:val="006C03A7"/>
    <w:rsid w:val="006C2551"/>
    <w:rsid w:val="006C2BF9"/>
    <w:rsid w:val="006C5167"/>
    <w:rsid w:val="006D0597"/>
    <w:rsid w:val="00700CEF"/>
    <w:rsid w:val="00700D94"/>
    <w:rsid w:val="00704A98"/>
    <w:rsid w:val="0070568B"/>
    <w:rsid w:val="007056D1"/>
    <w:rsid w:val="007068B0"/>
    <w:rsid w:val="007205F9"/>
    <w:rsid w:val="00721EBE"/>
    <w:rsid w:val="007354E6"/>
    <w:rsid w:val="00757915"/>
    <w:rsid w:val="00757926"/>
    <w:rsid w:val="007749D0"/>
    <w:rsid w:val="007752D9"/>
    <w:rsid w:val="00777D81"/>
    <w:rsid w:val="00783B49"/>
    <w:rsid w:val="00786E2B"/>
    <w:rsid w:val="00791696"/>
    <w:rsid w:val="007B48AF"/>
    <w:rsid w:val="007B76DB"/>
    <w:rsid w:val="007C16E1"/>
    <w:rsid w:val="007C1C4E"/>
    <w:rsid w:val="007E3A53"/>
    <w:rsid w:val="007F7930"/>
    <w:rsid w:val="008031AD"/>
    <w:rsid w:val="008061D5"/>
    <w:rsid w:val="008539BB"/>
    <w:rsid w:val="00854638"/>
    <w:rsid w:val="008560DE"/>
    <w:rsid w:val="008579D8"/>
    <w:rsid w:val="00875A10"/>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8F3D24"/>
    <w:rsid w:val="009052E2"/>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2403E"/>
    <w:rsid w:val="00D30736"/>
    <w:rsid w:val="00D40468"/>
    <w:rsid w:val="00D419A6"/>
    <w:rsid w:val="00D4450F"/>
    <w:rsid w:val="00D52751"/>
    <w:rsid w:val="00D62296"/>
    <w:rsid w:val="00D714A0"/>
    <w:rsid w:val="00D836C2"/>
    <w:rsid w:val="00D85AC3"/>
    <w:rsid w:val="00D91A3E"/>
    <w:rsid w:val="00DA71F2"/>
    <w:rsid w:val="00DB5109"/>
    <w:rsid w:val="00DB5491"/>
    <w:rsid w:val="00DB7910"/>
    <w:rsid w:val="00DE15C5"/>
    <w:rsid w:val="00DE35CE"/>
    <w:rsid w:val="00DE49B1"/>
    <w:rsid w:val="00DE5486"/>
    <w:rsid w:val="00DF361F"/>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10E0"/>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unhideWhenUsed/>
    <w:rsid w:val="00FA06EF"/>
    <w:rPr>
      <w:sz w:val="16"/>
      <w:szCs w:val="16"/>
    </w:rPr>
  </w:style>
  <w:style w:type="paragraph" w:styleId="CommentText">
    <w:name w:val="annotation text"/>
    <w:basedOn w:val="Normal"/>
    <w:link w:val="CommentTextChar"/>
    <w:unhideWhenUsed/>
    <w:rsid w:val="00FA06EF"/>
    <w:rPr>
      <w:sz w:val="20"/>
      <w:szCs w:val="20"/>
    </w:rPr>
  </w:style>
  <w:style w:type="character" w:customStyle="1" w:styleId="CommentTextChar">
    <w:name w:val="Comment Text Char"/>
    <w:basedOn w:val="DefaultParagraphFont"/>
    <w:link w:val="CommentText"/>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3027D0"/>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3027D0"/>
    <w:rPr>
      <w:kern w:val="2"/>
      <w:sz w:val="22"/>
      <w:szCs w:val="2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640FF7C824BDFA1EE6E4D4A2BBE20"/>
        <w:category>
          <w:name w:val="General"/>
          <w:gallery w:val="placeholder"/>
        </w:category>
        <w:types>
          <w:type w:val="bbPlcHdr"/>
        </w:types>
        <w:behaviors>
          <w:behavior w:val="content"/>
        </w:behaviors>
        <w:guid w:val="{4DFEC6CF-1FB6-43CA-9CBC-E7E46501CF68}"/>
      </w:docPartPr>
      <w:docPartBody>
        <w:p w:rsidR="00BA45EA" w:rsidRDefault="00DA2B56" w:rsidP="00DA2B56">
          <w:pPr>
            <w:pStyle w:val="187640FF7C824BDFA1EE6E4D4A2BBE202"/>
          </w:pPr>
          <w:r w:rsidRPr="00E74C78">
            <w:rPr>
              <w:rFonts w:ascii="Arial" w:hAnsi="Arial" w:cs="Arial"/>
              <w:color w:val="FF0000"/>
              <w:sz w:val="20"/>
              <w:szCs w:val="20"/>
              <w:lang w:val="lt-LT"/>
            </w:rPr>
            <w:t>[Pasirinkite]</w:t>
          </w:r>
        </w:p>
      </w:docPartBody>
    </w:docPart>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5267D"/>
    <w:rsid w:val="00367E4B"/>
    <w:rsid w:val="003960AA"/>
    <w:rsid w:val="003A0A93"/>
    <w:rsid w:val="003C1DC7"/>
    <w:rsid w:val="003E6058"/>
    <w:rsid w:val="006057A0"/>
    <w:rsid w:val="00640436"/>
    <w:rsid w:val="00647C94"/>
    <w:rsid w:val="0086140A"/>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419A6"/>
    <w:rsid w:val="00DA2B56"/>
    <w:rsid w:val="00DD1D8D"/>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7182</Words>
  <Characters>4094</Characters>
  <Application>Microsoft Office Word</Application>
  <DocSecurity>0</DocSecurity>
  <Lines>34</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Rūta Alaburdienė</cp:lastModifiedBy>
  <cp:revision>15</cp:revision>
  <dcterms:created xsi:type="dcterms:W3CDTF">2026-01-12T05:27:00Z</dcterms:created>
  <dcterms:modified xsi:type="dcterms:W3CDTF">2026-01-13T06:44:00Z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