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FA79E" w14:textId="5D0FBAAD" w:rsidR="000E06E3" w:rsidRPr="00185D40" w:rsidRDefault="000E06E3" w:rsidP="000E06E3">
      <w:pPr>
        <w:pStyle w:val="Antrat2"/>
        <w:spacing w:before="0"/>
        <w:jc w:val="right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185D4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Pirkimo sąlygų 4 priedas „Tiekėjų kvalifikacijos reikalavimai ir reikalaujami kokybės bei aplinkos apsaugos vadybos sistemų standartai“</w:t>
      </w:r>
    </w:p>
    <w:p w14:paraId="1BAB3526" w14:textId="77777777" w:rsidR="000E06E3" w:rsidRDefault="000E06E3" w:rsidP="000E06E3">
      <w:pPr>
        <w:pStyle w:val="Paantrat"/>
        <w:spacing w:line="240" w:lineRule="auto"/>
        <w:jc w:val="center"/>
        <w:rPr>
          <w:smallCaps/>
        </w:rPr>
      </w:pPr>
    </w:p>
    <w:p w14:paraId="58CA4D60" w14:textId="77777777" w:rsidR="000E06E3" w:rsidRDefault="000E06E3" w:rsidP="000E06E3">
      <w:pPr>
        <w:pStyle w:val="Paantrat"/>
        <w:spacing w:line="240" w:lineRule="auto"/>
        <w:jc w:val="center"/>
        <w:rPr>
          <w:smallCaps/>
        </w:rPr>
      </w:pPr>
    </w:p>
    <w:p w14:paraId="006043B5" w14:textId="1222B6C5" w:rsidR="000E06E3" w:rsidRPr="000E06E3" w:rsidRDefault="000E06E3" w:rsidP="000E06E3">
      <w:pPr>
        <w:pStyle w:val="Paantrat"/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</w:rPr>
      </w:pPr>
      <w:r w:rsidRPr="000E06E3">
        <w:rPr>
          <w:rFonts w:ascii="Times New Roman" w:hAnsi="Times New Roman" w:cs="Times New Roman"/>
          <w:smallCaps/>
          <w:color w:val="000000" w:themeColor="text1"/>
        </w:rPr>
        <w:t xml:space="preserve">TIEKĖJŲ KVALIFIKACIJOS REIKALAVIMAI IR REIKALAVIMAI LAIKYTIS </w:t>
      </w:r>
      <w:r w:rsidRPr="000E06E3">
        <w:rPr>
          <w:rFonts w:ascii="Times New Roman" w:hAnsi="Times New Roman" w:cs="Times New Roman"/>
          <w:color w:val="000000" w:themeColor="text1"/>
          <w:lang w:eastAsia="en-US"/>
        </w:rPr>
        <w:t>KOKYBĖS VADYBOS SISTEMOS IR (ARBA) APLINKOS APSAUGOS VADYBOS SISTEMOS STANDARTŲ</w:t>
      </w:r>
    </w:p>
    <w:p w14:paraId="08122B0F" w14:textId="49676611" w:rsidR="000E06E3" w:rsidRDefault="000E06E3" w:rsidP="000E06E3">
      <w:pPr>
        <w:tabs>
          <w:tab w:val="left" w:pos="851"/>
        </w:tabs>
        <w:spacing w:after="0" w:line="20" w:lineRule="atLeast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E06E3">
        <w:rPr>
          <w:rFonts w:ascii="Times New Roman" w:eastAsiaTheme="minorHAnsi" w:hAnsi="Times New Roman" w:cs="Times New Roman"/>
          <w:bCs/>
          <w:sz w:val="24"/>
          <w:szCs w:val="24"/>
        </w:rPr>
        <w:t>1. Perkančioji organizacija, norėdama išsiaiškinti, ar tiekėjas yra kompetentingas, patikimas ir pajėgus įvykdyti šio pirkimo sąlygas, nustato tiekėjų kvalifikacijos reikalavimus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:</w:t>
      </w:r>
    </w:p>
    <w:p w14:paraId="1EC387CC" w14:textId="4E3D6CFB" w:rsidR="00630E51" w:rsidRDefault="00630E51" w:rsidP="000E06E3">
      <w:pPr>
        <w:tabs>
          <w:tab w:val="left" w:pos="851"/>
        </w:tabs>
        <w:spacing w:after="0" w:line="20" w:lineRule="atLeast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58A05535" w14:textId="4604C176" w:rsidR="00630E51" w:rsidRDefault="00630E51" w:rsidP="00630E51">
      <w:pPr>
        <w:tabs>
          <w:tab w:val="decimal" w:pos="851"/>
          <w:tab w:val="left" w:pos="993"/>
        </w:tabs>
        <w:jc w:val="right"/>
        <w:rPr>
          <w:b/>
        </w:rPr>
      </w:pPr>
      <w:r w:rsidRPr="00CD51FB">
        <w:rPr>
          <w:b/>
        </w:rPr>
        <w:t xml:space="preserve">1 Lentelė. </w:t>
      </w:r>
      <w:r>
        <w:rPr>
          <w:b/>
        </w:rPr>
        <w:t>Kvalifikacijos reikalavimai</w:t>
      </w:r>
    </w:p>
    <w:tbl>
      <w:tblPr>
        <w:tblStyle w:val="Lentelstinklelis"/>
        <w:tblW w:w="15332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358"/>
        <w:gridCol w:w="6592"/>
        <w:gridCol w:w="3827"/>
      </w:tblGrid>
      <w:tr w:rsidR="00E151AA" w:rsidRPr="00F85462" w14:paraId="41403FEF" w14:textId="77777777" w:rsidTr="00ED3A1F">
        <w:tc>
          <w:tcPr>
            <w:tcW w:w="555" w:type="dxa"/>
          </w:tcPr>
          <w:p w14:paraId="39F09B6D" w14:textId="77777777" w:rsidR="00E151AA" w:rsidRPr="00F85462" w:rsidRDefault="00E151AA" w:rsidP="00ED3A1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F854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Eil. Nr.</w:t>
            </w:r>
          </w:p>
        </w:tc>
        <w:tc>
          <w:tcPr>
            <w:tcW w:w="4358" w:type="dxa"/>
            <w:vAlign w:val="center"/>
          </w:tcPr>
          <w:p w14:paraId="5E877D03" w14:textId="77777777" w:rsidR="00E151AA" w:rsidRPr="00F85462" w:rsidRDefault="00E151AA" w:rsidP="00ED3A1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Reikalavimas</w:t>
            </w:r>
          </w:p>
        </w:tc>
        <w:tc>
          <w:tcPr>
            <w:tcW w:w="6592" w:type="dxa"/>
            <w:vAlign w:val="center"/>
          </w:tcPr>
          <w:p w14:paraId="0ED3C2D2" w14:textId="77777777" w:rsidR="00E151AA" w:rsidRPr="00F85462" w:rsidRDefault="00E151AA" w:rsidP="00ED3A1F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Atitik</w:t>
            </w: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į</w:t>
            </w: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 xml:space="preserve"> pagrind</w:t>
            </w: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ž</w:t>
            </w: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iantys dokumentai</w:t>
            </w:r>
          </w:p>
        </w:tc>
        <w:tc>
          <w:tcPr>
            <w:tcW w:w="3827" w:type="dxa"/>
            <w:vAlign w:val="center"/>
          </w:tcPr>
          <w:p w14:paraId="6CE5A6E3" w14:textId="77777777" w:rsidR="00E151AA" w:rsidRPr="00F85462" w:rsidRDefault="00E151AA" w:rsidP="00ED3A1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Subjektas, kuris turi atitikti reikalavim</w:t>
            </w:r>
            <w:r w:rsidRPr="00F85462">
              <w:rPr>
                <w:b/>
                <w:bCs/>
                <w:color w:val="000000" w:themeColor="text1"/>
                <w:sz w:val="20"/>
                <w:szCs w:val="20"/>
              </w:rPr>
              <w:t>ą</w:t>
            </w:r>
          </w:p>
        </w:tc>
      </w:tr>
      <w:tr w:rsidR="00E151AA" w:rsidRPr="00F85462" w14:paraId="0911EE58" w14:textId="77777777" w:rsidTr="00ED3A1F">
        <w:tc>
          <w:tcPr>
            <w:tcW w:w="555" w:type="dxa"/>
          </w:tcPr>
          <w:p w14:paraId="58E19C33" w14:textId="77777777" w:rsidR="00E151AA" w:rsidRPr="00F85462" w:rsidRDefault="00E151AA" w:rsidP="00ED3A1F">
            <w:pPr>
              <w:rPr>
                <w:color w:val="000000" w:themeColor="text1"/>
                <w:sz w:val="20"/>
                <w:szCs w:val="20"/>
              </w:rPr>
            </w:pPr>
            <w:r w:rsidRPr="00F8546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58" w:type="dxa"/>
          </w:tcPr>
          <w:p w14:paraId="62322B57" w14:textId="09990A00" w:rsidR="00E151AA" w:rsidRPr="00616A37" w:rsidRDefault="00E151AA" w:rsidP="00E151AA">
            <w:pPr>
              <w:tabs>
                <w:tab w:val="decimal" w:pos="851"/>
                <w:tab w:val="left" w:pos="993"/>
              </w:tabs>
              <w:jc w:val="both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Per paskutinius 5 metus (skaičiuojant nuo pasiūlymų pateikimo termino pabaigos) (arba per laiką nuo tiekėjo įregistravimo dienos, jei </w:t>
            </w:r>
            <w:r w:rsidR="0052781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rangovas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vykdė veiklą mažiau nei 5 metus) įvykdytų langų, durų keitimo ir angokraščių apdailos ar panašaus pobūdžio darbų s</w:t>
            </w:r>
            <w:r w:rsidR="00E66369">
              <w:rPr>
                <w:rFonts w:hAnsi="Times New Roman" w:cs="Times New Roman"/>
                <w:color w:val="000000" w:themeColor="text1"/>
                <w:sz w:val="24"/>
                <w:szCs w:val="24"/>
              </w:rPr>
              <w:t>ąrašą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, kurių bendra vertė ne mažesnė kaip 160</w:t>
            </w:r>
            <w:r w:rsidR="002C4211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000,00 Eur be PVM ir darbų atlikimas bei galutiniai rezultatai buvo tinkami. </w:t>
            </w:r>
          </w:p>
          <w:p w14:paraId="39B58824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4349743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709B9212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1B3FA73D" w14:textId="59E1B0CF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Jei </w:t>
            </w:r>
            <w:r w:rsidR="002B3258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  <w:t>tiekėjas</w:t>
            </w:r>
            <w:r w:rsidRPr="00616A37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teikia informaciją apie vykdomą sutartį, laikoma, kad jo patirtis atitinka keliamą reikalavimą, jei vykdomos sutarties įvykdytų 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langų, durų keitimo ir 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angokraščių apdailos ar panašaus pobūdžio darbų</w:t>
            </w:r>
            <w:r w:rsidRPr="00616A3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616A37" w:rsidRPr="00616A37">
              <w:rPr>
                <w:rFonts w:hAnsi="Times New Roman" w:cs="Times New Roman"/>
                <w:sz w:val="24"/>
                <w:szCs w:val="24"/>
              </w:rPr>
              <w:t>vertė</w:t>
            </w:r>
            <w:r w:rsidRPr="00616A37">
              <w:rPr>
                <w:rFonts w:hAnsi="Times New Roman" w:cs="Times New Roman"/>
                <w:sz w:val="24"/>
                <w:szCs w:val="24"/>
              </w:rPr>
              <w:t xml:space="preserve"> ne 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mažesnė kaip 160</w:t>
            </w:r>
            <w:r w:rsidR="00916E6E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000,00 Eur be PVM. </w:t>
            </w:r>
          </w:p>
        </w:tc>
        <w:tc>
          <w:tcPr>
            <w:tcW w:w="6592" w:type="dxa"/>
          </w:tcPr>
          <w:p w14:paraId="73FF9BCF" w14:textId="77777777" w:rsidR="00E151AA" w:rsidRPr="00616A37" w:rsidRDefault="00E151AA" w:rsidP="00ED3A1F">
            <w:pPr>
              <w:rPr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Dokumentai, kuriuos turės pateikti galimas laimėtojas:</w:t>
            </w:r>
          </w:p>
          <w:p w14:paraId="30094D6F" w14:textId="73502DBB" w:rsidR="00E151AA" w:rsidRPr="00616A37" w:rsidRDefault="00E151AA" w:rsidP="00ED3A1F">
            <w:pPr>
              <w:rPr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Per paskutinius 5 metus atliktų </w:t>
            </w:r>
            <w:r w:rsidR="004A6207"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langų, durų keitimo ir angokraščių apdailos ar panašaus pobūdžio darbų s</w:t>
            </w:r>
            <w:r w:rsidR="004A620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ąrašą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kartu su užsakovų (tiek viešųjų, tiek privačiųjų) pažymomis, ar kitais lygiaverčiais* dokumentais, apie tai, kad darbų atlikimas ir galutiniai rezultatai buvo tinkami.</w:t>
            </w:r>
          </w:p>
          <w:p w14:paraId="6FEC7144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CC224A7" w14:textId="7E470643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*Lygiaverčiais dokumentais laikomi darbų priėmimo-perdavimo aktai ar kiti dokumentai, jei juose bus informacija apie tai, kad darbų atlikimas ir galutiniai rezultatai buvo tinkami.</w:t>
            </w:r>
          </w:p>
          <w:p w14:paraId="1F050AB0" w14:textId="3B1CCFA4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B325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Tiekėjui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nedraudžiama remtis sutartimi, kurią </w:t>
            </w:r>
            <w:r w:rsidR="002B325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tiekėjas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vykdė ne vienas, bet kartu su kitais ūkio subjektais. Tačiau tokiu atveju turi būti vertinami būtent konkretaus ūkio subjekto, dalyvaujančio viešajame pirkime, atlikti darbai, jų apimtis, vertė, o ne visas vykdytos sutarties objektas.</w:t>
            </w:r>
          </w:p>
          <w:p w14:paraId="1F77CA9F" w14:textId="148D886F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Jei sutartis apima kelis objektus, kurių vienas yra pilnai užbaigtas ir atitinka keliamus reikalavimus, tokia sutartis yra tinkama.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B325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Tiekėjas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patirtį gali įrodyti tiek baigtomis sutartimis, tiek nebaigtų vykdyti sutarčių jau įvykdytomis dalimis.</w:t>
            </w:r>
          </w:p>
        </w:tc>
        <w:tc>
          <w:tcPr>
            <w:tcW w:w="3827" w:type="dxa"/>
          </w:tcPr>
          <w:p w14:paraId="51A4F094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3FAE4E29" w14:textId="77777777" w:rsidR="00E151AA" w:rsidRPr="00616A37" w:rsidRDefault="00E151AA" w:rsidP="00E151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67" w:hanging="142"/>
              <w:jc w:val="both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1CF9400E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211B25AA" w14:textId="276C5362" w:rsidR="00E151AA" w:rsidRPr="00616A37" w:rsidRDefault="002B3258" w:rsidP="00E151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67" w:hanging="142"/>
              <w:jc w:val="both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tiekėjas</w:t>
            </w:r>
            <w:r w:rsidR="00E151AA"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gali remtis kitų ūkio subjektų pajėgumais tik tuo atveju, jeigu tie subjektai patys vykdys tą pirkimo sutarties dalį, kuriai reikia jų turimų pajėgumų;</w:t>
            </w:r>
          </w:p>
          <w:p w14:paraId="2980B6A9" w14:textId="77777777" w:rsidR="00E151AA" w:rsidRPr="00616A37" w:rsidRDefault="00E151AA" w:rsidP="00ED3A1F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49EC4B4F" w14:textId="728D7F70" w:rsidR="00E151AA" w:rsidRPr="00616A37" w:rsidRDefault="00E151AA" w:rsidP="00E151AA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67" w:hanging="167"/>
              <w:jc w:val="both"/>
              <w:rPr>
                <w:rFonts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sub</w:t>
            </w:r>
            <w:r w:rsidR="0052781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rangovams</w:t>
            </w:r>
            <w:r w:rsidRPr="00616A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šis reikalavimas nenustatomas.</w:t>
            </w:r>
          </w:p>
        </w:tc>
      </w:tr>
      <w:tr w:rsidR="00616A37" w:rsidRPr="00F85462" w14:paraId="0CC77813" w14:textId="77777777" w:rsidTr="00ED3A1F">
        <w:tc>
          <w:tcPr>
            <w:tcW w:w="555" w:type="dxa"/>
          </w:tcPr>
          <w:p w14:paraId="5259740C" w14:textId="14175F65" w:rsidR="00616A37" w:rsidRPr="00F85462" w:rsidRDefault="00616A37" w:rsidP="00ED3A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58" w:type="dxa"/>
          </w:tcPr>
          <w:p w14:paraId="4CC5DC7B" w14:textId="3A4C158A" w:rsidR="00616A37" w:rsidRPr="00E151AA" w:rsidRDefault="00616A37" w:rsidP="00E151AA">
            <w:pPr>
              <w:tabs>
                <w:tab w:val="decimal" w:pos="851"/>
                <w:tab w:val="left" w:pos="99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03B2A">
              <w:rPr>
                <w:color w:val="000000" w:themeColor="text1"/>
                <w:sz w:val="24"/>
                <w:szCs w:val="24"/>
              </w:rPr>
              <w:t>n</w:t>
            </w:r>
            <w:r w:rsidRPr="00003B2A">
              <w:rPr>
                <w:color w:val="000000" w:themeColor="text1"/>
                <w:sz w:val="24"/>
                <w:szCs w:val="24"/>
              </w:rPr>
              <w:t>ė</w:t>
            </w:r>
            <w:r w:rsidRPr="00003B2A">
              <w:rPr>
                <w:color w:val="000000" w:themeColor="text1"/>
                <w:sz w:val="24"/>
                <w:szCs w:val="24"/>
              </w:rPr>
              <w:t>ra produkt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>ra</w:t>
            </w:r>
            <w:r w:rsidRPr="00003B2A">
              <w:rPr>
                <w:color w:val="000000" w:themeColor="text1"/>
                <w:sz w:val="24"/>
                <w:szCs w:val="24"/>
              </w:rPr>
              <w:t>š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e, bet perkamai paslaugai ar darbui </w:t>
            </w:r>
            <w:r w:rsidRPr="00616A37">
              <w:rPr>
                <w:color w:val="000000" w:themeColor="text1"/>
                <w:sz w:val="20"/>
                <w:szCs w:val="20"/>
              </w:rPr>
              <w:t>tiek</w:t>
            </w:r>
            <w:r w:rsidRPr="00616A37">
              <w:rPr>
                <w:color w:val="000000" w:themeColor="text1"/>
                <w:sz w:val="20"/>
                <w:szCs w:val="20"/>
              </w:rPr>
              <w:t>ė</w:t>
            </w:r>
            <w:r w:rsidRPr="00616A37">
              <w:rPr>
                <w:color w:val="000000" w:themeColor="text1"/>
                <w:sz w:val="20"/>
                <w:szCs w:val="20"/>
              </w:rPr>
              <w:t>jas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taiko aplinkos apsaugos vadybos sistemos reikalavimus pagal standart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LST EN ISO 14001 </w:t>
            </w:r>
            <w:r w:rsidRPr="00003B2A">
              <w:rPr>
                <w:color w:val="000000" w:themeColor="text1"/>
                <w:sz w:val="24"/>
                <w:szCs w:val="24"/>
              </w:rPr>
              <w:t>„</w:t>
            </w:r>
            <w:r w:rsidRPr="00003B2A">
              <w:rPr>
                <w:color w:val="000000" w:themeColor="text1"/>
                <w:sz w:val="24"/>
                <w:szCs w:val="24"/>
              </w:rPr>
              <w:t>Aplinkos vadybos sistemos. Reikalavimai ir naudojimo gair</w:t>
            </w:r>
            <w:r w:rsidRPr="00003B2A">
              <w:rPr>
                <w:color w:val="000000" w:themeColor="text1"/>
                <w:sz w:val="24"/>
                <w:szCs w:val="24"/>
              </w:rPr>
              <w:t>ė</w:t>
            </w:r>
            <w:r w:rsidRPr="00003B2A">
              <w:rPr>
                <w:color w:val="000000" w:themeColor="text1"/>
                <w:sz w:val="24"/>
                <w:szCs w:val="24"/>
              </w:rPr>
              <w:t>s</w:t>
            </w:r>
            <w:r w:rsidRPr="00003B2A">
              <w:rPr>
                <w:color w:val="000000" w:themeColor="text1"/>
                <w:sz w:val="24"/>
                <w:szCs w:val="24"/>
              </w:rPr>
              <w:t>“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(toliau </w:t>
            </w:r>
            <w:r w:rsidRPr="00003B2A">
              <w:rPr>
                <w:color w:val="000000" w:themeColor="text1"/>
                <w:sz w:val="24"/>
                <w:szCs w:val="24"/>
              </w:rPr>
              <w:t>–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LST EN ISO 14001) arba Europos S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>jungos aplinkosaugos vadybos ir audito sistem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(toliau </w:t>
            </w:r>
            <w:r w:rsidRPr="00003B2A">
              <w:rPr>
                <w:color w:val="000000" w:themeColor="text1"/>
                <w:sz w:val="24"/>
                <w:szCs w:val="24"/>
              </w:rPr>
              <w:t>–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EMAS) ar kitus aplinkos apsaugos vadybos standartus, pagr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stus atitinkamais Europos arba tarptautini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standartizacijos organizacij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priimtais standartais, ar kitais tiek</w:t>
            </w:r>
            <w:r w:rsidRPr="00003B2A">
              <w:rPr>
                <w:color w:val="000000" w:themeColor="text1"/>
                <w:sz w:val="24"/>
                <w:szCs w:val="24"/>
              </w:rPr>
              <w:t>ė</w:t>
            </w:r>
            <w:r w:rsidRPr="00003B2A">
              <w:rPr>
                <w:color w:val="000000" w:themeColor="text1"/>
                <w:sz w:val="24"/>
                <w:szCs w:val="24"/>
              </w:rPr>
              <w:t>jo pateiktais lygiaver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iais 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rodymais (lygiaver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iai 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rodymai gali b</w:t>
            </w:r>
            <w:r w:rsidRPr="00003B2A">
              <w:rPr>
                <w:color w:val="000000" w:themeColor="text1"/>
                <w:sz w:val="24"/>
                <w:szCs w:val="24"/>
              </w:rPr>
              <w:t>ū</w:t>
            </w:r>
            <w:r w:rsidRPr="00003B2A">
              <w:rPr>
                <w:color w:val="000000" w:themeColor="text1"/>
                <w:sz w:val="24"/>
                <w:szCs w:val="24"/>
              </w:rPr>
              <w:t>ti priimami atliekant supaprastintus pirkimus ar Vie</w:t>
            </w:r>
            <w:r w:rsidRPr="00003B2A">
              <w:rPr>
                <w:color w:val="000000" w:themeColor="text1"/>
                <w:sz w:val="24"/>
                <w:szCs w:val="24"/>
              </w:rPr>
              <w:t>šų</w:t>
            </w:r>
            <w:r w:rsidRPr="00003B2A">
              <w:rPr>
                <w:color w:val="000000" w:themeColor="text1"/>
                <w:sz w:val="24"/>
                <w:szCs w:val="24"/>
              </w:rPr>
              <w:t>j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pirkim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statymo ir Pirkim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>, atliekam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vandentvarkos, energetikos, transporto ar pa</w:t>
            </w:r>
            <w:r w:rsidRPr="00003B2A">
              <w:rPr>
                <w:color w:val="000000" w:themeColor="text1"/>
                <w:sz w:val="24"/>
                <w:szCs w:val="24"/>
              </w:rPr>
              <w:t>š</w:t>
            </w:r>
            <w:r w:rsidRPr="00003B2A">
              <w:rPr>
                <w:color w:val="000000" w:themeColor="text1"/>
                <w:sz w:val="24"/>
                <w:szCs w:val="24"/>
              </w:rPr>
              <w:t>to paslaug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srities perkan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>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>j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subjekt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statymo prieduose nurodyt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socialini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ir kit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speciali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>j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paslaug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pirkimus, o kit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pirkim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atvejais lygiaver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iai </w:t>
            </w:r>
            <w:r w:rsidRPr="00003B2A">
              <w:rPr>
                <w:color w:val="000000" w:themeColor="text1"/>
                <w:sz w:val="24"/>
                <w:szCs w:val="24"/>
              </w:rPr>
              <w:t>į</w:t>
            </w:r>
            <w:r w:rsidRPr="00003B2A">
              <w:rPr>
                <w:color w:val="000000" w:themeColor="text1"/>
                <w:sz w:val="24"/>
                <w:szCs w:val="24"/>
              </w:rPr>
              <w:t>rodymai priimami tik jeigu tiek</w:t>
            </w:r>
            <w:r w:rsidRPr="00003B2A">
              <w:rPr>
                <w:color w:val="000000" w:themeColor="text1"/>
                <w:sz w:val="24"/>
                <w:szCs w:val="24"/>
              </w:rPr>
              <w:t>ė</w:t>
            </w:r>
            <w:r w:rsidRPr="00003B2A">
              <w:rPr>
                <w:color w:val="000000" w:themeColor="text1"/>
                <w:sz w:val="24"/>
                <w:szCs w:val="24"/>
              </w:rPr>
              <w:t>jas d</w:t>
            </w:r>
            <w:r w:rsidRPr="00003B2A">
              <w:rPr>
                <w:color w:val="000000" w:themeColor="text1"/>
                <w:sz w:val="24"/>
                <w:szCs w:val="24"/>
              </w:rPr>
              <w:t>ė</w:t>
            </w:r>
            <w:r w:rsidRPr="00003B2A">
              <w:rPr>
                <w:color w:val="000000" w:themeColor="text1"/>
                <w:sz w:val="24"/>
                <w:szCs w:val="24"/>
              </w:rPr>
              <w:t>l nuo jo nepriklausan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>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3B2A">
              <w:rPr>
                <w:color w:val="000000" w:themeColor="text1"/>
                <w:sz w:val="24"/>
                <w:szCs w:val="24"/>
              </w:rPr>
              <w:lastRenderedPageBreak/>
              <w:t>objektyvi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prie</w:t>
            </w:r>
            <w:r w:rsidRPr="00003B2A">
              <w:rPr>
                <w:color w:val="000000" w:themeColor="text1"/>
                <w:sz w:val="24"/>
                <w:szCs w:val="24"/>
              </w:rPr>
              <w:t>ž</w:t>
            </w:r>
            <w:r w:rsidRPr="00003B2A">
              <w:rPr>
                <w:color w:val="000000" w:themeColor="text1"/>
                <w:sz w:val="24"/>
                <w:szCs w:val="24"/>
              </w:rPr>
              <w:t>as</w:t>
            </w:r>
            <w:r w:rsidRPr="00003B2A">
              <w:rPr>
                <w:color w:val="000000" w:themeColor="text1"/>
                <w:sz w:val="24"/>
                <w:szCs w:val="24"/>
              </w:rPr>
              <w:t>č</w:t>
            </w:r>
            <w:r w:rsidRPr="00003B2A">
              <w:rPr>
                <w:color w:val="000000" w:themeColor="text1"/>
                <w:sz w:val="24"/>
                <w:szCs w:val="24"/>
              </w:rPr>
              <w:t>i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negali pateikti sertifikat</w:t>
            </w:r>
            <w:r w:rsidRPr="00003B2A">
              <w:rPr>
                <w:color w:val="000000" w:themeColor="text1"/>
                <w:sz w:val="24"/>
                <w:szCs w:val="24"/>
              </w:rPr>
              <w:t>ų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per nustatyt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 xml:space="preserve"> laik</w:t>
            </w:r>
            <w:r w:rsidRPr="00003B2A">
              <w:rPr>
                <w:color w:val="000000" w:themeColor="text1"/>
                <w:sz w:val="24"/>
                <w:szCs w:val="24"/>
              </w:rPr>
              <w:t>ą</w:t>
            </w:r>
            <w:r w:rsidRPr="00003B2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92" w:type="dxa"/>
          </w:tcPr>
          <w:p w14:paraId="11B2CC06" w14:textId="639AD0C2" w:rsidR="001A385A" w:rsidRPr="001A385A" w:rsidRDefault="001A385A" w:rsidP="001A385A">
            <w:pPr>
              <w:rPr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6A37">
              <w:rPr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Dokumentai, kuriuos turės pateikti galimas laimėtojas:</w:t>
            </w:r>
          </w:p>
          <w:p w14:paraId="420A2103" w14:textId="3AA2C6D6" w:rsidR="00EB36AE" w:rsidRPr="008C2A86" w:rsidRDefault="00EB36AE" w:rsidP="00EB36AE">
            <w:pPr>
              <w:tabs>
                <w:tab w:val="decimal" w:pos="851"/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C2A86">
              <w:rPr>
                <w:color w:val="000000" w:themeColor="text1"/>
                <w:sz w:val="24"/>
                <w:szCs w:val="24"/>
              </w:rPr>
              <w:t xml:space="preserve">Nepriklausomos </w:t>
            </w:r>
            <w:r w:rsidRPr="008C2A86">
              <w:rPr>
                <w:color w:val="000000" w:themeColor="text1"/>
                <w:sz w:val="24"/>
                <w:szCs w:val="24"/>
              </w:rPr>
              <w:t>į</w:t>
            </w:r>
            <w:r w:rsidRPr="008C2A86">
              <w:rPr>
                <w:color w:val="000000" w:themeColor="text1"/>
                <w:sz w:val="24"/>
                <w:szCs w:val="24"/>
              </w:rPr>
              <w:t>staigos i</w:t>
            </w:r>
            <w:r w:rsidRPr="008C2A86">
              <w:rPr>
                <w:color w:val="000000" w:themeColor="text1"/>
                <w:sz w:val="24"/>
                <w:szCs w:val="24"/>
              </w:rPr>
              <w:t>š</w:t>
            </w:r>
            <w:r w:rsidRPr="008C2A86">
              <w:rPr>
                <w:color w:val="000000" w:themeColor="text1"/>
                <w:sz w:val="24"/>
                <w:szCs w:val="24"/>
              </w:rPr>
              <w:t>duotas sertifikatas arba lygiavertis dokumentas, patvirtinantis aplinkos apsaugos vadybos sistemos atitikimo konkre</w:t>
            </w:r>
            <w:r w:rsidRPr="008C2A86">
              <w:rPr>
                <w:color w:val="000000" w:themeColor="text1"/>
                <w:sz w:val="24"/>
                <w:szCs w:val="24"/>
              </w:rPr>
              <w:t>č</w:t>
            </w:r>
            <w:r w:rsidRPr="008C2A86">
              <w:rPr>
                <w:color w:val="000000" w:themeColor="text1"/>
                <w:sz w:val="24"/>
                <w:szCs w:val="24"/>
              </w:rPr>
              <w:t xml:space="preserve">iam standartui </w:t>
            </w:r>
            <w:r w:rsidRPr="008C2A86">
              <w:rPr>
                <w:color w:val="000000" w:themeColor="text1"/>
                <w:sz w:val="24"/>
                <w:szCs w:val="24"/>
              </w:rPr>
              <w:t>į</w:t>
            </w:r>
            <w:r w:rsidRPr="008C2A86">
              <w:rPr>
                <w:color w:val="000000" w:themeColor="text1"/>
                <w:sz w:val="24"/>
                <w:szCs w:val="24"/>
              </w:rPr>
              <w:t>vertinim</w:t>
            </w:r>
            <w:r w:rsidRPr="008C2A86">
              <w:rPr>
                <w:color w:val="000000" w:themeColor="text1"/>
                <w:sz w:val="24"/>
                <w:szCs w:val="24"/>
              </w:rPr>
              <w:t>ą</w:t>
            </w:r>
            <w:r w:rsidRPr="008C2A86">
              <w:rPr>
                <w:color w:val="000000" w:themeColor="text1"/>
                <w:sz w:val="24"/>
                <w:szCs w:val="24"/>
              </w:rPr>
              <w:t>. Taip pat priimami kiti lygiaver</w:t>
            </w:r>
            <w:r w:rsidRPr="008C2A86">
              <w:rPr>
                <w:color w:val="000000" w:themeColor="text1"/>
                <w:sz w:val="24"/>
                <w:szCs w:val="24"/>
              </w:rPr>
              <w:t>č</w:t>
            </w:r>
            <w:r w:rsidRPr="008C2A86">
              <w:rPr>
                <w:color w:val="000000" w:themeColor="text1"/>
                <w:sz w:val="24"/>
                <w:szCs w:val="24"/>
              </w:rPr>
              <w:t>i</w:t>
            </w:r>
            <w:r w:rsidRPr="008C2A86">
              <w:rPr>
                <w:color w:val="000000" w:themeColor="text1"/>
                <w:sz w:val="24"/>
                <w:szCs w:val="24"/>
              </w:rPr>
              <w:t>ų</w:t>
            </w:r>
            <w:r w:rsidRPr="008C2A86">
              <w:rPr>
                <w:color w:val="000000" w:themeColor="text1"/>
                <w:sz w:val="24"/>
                <w:szCs w:val="24"/>
              </w:rPr>
              <w:t xml:space="preserve"> aplinkos apsaugos vadybos u</w:t>
            </w:r>
            <w:r w:rsidRPr="008C2A86">
              <w:rPr>
                <w:color w:val="000000" w:themeColor="text1"/>
                <w:sz w:val="24"/>
                <w:szCs w:val="24"/>
              </w:rPr>
              <w:t>ž</w:t>
            </w:r>
            <w:r w:rsidRPr="008C2A86">
              <w:rPr>
                <w:color w:val="000000" w:themeColor="text1"/>
                <w:sz w:val="24"/>
                <w:szCs w:val="24"/>
              </w:rPr>
              <w:t>tikrinimo priemoni</w:t>
            </w:r>
            <w:r w:rsidRPr="008C2A86">
              <w:rPr>
                <w:color w:val="000000" w:themeColor="text1"/>
                <w:sz w:val="24"/>
                <w:szCs w:val="24"/>
              </w:rPr>
              <w:t>ų</w:t>
            </w:r>
            <w:r w:rsidRPr="008C2A8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2A86">
              <w:rPr>
                <w:color w:val="000000" w:themeColor="text1"/>
                <w:sz w:val="24"/>
                <w:szCs w:val="24"/>
              </w:rPr>
              <w:t>į</w:t>
            </w:r>
            <w:r w:rsidRPr="008C2A86">
              <w:rPr>
                <w:color w:val="000000" w:themeColor="text1"/>
                <w:sz w:val="24"/>
                <w:szCs w:val="24"/>
              </w:rPr>
              <w:t>rodymai.</w:t>
            </w:r>
          </w:p>
          <w:p w14:paraId="5DA838A4" w14:textId="19A1430A" w:rsidR="00616A37" w:rsidRPr="004F6F8F" w:rsidRDefault="00EB36AE" w:rsidP="00EB36AE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CVP IS priemon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ė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mis pateikiamos skaitmenin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ė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s dokument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>ų</w:t>
            </w:r>
            <w:r w:rsidRPr="008C2A86">
              <w:rPr>
                <w:b/>
                <w:i/>
                <w:color w:val="000000" w:themeColor="text1"/>
                <w:sz w:val="24"/>
                <w:szCs w:val="24"/>
              </w:rPr>
              <w:t xml:space="preserve"> kopijos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91E33E" w14:textId="568ACADD" w:rsidR="00616A37" w:rsidRPr="00F85462" w:rsidRDefault="002B3258" w:rsidP="00ED3A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Tiek</w:t>
            </w:r>
            <w:r>
              <w:rPr>
                <w:color w:val="000000" w:themeColor="text1"/>
                <w:sz w:val="24"/>
                <w:szCs w:val="24"/>
              </w:rPr>
              <w:t>ė</w:t>
            </w:r>
            <w:r>
              <w:rPr>
                <w:color w:val="000000" w:themeColor="text1"/>
                <w:sz w:val="24"/>
                <w:szCs w:val="24"/>
              </w:rPr>
              <w:t>jas</w:t>
            </w:r>
          </w:p>
        </w:tc>
      </w:tr>
    </w:tbl>
    <w:p w14:paraId="351348F2" w14:textId="77777777" w:rsidR="00630E51" w:rsidRDefault="00630E51" w:rsidP="00630E51"/>
    <w:sectPr w:rsidR="00630E51" w:rsidSect="00E151A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473B4"/>
    <w:multiLevelType w:val="hybridMultilevel"/>
    <w:tmpl w:val="37EEFC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6EA5"/>
    <w:multiLevelType w:val="hybridMultilevel"/>
    <w:tmpl w:val="D95AD064"/>
    <w:lvl w:ilvl="0" w:tplc="601810C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1C2F"/>
    <w:multiLevelType w:val="hybridMultilevel"/>
    <w:tmpl w:val="37EEFC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850"/>
    <w:multiLevelType w:val="hybridMultilevel"/>
    <w:tmpl w:val="58DC5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2"/>
    <w:rsid w:val="00003B2A"/>
    <w:rsid w:val="000E06E3"/>
    <w:rsid w:val="00185D40"/>
    <w:rsid w:val="001A385A"/>
    <w:rsid w:val="002B3258"/>
    <w:rsid w:val="002C4211"/>
    <w:rsid w:val="003C2385"/>
    <w:rsid w:val="004A6207"/>
    <w:rsid w:val="00527817"/>
    <w:rsid w:val="005B26DF"/>
    <w:rsid w:val="00616A37"/>
    <w:rsid w:val="00630E51"/>
    <w:rsid w:val="00916E6E"/>
    <w:rsid w:val="0097031C"/>
    <w:rsid w:val="00B02592"/>
    <w:rsid w:val="00B96D02"/>
    <w:rsid w:val="00D516E7"/>
    <w:rsid w:val="00DA68CE"/>
    <w:rsid w:val="00E151AA"/>
    <w:rsid w:val="00E66369"/>
    <w:rsid w:val="00E94085"/>
    <w:rsid w:val="00EB36AE"/>
    <w:rsid w:val="00F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766A"/>
  <w15:chartTrackingRefBased/>
  <w15:docId w15:val="{5826E8D9-18CB-444A-9C35-0C2777EC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06E3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06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0E06E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06E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E06E3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E06E3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0E06E3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06E3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customStyle="1" w:styleId="BodyA">
    <w:name w:val="Body A"/>
    <w:rsid w:val="00E151A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RPPC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15</cp:revision>
  <dcterms:created xsi:type="dcterms:W3CDTF">2025-03-07T06:53:00Z</dcterms:created>
  <dcterms:modified xsi:type="dcterms:W3CDTF">2025-05-06T11:52:00Z</dcterms:modified>
</cp:coreProperties>
</file>