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3B0" w:rsidP="005A63B0" w:rsidRDefault="005A63B0" w14:paraId="09A58F6E" w14:textId="77777777">
      <w:pPr>
        <w:tabs>
          <w:tab w:val="num" w:pos="1190"/>
          <w:tab w:val="num" w:pos="1260"/>
        </w:tabs>
        <w:rPr>
          <w:b/>
          <w:sz w:val="22"/>
          <w:szCs w:val="22"/>
        </w:rPr>
      </w:pPr>
    </w:p>
    <w:p w:rsidRPr="006706D4" w:rsidR="005A63B0" w:rsidP="0074115E" w:rsidRDefault="1F5B469E" w14:paraId="2F7C25E2" w14:textId="0ACDFF66">
      <w:pPr>
        <w:ind w:left="6030" w:hanging="21"/>
        <w:jc w:val="both"/>
      </w:pPr>
      <w:bookmarkStart w:name="_Hlk93433024" w:id="0"/>
      <w:bookmarkStart w:name="_Hlk96953049" w:id="1"/>
      <w:r w:rsidRPr="5B34318D">
        <w:rPr>
          <w:sz w:val="22"/>
          <w:szCs w:val="22"/>
        </w:rPr>
        <w:t>A</w:t>
      </w:r>
      <w:r w:rsidRPr="5B34318D" w:rsidR="005A63B0">
        <w:rPr>
          <w:sz w:val="22"/>
          <w:szCs w:val="22"/>
        </w:rPr>
        <w:t>tviro konkurso „</w:t>
      </w:r>
      <w:r w:rsidRPr="5B34318D" w:rsidR="29F0CFA6">
        <w:rPr>
          <w:color w:val="000000" w:themeColor="text1"/>
          <w:sz w:val="22"/>
          <w:szCs w:val="22"/>
        </w:rPr>
        <w:t>Bendrųjų gebėjimų mokymai</w:t>
      </w:r>
      <w:r w:rsidRPr="5B34318D" w:rsidR="005A63B0">
        <w:rPr>
          <w:sz w:val="22"/>
          <w:szCs w:val="22"/>
        </w:rPr>
        <w:t xml:space="preserve">“ </w:t>
      </w:r>
      <w:r w:rsidR="00CD6F8A">
        <w:rPr>
          <w:sz w:val="22"/>
          <w:szCs w:val="22"/>
        </w:rPr>
        <w:t xml:space="preserve">specialiųjų pirkimo </w:t>
      </w:r>
      <w:r w:rsidRPr="5B34318D" w:rsidR="005A63B0">
        <w:rPr>
          <w:sz w:val="22"/>
          <w:szCs w:val="22"/>
        </w:rPr>
        <w:t xml:space="preserve">sąlygų </w:t>
      </w:r>
      <w:r w:rsidR="0074115E">
        <w:rPr>
          <w:sz w:val="22"/>
          <w:szCs w:val="22"/>
        </w:rPr>
        <w:t xml:space="preserve">      </w:t>
      </w:r>
      <w:r w:rsidR="00CD6F8A">
        <w:rPr>
          <w:sz w:val="22"/>
          <w:szCs w:val="22"/>
        </w:rPr>
        <w:t>5</w:t>
      </w:r>
      <w:r w:rsidRPr="5B34318D" w:rsidR="005A63B0">
        <w:rPr>
          <w:sz w:val="22"/>
          <w:szCs w:val="22"/>
        </w:rPr>
        <w:t xml:space="preserve"> priedas</w:t>
      </w:r>
    </w:p>
    <w:bookmarkEnd w:id="0"/>
    <w:p w:rsidRPr="000C2084" w:rsidR="005A63B0" w:rsidP="005A63B0" w:rsidRDefault="005A63B0" w14:paraId="48C62E69" w14:textId="77777777">
      <w:pPr>
        <w:pBdr>
          <w:top w:val="nil"/>
          <w:left w:val="nil"/>
          <w:bottom w:val="nil"/>
          <w:right w:val="nil"/>
          <w:between w:val="nil"/>
          <w:bar w:val="nil"/>
        </w:pBdr>
        <w:jc w:val="both"/>
        <w:rPr>
          <w:rFonts w:eastAsia="Arial Unicode MS" w:cs="Arial Unicode MS"/>
          <w:b/>
          <w:bCs/>
          <w:color w:val="000000"/>
          <w:u w:color="000000"/>
          <w:bdr w:val="nil"/>
          <w:lang w:eastAsia="en-US"/>
        </w:rPr>
      </w:pPr>
    </w:p>
    <w:p w:rsidR="005A63B0" w:rsidP="005A63B0" w:rsidRDefault="005A63B0" w14:paraId="75EF4DC7" w14:textId="77777777">
      <w:pPr>
        <w:pBdr>
          <w:top w:val="nil"/>
          <w:left w:val="nil"/>
          <w:bottom w:val="nil"/>
          <w:right w:val="nil"/>
          <w:between w:val="nil"/>
          <w:bar w:val="nil"/>
        </w:pBdr>
        <w:jc w:val="center"/>
        <w:rPr>
          <w:rFonts w:eastAsia="Arial Unicode MS" w:cs="Arial Unicode MS"/>
          <w:b/>
          <w:bCs/>
          <w:caps/>
          <w:color w:val="000000"/>
          <w:u w:color="000000"/>
          <w:bdr w:val="nil"/>
          <w:lang w:eastAsia="en-US"/>
        </w:rPr>
      </w:pPr>
    </w:p>
    <w:bookmarkEnd w:id="1"/>
    <w:p w:rsidR="005A63B0" w:rsidP="55980ADD" w:rsidRDefault="005A63B0" w14:paraId="7887D11D" w14:textId="77777777">
      <w:pPr>
        <w:shd w:val="clear" w:color="auto" w:fill="FFFFFF" w:themeFill="background1"/>
        <w:jc w:val="center"/>
        <w:rPr>
          <w:b/>
          <w:bCs/>
          <w:caps/>
        </w:rPr>
      </w:pPr>
      <w:r w:rsidRPr="5B34318D">
        <w:rPr>
          <w:b/>
          <w:bCs/>
        </w:rPr>
        <w:t>TECHNINĖ SPECIFIKACIJA</w:t>
      </w:r>
      <w:r w:rsidRPr="5B34318D">
        <w:rPr>
          <w:b/>
          <w:bCs/>
          <w:caps/>
        </w:rPr>
        <w:t xml:space="preserve"> </w:t>
      </w:r>
    </w:p>
    <w:p w:rsidR="29E4F0EF" w:rsidP="5B34318D" w:rsidRDefault="29E4F0EF" w14:paraId="50EC4D33" w14:textId="4C007E94">
      <w:pPr>
        <w:shd w:val="clear" w:color="auto" w:fill="FFFFFF" w:themeFill="background1"/>
        <w:jc w:val="center"/>
      </w:pPr>
      <w:r w:rsidRPr="5B34318D">
        <w:rPr>
          <w:b/>
          <w:bCs/>
          <w:caps/>
        </w:rPr>
        <w:t>I</w:t>
      </w:r>
      <w:r w:rsidRPr="5B34318D" w:rsidR="2B6D5FB3">
        <w:rPr>
          <w:b/>
          <w:bCs/>
          <w:caps/>
        </w:rPr>
        <w:t>V</w:t>
      </w:r>
      <w:r w:rsidRPr="5B34318D">
        <w:rPr>
          <w:b/>
          <w:bCs/>
          <w:caps/>
        </w:rPr>
        <w:t xml:space="preserve"> pirkimo dali</w:t>
      </w:r>
      <w:r w:rsidRPr="5B34318D" w:rsidR="059C916F">
        <w:rPr>
          <w:b/>
          <w:bCs/>
          <w:caps/>
        </w:rPr>
        <w:t>AI</w:t>
      </w:r>
    </w:p>
    <w:p w:rsidR="55980ADD" w:rsidP="55980ADD" w:rsidRDefault="55980ADD" w14:paraId="322AB271" w14:textId="35BCF05D">
      <w:pPr>
        <w:shd w:val="clear" w:color="auto" w:fill="FFFFFF" w:themeFill="background1"/>
        <w:jc w:val="center"/>
        <w:rPr>
          <w:b/>
          <w:bCs/>
          <w:caps/>
        </w:rPr>
      </w:pPr>
    </w:p>
    <w:p w:rsidRPr="0079214C" w:rsidR="005A63B0" w:rsidP="55980ADD" w:rsidRDefault="005A63B0" w14:paraId="0D6E2F43" w14:textId="406A8CB8">
      <w:pPr>
        <w:shd w:val="clear" w:color="auto" w:fill="FFFFFF" w:themeFill="background1"/>
        <w:jc w:val="center"/>
        <w:rPr>
          <w:b/>
          <w:bCs/>
          <w:caps/>
        </w:rPr>
      </w:pPr>
      <w:r w:rsidRPr="55980ADD">
        <w:rPr>
          <w:b/>
          <w:bCs/>
          <w:caps/>
        </w:rPr>
        <w:t xml:space="preserve">GRUPINĖS SUPERVIZIJOS  Mokymai, </w:t>
      </w:r>
    </w:p>
    <w:p w:rsidRPr="00520E7E" w:rsidR="005A63B0" w:rsidP="55980ADD" w:rsidRDefault="6523F561" w14:paraId="5717DC34" w14:textId="2D009A34">
      <w:pPr>
        <w:shd w:val="clear" w:color="auto" w:fill="FFFFFF" w:themeFill="background1"/>
        <w:jc w:val="center"/>
        <w:rPr>
          <w:b/>
          <w:bCs/>
          <w:caps/>
        </w:rPr>
      </w:pPr>
      <w:r w:rsidRPr="5B34318D">
        <w:rPr>
          <w:b/>
          <w:bCs/>
          <w:caps/>
        </w:rPr>
        <w:t xml:space="preserve">SKIRTI UGDYTI BENDRŲJŲ GEBĖJIMŲ KOMPETENCIJAS </w:t>
      </w:r>
    </w:p>
    <w:p w:rsidR="005A63B0" w:rsidP="005A63B0" w:rsidRDefault="005A63B0" w14:paraId="49679FF1" w14:textId="77777777">
      <w:pPr>
        <w:shd w:val="clear" w:color="auto" w:fill="FFFFFF"/>
        <w:jc w:val="center"/>
        <w:rPr>
          <w:b/>
          <w:bCs/>
        </w:rPr>
      </w:pPr>
    </w:p>
    <w:p w:rsidRPr="00A67FA8" w:rsidR="005A63B0" w:rsidP="005A63B0" w:rsidRDefault="005A63B0" w14:paraId="276FAD5B" w14:textId="77777777">
      <w:pPr>
        <w:shd w:val="clear" w:color="auto" w:fill="FFFFFF"/>
        <w:rPr>
          <w:b/>
          <w:bCs/>
        </w:rPr>
      </w:pPr>
    </w:p>
    <w:p w:rsidRPr="0079214C" w:rsidR="005A63B0" w:rsidP="5B34318D" w:rsidRDefault="005A63B0" w14:paraId="025A3682" w14:textId="1317126C">
      <w:pPr>
        <w:shd w:val="clear" w:color="auto" w:fill="FFFFFF" w:themeFill="background1"/>
        <w:ind w:firstLine="851"/>
        <w:jc w:val="both"/>
      </w:pPr>
      <w:r w:rsidRPr="5B34318D">
        <w:rPr>
          <w:b/>
          <w:bCs/>
          <w:color w:val="000000" w:themeColor="text1"/>
        </w:rPr>
        <w:t>1. Perkamos paslaugos</w:t>
      </w:r>
      <w:r w:rsidRPr="5B34318D">
        <w:rPr>
          <w:color w:val="000000" w:themeColor="text1"/>
        </w:rPr>
        <w:t>:</w:t>
      </w:r>
      <w:r>
        <w:t xml:space="preserve"> </w:t>
      </w:r>
      <w:r w:rsidRPr="5B34318D" w:rsidR="044537D4">
        <w:rPr>
          <w:color w:val="000000" w:themeColor="text1"/>
        </w:rPr>
        <w:t xml:space="preserve"> Lietuvos įtraukties švietime centras (toliau – Perkančioji organizacija), įgyvendindama iš Europos Sąjungos fondų ir bendrojo finansavimo lėšų finansuojamą projektą </w:t>
      </w:r>
      <w:r w:rsidRPr="5B34318D" w:rsidR="6AB9F00F">
        <w:rPr>
          <w:color w:val="000000" w:themeColor="text1"/>
        </w:rPr>
        <w:t>,,Mokymasis įtraukčiai”</w:t>
      </w:r>
      <w:r w:rsidRPr="5B34318D" w:rsidR="044537D4">
        <w:rPr>
          <w:color w:val="000000" w:themeColor="text1"/>
        </w:rPr>
        <w:t>, vykdomą pagal 2021 - 2030 m. plėtros programos valdytojos Lietuvos Respublikos švietimo, mokslo ir sporto ministerijos švietimo plėtros programos pažangos priemonę Nr. 12-003-03-02-01 „Įgyvendinti įtraukųjį švietimą“ (toliau – Projektas), ketina įsigyti</w:t>
      </w:r>
      <w:r>
        <w:t xml:space="preserve"> </w:t>
      </w:r>
      <w:r w:rsidR="002527A6">
        <w:t xml:space="preserve">grupinės supervizijos </w:t>
      </w:r>
      <w:r>
        <w:t>mokymų, skirtų bendrųjų gebėjimų kompetencijoms stiprinti, organizavimo ir įgyvendinimo paslaug</w:t>
      </w:r>
      <w:r w:rsidRPr="5B34318D" w:rsidR="58F941F6">
        <w:rPr>
          <w:color w:val="000000" w:themeColor="text1"/>
        </w:rPr>
        <w:t>a</w:t>
      </w:r>
      <w:r>
        <w:t xml:space="preserve">s </w:t>
      </w:r>
      <w:r w:rsidRPr="5B34318D" w:rsidR="6201871B">
        <w:rPr>
          <w:color w:val="000000" w:themeColor="text1"/>
        </w:rPr>
        <w:t>Perkančiosios organizacijos</w:t>
      </w:r>
      <w:r>
        <w:t xml:space="preserve"> darbuotojams</w:t>
      </w:r>
      <w:r w:rsidR="29F6D733">
        <w:t xml:space="preserve"> (toliau – paslaugos</w:t>
      </w:r>
      <w:r w:rsidR="0FBD9205">
        <w:t xml:space="preserve"> arba mokymai</w:t>
      </w:r>
      <w:r w:rsidR="29F6D733">
        <w:t>)</w:t>
      </w:r>
      <w:r>
        <w:t xml:space="preserve">. </w:t>
      </w:r>
    </w:p>
    <w:p w:rsidRPr="0058358E" w:rsidR="0008455B" w:rsidP="5B34318D" w:rsidRDefault="005A63B0" w14:paraId="4DFAF999" w14:textId="6EE5CF83">
      <w:pPr>
        <w:tabs>
          <w:tab w:val="left" w:pos="284"/>
          <w:tab w:val="left" w:pos="1620"/>
        </w:tabs>
        <w:ind w:firstLine="851"/>
        <w:jc w:val="both"/>
      </w:pPr>
      <w:r w:rsidRPr="5B34318D">
        <w:rPr>
          <w:b/>
          <w:bCs/>
        </w:rPr>
        <w:t xml:space="preserve">2. </w:t>
      </w:r>
      <w:r w:rsidRPr="5B34318D">
        <w:rPr>
          <w:b/>
          <w:bCs/>
          <w:color w:val="000000" w:themeColor="text1"/>
        </w:rPr>
        <w:t>Perkamų paslaugų apimtis:</w:t>
      </w:r>
      <w:r w:rsidRPr="5B34318D">
        <w:rPr>
          <w:color w:val="000000" w:themeColor="text1"/>
        </w:rPr>
        <w:t xml:space="preserve"> </w:t>
      </w:r>
      <w:r w:rsidRPr="5B34318D" w:rsidR="449E3348">
        <w:rPr>
          <w:color w:val="000000" w:themeColor="text1"/>
        </w:rPr>
        <w:t xml:space="preserve">ne mažiau kaip 400 akademinių valandų mokymai </w:t>
      </w:r>
      <w:r w:rsidR="7F7A60B8">
        <w:t xml:space="preserve">vienai </w:t>
      </w:r>
      <w:r w:rsidR="12ED5DFC">
        <w:t>Perkančios</w:t>
      </w:r>
      <w:r w:rsidR="616602CA">
        <w:t>i</w:t>
      </w:r>
      <w:r w:rsidR="12ED5DFC">
        <w:t>os organizacijos darbuotojų grupei</w:t>
      </w:r>
      <w:r w:rsidR="7B2F3622">
        <w:t>, kurią sudaro 10 asmenų</w:t>
      </w:r>
      <w:r w:rsidR="12ED5DFC">
        <w:t>.</w:t>
      </w:r>
      <w:r w:rsidR="00197368">
        <w:t xml:space="preserve"> </w:t>
      </w:r>
      <w:r w:rsidR="325B0CB6">
        <w:t xml:space="preserve"> </w:t>
      </w:r>
    </w:p>
    <w:p w:rsidR="4996BA0A" w:rsidP="6618ED14" w:rsidRDefault="005A63B0" w14:paraId="6591D040" w14:textId="126B52EC">
      <w:pPr>
        <w:tabs>
          <w:tab w:val="left" w:pos="284"/>
          <w:tab w:val="left" w:pos="1620"/>
        </w:tabs>
        <w:ind w:firstLine="720"/>
        <w:jc w:val="both"/>
      </w:pPr>
      <w:r w:rsidRPr="6618ED14" w:rsidR="005A63B0">
        <w:rPr>
          <w:color w:val="FF0000"/>
        </w:rPr>
        <w:t xml:space="preserve"> </w:t>
      </w:r>
      <w:r w:rsidRPr="6618ED14" w:rsidR="005A63B0">
        <w:rPr>
          <w:b w:val="1"/>
          <w:bCs w:val="1"/>
        </w:rPr>
        <w:t>3. Paslaugų suteikimo terminai:</w:t>
      </w:r>
      <w:r w:rsidR="005A63B0">
        <w:rPr/>
        <w:t xml:space="preserve"> visos paslaugos turi būti suteiktos </w:t>
      </w:r>
      <w:r w:rsidR="5424C4DD">
        <w:rPr/>
        <w:t xml:space="preserve">per </w:t>
      </w:r>
      <w:r w:rsidR="53D30B0C">
        <w:rPr/>
        <w:t>24</w:t>
      </w:r>
      <w:r w:rsidR="5424C4DD">
        <w:rPr/>
        <w:t xml:space="preserve"> mėn</w:t>
      </w:r>
      <w:r w:rsidR="774F30FD">
        <w:rPr/>
        <w:t>.</w:t>
      </w:r>
      <w:r w:rsidR="5424C4DD">
        <w:rPr/>
        <w:t xml:space="preserve"> nuo sutarties pasirašymo dienos.</w:t>
      </w:r>
      <w:r w:rsidR="005A63B0">
        <w:rPr/>
        <w:t xml:space="preserve"> </w:t>
      </w:r>
      <w:r w:rsidRPr="6618ED14" w:rsidR="4996BA0A">
        <w:rPr>
          <w:rFonts w:eastAsia="Arial Unicode MS"/>
          <w:lang w:eastAsia="en-US"/>
        </w:rPr>
        <w:t xml:space="preserve">  </w:t>
      </w:r>
    </w:p>
    <w:p w:rsidRPr="0079214C" w:rsidR="005A63B0" w:rsidP="00DC0ACD" w:rsidRDefault="005A63B0" w14:paraId="4D1572C6" w14:textId="5366E639">
      <w:pPr>
        <w:tabs>
          <w:tab w:val="left" w:pos="284"/>
          <w:tab w:val="left" w:pos="1620"/>
        </w:tabs>
        <w:spacing/>
        <w:ind w:firstLine="851"/>
        <w:contextualSpacing/>
        <w:jc w:val="both"/>
      </w:pPr>
      <w:r w:rsidRPr="30633A2C" w:rsidR="005A63B0">
        <w:rPr>
          <w:b w:val="1"/>
          <w:bCs w:val="1"/>
        </w:rPr>
        <w:t>4. Paslaugų teikimo vieta:</w:t>
      </w:r>
      <w:r w:rsidR="005A63B0">
        <w:rPr/>
        <w:t xml:space="preserve"> </w:t>
      </w:r>
      <w:r w:rsidRPr="30633A2C" w:rsidR="586104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okymai turi būti organizuojami ir įgyvendinami Lietuvos įtraukties švietime centro patalpose arba kitoje Perkančiosios organizacijos nurodytose patalpose Lietuvoje.</w:t>
      </w:r>
      <w:r w:rsidR="6FF8350F">
        <w:rPr/>
        <w:t xml:space="preserve"> </w:t>
      </w:r>
      <w:r w:rsidR="005A63B0">
        <w:rPr/>
        <w:t>Dalyvių grupės sudarymu, patal</w:t>
      </w:r>
      <w:r w:rsidR="00BB68EE">
        <w:rPr/>
        <w:t>pomis</w:t>
      </w:r>
      <w:r w:rsidR="00007684">
        <w:rPr/>
        <w:t>, įranga</w:t>
      </w:r>
      <w:r w:rsidR="005A63B0">
        <w:rPr/>
        <w:t xml:space="preserve"> </w:t>
      </w:r>
      <w:r w:rsidR="2D132697">
        <w:rPr/>
        <w:t xml:space="preserve">ir maitinimu/kavos pertraukėlėmis </w:t>
      </w:r>
      <w:r w:rsidR="005A63B0">
        <w:rPr/>
        <w:t xml:space="preserve">rūpinasi Perkančioji organizacija. Konkrečias mokymų datas Tiekėjas derina su </w:t>
      </w:r>
      <w:r w:rsidR="3BF48678">
        <w:rPr/>
        <w:t>P</w:t>
      </w:r>
      <w:r w:rsidR="005A63B0">
        <w:rPr/>
        <w:t xml:space="preserve">erkančiąja organizacija.  </w:t>
      </w:r>
    </w:p>
    <w:p w:rsidRPr="00A67FA8" w:rsidR="005A63B0" w:rsidP="43D06079" w:rsidRDefault="005A63B0" w14:paraId="4AE0F90F" w14:textId="73A141B9">
      <w:pPr>
        <w:ind w:firstLine="851"/>
        <w:jc w:val="both"/>
        <w:rPr>
          <w:b/>
          <w:bCs/>
        </w:rPr>
      </w:pPr>
      <w:r w:rsidRPr="54292B07">
        <w:rPr>
          <w:b/>
          <w:bCs/>
        </w:rPr>
        <w:t xml:space="preserve">5. </w:t>
      </w:r>
      <w:r w:rsidRPr="54292B07" w:rsidR="1E1F2808">
        <w:rPr>
          <w:b/>
          <w:bCs/>
        </w:rPr>
        <w:t>Tiekėjas</w:t>
      </w:r>
      <w:r w:rsidRPr="54292B07">
        <w:rPr>
          <w:b/>
          <w:bCs/>
        </w:rPr>
        <w:t xml:space="preserve"> turės suteikti šias paslaugas:</w:t>
      </w:r>
    </w:p>
    <w:p w:rsidRPr="00A67FA8" w:rsidR="005A63B0" w:rsidP="2BB635B7" w:rsidRDefault="006F60E6" w14:paraId="33BF9A34" w14:textId="3A3B5E6A">
      <w:pPr>
        <w:pStyle w:val="ListParagraph"/>
        <w:numPr>
          <w:ilvl w:val="1"/>
          <w:numId w:val="5"/>
        </w:numPr>
        <w:tabs>
          <w:tab w:val="left" w:pos="851"/>
          <w:tab w:val="left" w:pos="1276"/>
        </w:tabs>
        <w:suppressAutoHyphens/>
        <w:ind w:left="0" w:firstLine="851"/>
        <w:jc w:val="both"/>
        <w:rPr>
          <w:color w:val="000000" w:themeColor="text1" w:themeTint="FF" w:themeShade="FF"/>
        </w:rPr>
      </w:pPr>
      <w:r w:rsidR="3BCA5D33">
        <w:rPr/>
        <w:t>P</w:t>
      </w:r>
      <w:r w:rsidR="005A63B0">
        <w:rPr/>
        <w:t xml:space="preserve">arengti </w:t>
      </w:r>
      <w:r w:rsidR="7B218A2F">
        <w:rPr/>
        <w:t xml:space="preserve">ne mažiau kaip 400 akademinių valandų </w:t>
      </w:r>
      <w:r w:rsidR="005A63B0">
        <w:rPr/>
        <w:t xml:space="preserve">mokymų programą ir </w:t>
      </w:r>
      <w:r w:rsidRPr="2BB635B7" w:rsidR="646D4758">
        <w:rPr>
          <w:color w:val="000000" w:themeColor="text1" w:themeTint="FF" w:themeShade="FF"/>
        </w:rPr>
        <w:t>ją suderinti su Perkančiąja organizacija</w:t>
      </w:r>
      <w:r w:rsidRPr="2BB635B7" w:rsidR="0CD61355">
        <w:rPr>
          <w:color w:val="000000" w:themeColor="text1" w:themeTint="FF" w:themeShade="FF"/>
        </w:rPr>
        <w:t>.</w:t>
      </w:r>
    </w:p>
    <w:p w:rsidRPr="00A67FA8" w:rsidR="005A63B0" w:rsidP="2BB635B7" w:rsidRDefault="006F60E6" w14:paraId="588B89FE" w14:textId="417C89C8">
      <w:pPr>
        <w:pStyle w:val="ListParagraph"/>
        <w:numPr>
          <w:ilvl w:val="1"/>
          <w:numId w:val="5"/>
        </w:numPr>
        <w:tabs>
          <w:tab w:val="left" w:pos="851"/>
          <w:tab w:val="left" w:pos="1276"/>
        </w:tabs>
        <w:suppressAutoHyphens/>
        <w:ind w:left="0" w:firstLine="851"/>
        <w:jc w:val="both"/>
        <w:rPr>
          <w:color w:val="000000" w:themeColor="text1" w:themeTint="FF" w:themeShade="FF"/>
        </w:rPr>
      </w:pPr>
      <w:r w:rsidR="393D8FBD">
        <w:rPr/>
        <w:t>P</w:t>
      </w:r>
      <w:r w:rsidR="005A63B0">
        <w:rPr/>
        <w:t xml:space="preserve">agal Perkančiosios organizacijos </w:t>
      </w:r>
      <w:r w:rsidR="005A63B0">
        <w:rPr/>
        <w:t xml:space="preserve">patvirtintą </w:t>
      </w:r>
      <w:r w:rsidR="005A63B0">
        <w:rPr/>
        <w:t>programą p</w:t>
      </w:r>
      <w:r w:rsidRPr="2BB635B7" w:rsidR="005A63B0">
        <w:rPr>
          <w:color w:val="000000" w:themeColor="text1" w:themeTint="FF" w:themeShade="FF"/>
        </w:rPr>
        <w:t>ravesti mokymus</w:t>
      </w:r>
      <w:r w:rsidRPr="2BB635B7" w:rsidR="18D00065">
        <w:rPr>
          <w:color w:val="000000" w:themeColor="text1" w:themeTint="FF" w:themeShade="FF"/>
        </w:rPr>
        <w:t>.</w:t>
      </w:r>
    </w:p>
    <w:p w:rsidRPr="004F6DFA" w:rsidR="005A63B0" w:rsidP="005A63B0" w:rsidRDefault="006F60E6" w14:paraId="7C39AB96" w14:textId="6A93B466">
      <w:pPr>
        <w:pStyle w:val="ListParagraph"/>
        <w:numPr>
          <w:ilvl w:val="1"/>
          <w:numId w:val="5"/>
        </w:numPr>
        <w:tabs>
          <w:tab w:val="left" w:pos="851"/>
          <w:tab w:val="left" w:pos="1276"/>
        </w:tabs>
        <w:suppressAutoHyphens/>
        <w:ind w:left="0" w:firstLine="851"/>
        <w:jc w:val="both"/>
        <w:rPr/>
      </w:pPr>
      <w:r w:rsidR="4F485DFB">
        <w:rPr/>
        <w:t>P</w:t>
      </w:r>
      <w:r w:rsidR="005A63B0">
        <w:rPr/>
        <w:t>arengti ir išspausdinti dal</w:t>
      </w:r>
      <w:r w:rsidR="22127266">
        <w:rPr/>
        <w:t>o</w:t>
      </w:r>
      <w:r w:rsidR="005A63B0">
        <w:rPr/>
        <w:t xml:space="preserve">mąją medžiagą ir mokymo skaidres lietuvių kalba kiekvienam mokymų dalyviui pagal mokymų tematiką (viso </w:t>
      </w:r>
      <w:r w:rsidR="0008455B">
        <w:rPr/>
        <w:t>1</w:t>
      </w:r>
      <w:r w:rsidR="005A63B0">
        <w:rPr/>
        <w:t>0 vnt.)</w:t>
      </w:r>
      <w:r w:rsidR="352DC2F5">
        <w:rPr/>
        <w:t>.</w:t>
      </w:r>
    </w:p>
    <w:p w:rsidRPr="00A67FA8" w:rsidR="005A63B0" w:rsidP="005A63B0" w:rsidRDefault="006F60E6" w14:paraId="4B78A349" w14:textId="0BEE8AF3">
      <w:pPr>
        <w:pStyle w:val="ListParagraph"/>
        <w:numPr>
          <w:ilvl w:val="1"/>
          <w:numId w:val="5"/>
        </w:numPr>
        <w:tabs>
          <w:tab w:val="left" w:pos="851"/>
          <w:tab w:val="left" w:pos="1276"/>
        </w:tabs>
        <w:suppressAutoHyphens/>
        <w:ind w:left="0" w:firstLine="851"/>
        <w:jc w:val="both"/>
        <w:rPr/>
      </w:pPr>
      <w:r w:rsidR="352DC2F5">
        <w:rPr/>
        <w:t>V</w:t>
      </w:r>
      <w:r w:rsidR="005A63B0">
        <w:rPr/>
        <w:t>isoje medžiagoje (dal</w:t>
      </w:r>
      <w:r w:rsidR="62A36821">
        <w:rPr/>
        <w:t>o</w:t>
      </w:r>
      <w:r w:rsidR="005A63B0">
        <w:rPr/>
        <w:t>mojoje medžiagoj</w:t>
      </w:r>
      <w:r w:rsidR="00197368">
        <w:rPr/>
        <w:t>e</w:t>
      </w:r>
      <w:r w:rsidR="005A63B0">
        <w:rPr/>
        <w:t>,</w:t>
      </w:r>
      <w:r w:rsidR="00AF47D6">
        <w:rPr/>
        <w:t xml:space="preserve"> </w:t>
      </w:r>
      <w:r w:rsidR="005A63B0">
        <w:rPr/>
        <w:t xml:space="preserve">skaidrėse) privalo būti naudojami Perkančiosios organizacijos Europos socialinio fondo + ir Europos Sąjungos bendrojo finansavimo viešinimo ženklai bei nurodytas </w:t>
      </w:r>
      <w:r w:rsidR="0085102F">
        <w:rPr/>
        <w:t xml:space="preserve">projekto ,,Mokymasis </w:t>
      </w:r>
      <w:r w:rsidR="0085102F">
        <w:rPr/>
        <w:t>įtraukčiai</w:t>
      </w:r>
      <w:r w:rsidR="0085102F">
        <w:rPr/>
        <w:t xml:space="preserve">“ </w:t>
      </w:r>
      <w:r w:rsidR="0085102F">
        <w:rPr/>
        <w:t>Nr. 10-055-P-0001</w:t>
      </w:r>
      <w:r w:rsidRPr="2BB635B7" w:rsidR="0085102F">
        <w:rPr>
          <w:b w:val="1"/>
          <w:bCs w:val="1"/>
        </w:rPr>
        <w:t xml:space="preserve"> </w:t>
      </w:r>
      <w:r w:rsidR="005A63B0">
        <w:rPr/>
        <w:t>pavadinimas.</w:t>
      </w:r>
    </w:p>
    <w:p w:rsidRPr="00A67FA8" w:rsidR="005A63B0" w:rsidP="005A63B0" w:rsidRDefault="006F60E6" w14:paraId="6E1D02DB" w14:textId="490CEEB1">
      <w:pPr>
        <w:pStyle w:val="ListParagraph"/>
        <w:numPr>
          <w:ilvl w:val="1"/>
          <w:numId w:val="5"/>
        </w:numPr>
        <w:tabs>
          <w:tab w:val="left" w:pos="851"/>
          <w:tab w:val="left" w:pos="1276"/>
        </w:tabs>
        <w:suppressAutoHyphens/>
        <w:ind w:left="0" w:firstLine="851"/>
        <w:jc w:val="both"/>
        <w:rPr/>
      </w:pPr>
      <w:r w:rsidRPr="2D8E2F36" w:rsidR="7815C651">
        <w:rPr>
          <w:color w:val="000000" w:themeColor="text1" w:themeTint="FF" w:themeShade="FF"/>
        </w:rPr>
        <w:t>M</w:t>
      </w:r>
      <w:r w:rsidRPr="2D8E2F36" w:rsidR="005A63B0">
        <w:rPr>
          <w:color w:val="000000" w:themeColor="text1" w:themeTint="FF" w:themeShade="FF"/>
        </w:rPr>
        <w:t xml:space="preserve">okymų pabaigoje kiekvienam dalyviui, išklausiusiam </w:t>
      </w:r>
      <w:r w:rsidRPr="2D8E2F36" w:rsidR="2F86A357">
        <w:rPr>
          <w:color w:val="000000" w:themeColor="text1" w:themeTint="FF" w:themeShade="FF"/>
        </w:rPr>
        <w:t>75</w:t>
      </w:r>
      <w:r w:rsidRPr="2D8E2F36" w:rsidR="005A63B0">
        <w:rPr>
          <w:color w:val="000000" w:themeColor="text1" w:themeTint="FF" w:themeShade="FF"/>
        </w:rPr>
        <w:t xml:space="preserve"> </w:t>
      </w:r>
      <w:r w:rsidRPr="2D8E2F36" w:rsidR="005A63B0">
        <w:rPr>
          <w:color w:val="000000" w:themeColor="text1" w:themeTint="FF" w:themeShade="FF"/>
        </w:rPr>
        <w:t>procentų mokymų kurso, išduoti kvalifikacijos tobulinimo pažymėjimą</w:t>
      </w:r>
      <w:r w:rsidRPr="2D8E2F36" w:rsidR="006F60E6">
        <w:rPr>
          <w:color w:val="000000" w:themeColor="text1" w:themeTint="FF" w:themeShade="FF"/>
        </w:rPr>
        <w:t xml:space="preserve"> ir </w:t>
      </w:r>
      <w:bookmarkStart w:name="_Int_jxIziPyt" w:id="2"/>
      <w:r w:rsidRPr="2D8E2F36" w:rsidR="006F60E6">
        <w:rPr>
          <w:color w:val="000000" w:themeColor="text1" w:themeTint="FF" w:themeShade="FF"/>
        </w:rPr>
        <w:t>supervizoriaus</w:t>
      </w:r>
      <w:bookmarkEnd w:id="2"/>
      <w:r w:rsidRPr="2D8E2F36" w:rsidR="006F60E6">
        <w:rPr>
          <w:color w:val="000000" w:themeColor="text1" w:themeTint="FF" w:themeShade="FF"/>
        </w:rPr>
        <w:t xml:space="preserve"> statusą patvirtinantį dokumentą.</w:t>
      </w:r>
    </w:p>
    <w:p w:rsidRPr="0085105B" w:rsidR="005A63B0" w:rsidP="43D06079" w:rsidRDefault="005A63B0" w14:paraId="21BFD013" w14:textId="7AFFF600">
      <w:pPr>
        <w:pStyle w:val="ListParagraph"/>
        <w:numPr>
          <w:ilvl w:val="1"/>
          <w:numId w:val="5"/>
        </w:numPr>
        <w:tabs>
          <w:tab w:val="left" w:pos="851"/>
          <w:tab w:val="left" w:pos="1276"/>
        </w:tabs>
        <w:suppressAutoHyphens/>
        <w:ind w:left="0" w:firstLine="851"/>
        <w:jc w:val="both"/>
        <w:rPr/>
      </w:pPr>
      <w:r w:rsidR="005A63B0">
        <w:rPr/>
        <w:t xml:space="preserve">Pateikti visą informaciją apie pravestus mokymus Perkančiajai organizacijai </w:t>
      </w:r>
      <w:r w:rsidR="251DD03B">
        <w:rPr/>
        <w:t>š</w:t>
      </w:r>
      <w:r w:rsidR="1F39931C">
        <w:rPr/>
        <w:t>ios Technin</w:t>
      </w:r>
      <w:r w:rsidR="79C25A19">
        <w:rPr/>
        <w:t>ė</w:t>
      </w:r>
      <w:r w:rsidR="1F39931C">
        <w:rPr/>
        <w:t>s specifikacijos 7</w:t>
      </w:r>
      <w:r w:rsidR="2725E39C">
        <w:rPr/>
        <w:t>.13</w:t>
      </w:r>
      <w:r w:rsidR="1F39931C">
        <w:rPr/>
        <w:t xml:space="preserve"> p</w:t>
      </w:r>
      <w:r w:rsidR="2AB37008">
        <w:rPr/>
        <w:t>ap</w:t>
      </w:r>
      <w:r w:rsidR="1F39931C">
        <w:rPr/>
        <w:t>unkt</w:t>
      </w:r>
      <w:r w:rsidR="2560FD20">
        <w:rPr/>
        <w:t>yj</w:t>
      </w:r>
      <w:r w:rsidR="1F39931C">
        <w:rPr/>
        <w:t xml:space="preserve">e </w:t>
      </w:r>
      <w:r w:rsidR="005A63B0">
        <w:rPr/>
        <w:t>nustatyta tvarka.</w:t>
      </w:r>
    </w:p>
    <w:p w:rsidR="0066305F" w:rsidP="0066305F" w:rsidRDefault="005A63B0" w14:paraId="25025F9B" w14:textId="671A7880">
      <w:pPr>
        <w:pStyle w:val="NoSpacing"/>
        <w:numPr>
          <w:ilvl w:val="0"/>
          <w:numId w:val="5"/>
        </w:numPr>
        <w:tabs>
          <w:tab w:val="left" w:pos="851"/>
        </w:tabs>
        <w:ind w:left="0" w:firstLine="851"/>
        <w:jc w:val="both"/>
      </w:pPr>
      <w:r w:rsidRPr="43D06079">
        <w:rPr>
          <w:b/>
          <w:bCs/>
        </w:rPr>
        <w:t xml:space="preserve">Reikalavimai mokymų programai: </w:t>
      </w:r>
      <w:r w:rsidRPr="43D06079">
        <w:t>mokymų programa turi būti parengta pagal šiuos reikalavimus:</w:t>
      </w:r>
    </w:p>
    <w:p w:rsidR="00F0157E" w:rsidP="0066305F" w:rsidRDefault="00F0157E" w14:paraId="18370F4B" w14:textId="409A0168">
      <w:pPr>
        <w:pStyle w:val="NoSpacing"/>
        <w:numPr>
          <w:ilvl w:val="1"/>
          <w:numId w:val="5"/>
        </w:numPr>
        <w:tabs>
          <w:tab w:val="left" w:pos="851"/>
        </w:tabs>
        <w:ind w:left="0" w:firstLine="851"/>
        <w:jc w:val="both"/>
        <w:rPr/>
      </w:pPr>
      <w:r w:rsidR="00F0157E">
        <w:rPr/>
        <w:t>Mokymų programa turi atitikti supervizijos organizacijų Europoje asociacijos standartus</w:t>
      </w:r>
      <w:r w:rsidR="00EF5C35">
        <w:rPr/>
        <w:t xml:space="preserve">, būti pagrįsta Europos </w:t>
      </w:r>
      <w:bookmarkStart w:name="_Int_YQs7AJPV" w:id="3"/>
      <w:r w:rsidR="00EF5C35">
        <w:rPr/>
        <w:t>supervizijos</w:t>
      </w:r>
      <w:bookmarkEnd w:id="3"/>
      <w:r w:rsidR="00EF5C35">
        <w:rPr/>
        <w:t xml:space="preserve"> kompetencijų sąranga</w:t>
      </w:r>
      <w:r w:rsidR="00C60378">
        <w:rPr/>
        <w:t>.</w:t>
      </w:r>
    </w:p>
    <w:p w:rsidR="002C6783" w:rsidP="0066305F" w:rsidRDefault="002C6783" w14:paraId="73BE3B7B" w14:textId="18C2D0DA">
      <w:pPr>
        <w:pStyle w:val="NoSpacing"/>
        <w:numPr>
          <w:ilvl w:val="1"/>
          <w:numId w:val="5"/>
        </w:numPr>
        <w:tabs>
          <w:tab w:val="left" w:pos="851"/>
        </w:tabs>
        <w:ind w:left="0" w:firstLine="851"/>
        <w:jc w:val="both"/>
        <w:rPr/>
      </w:pPr>
      <w:r w:rsidR="709666D7">
        <w:rPr/>
        <w:t>M</w:t>
      </w:r>
      <w:r w:rsidR="002C6783">
        <w:rPr/>
        <w:t xml:space="preserve">okymų programa turi būti sudaryta iš </w:t>
      </w:r>
      <w:r w:rsidR="002C6783">
        <w:rPr/>
        <w:t>8</w:t>
      </w:r>
      <w:r w:rsidR="002C6783">
        <w:rPr/>
        <w:t xml:space="preserve">0 proc. auditorinio darbo </w:t>
      </w:r>
      <w:r w:rsidR="00C64435">
        <w:rPr/>
        <w:t xml:space="preserve">(kontaktiniu arba nuotoliniu būdu) </w:t>
      </w:r>
      <w:r w:rsidR="002C6783">
        <w:rPr/>
        <w:t xml:space="preserve">ir </w:t>
      </w:r>
      <w:r w:rsidR="00A12964">
        <w:rPr/>
        <w:t xml:space="preserve">ne mažiau kaip </w:t>
      </w:r>
      <w:r w:rsidR="002C6783">
        <w:rPr/>
        <w:t>20 proc. savarankiško darbo</w:t>
      </w:r>
      <w:r w:rsidR="006928BA">
        <w:rPr/>
        <w:t xml:space="preserve"> </w:t>
      </w:r>
      <w:r w:rsidR="006928BA">
        <w:rPr/>
        <w:t>(mokymų metu atliekant savarankiškas užduotis)</w:t>
      </w:r>
      <w:r w:rsidR="5553620D">
        <w:rPr/>
        <w:t>.</w:t>
      </w:r>
    </w:p>
    <w:p w:rsidR="0066305F" w:rsidP="0066305F" w:rsidRDefault="00F0157E" w14:paraId="698137D6" w14:textId="5AD5BDD4">
      <w:pPr>
        <w:pStyle w:val="NoSpacing"/>
        <w:numPr>
          <w:ilvl w:val="1"/>
          <w:numId w:val="5"/>
        </w:numPr>
        <w:tabs>
          <w:tab w:val="left" w:pos="851"/>
        </w:tabs>
        <w:ind w:left="0" w:firstLine="851"/>
        <w:jc w:val="both"/>
        <w:rPr/>
      </w:pPr>
      <w:r w:rsidR="00F0157E">
        <w:rPr/>
        <w:t> </w:t>
      </w:r>
      <w:r w:rsidR="023B1567">
        <w:rPr/>
        <w:t>M</w:t>
      </w:r>
      <w:r w:rsidR="005A63B0">
        <w:rPr/>
        <w:t>okymų programa turi turėti konkretų tikslą, skirtą tikslinės grupės bendrųjų gebėjimų kompetencijoms ugdyti ir/ar plėtoti, nurodytam mokymų tikslui pasiekti. Būtina pateikti mokymų programos anotaciją, nurodyti tikslą ir uždavinius, pristatyti konkrečias temas, joms skiriamą laiką, aprašyti ugdomas kompetencijas, kompetencijų įgijimo ir vertinimo būdus, užduotis,</w:t>
      </w:r>
      <w:r w:rsidR="550AAD4C">
        <w:rPr/>
        <w:t xml:space="preserve"> </w:t>
      </w:r>
      <w:r w:rsidR="005A63B0">
        <w:rPr/>
        <w:t xml:space="preserve">skiriamas </w:t>
      </w:r>
      <w:r w:rsidR="005A63B0">
        <w:rPr/>
        <w:t xml:space="preserve">dalyviams įgytų ir patobulintų kompetencijų įrodymui, </w:t>
      </w:r>
      <w:r w:rsidR="2686A0C2">
        <w:rPr/>
        <w:t xml:space="preserve">mokymų </w:t>
      </w:r>
      <w:r w:rsidR="1FD310C4">
        <w:rPr/>
        <w:t>p</w:t>
      </w:r>
      <w:r w:rsidR="005A63B0">
        <w:rPr/>
        <w:t xml:space="preserve">rogramai realizuoti naudojamą medžiagą. Visi </w:t>
      </w:r>
      <w:r w:rsidR="75C6410A">
        <w:rPr/>
        <w:t xml:space="preserve">mokymų </w:t>
      </w:r>
      <w:r w:rsidR="059E50B8">
        <w:rPr/>
        <w:t>p</w:t>
      </w:r>
      <w:r w:rsidR="005A63B0">
        <w:rPr/>
        <w:t>rogramos komponentai turi derėti tarpusavyje</w:t>
      </w:r>
      <w:r w:rsidR="73C3F220">
        <w:rPr/>
        <w:t>.</w:t>
      </w:r>
    </w:p>
    <w:p w:rsidR="00981D88" w:rsidP="00981D88" w:rsidRDefault="005A63B0" w14:paraId="4B36E2C4" w14:textId="1B3A0459">
      <w:pPr>
        <w:pStyle w:val="NoSpacing"/>
        <w:numPr>
          <w:ilvl w:val="1"/>
          <w:numId w:val="5"/>
        </w:numPr>
        <w:tabs>
          <w:tab w:val="left" w:pos="851"/>
        </w:tabs>
        <w:ind w:left="0" w:firstLine="851"/>
        <w:jc w:val="both"/>
        <w:rPr/>
      </w:pPr>
      <w:r w:rsidRPr="43D06079" w:rsidR="73C3F220">
        <w:rPr/>
        <w:t>M</w:t>
      </w:r>
      <w:r w:rsidRPr="43D06079" w:rsidR="005A63B0">
        <w:rPr/>
        <w:t>okymų</w:t>
      </w:r>
      <w:r w:rsidRPr="0066305F" w:rsidR="005A63B0">
        <w:rPr>
          <w:szCs w:val="24"/>
        </w:rPr>
        <w:t xml:space="preserve"> </w:t>
      </w:r>
      <w:r w:rsidRPr="43D06079" w:rsidR="005A63B0">
        <w:rPr/>
        <w:t>programoje taip pat turi būti pateiktas planuojamų aktyviųjų mokymo(</w:t>
      </w:r>
      <w:r w:rsidRPr="0066305F">
        <w:rPr>
          <w:szCs w:val="24"/>
        </w:rPr>
        <w:noBreakHyphen/>
      </w:r>
      <w:r w:rsidRPr="43D06079" w:rsidR="005A63B0">
        <w:rPr/>
        <w:t>si</w:t>
      </w:r>
      <w:r w:rsidRPr="43D06079" w:rsidR="005A63B0">
        <w:rPr/>
        <w:t>) metodų, praktinės veiklos taikymo</w:t>
      </w:r>
      <w:r w:rsidRPr="0066305F" w:rsidDel="006253F0" w:rsidR="005A63B0">
        <w:rPr>
          <w:szCs w:val="24"/>
        </w:rPr>
        <w:t xml:space="preserve"> </w:t>
      </w:r>
      <w:r w:rsidRPr="43D06079" w:rsidR="005A63B0">
        <w:rPr/>
        <w:t>metodų aprašas</w:t>
      </w:r>
      <w:r w:rsidRPr="43D06079" w:rsidR="0C3E0640">
        <w:rPr/>
        <w:t>.</w:t>
      </w:r>
    </w:p>
    <w:p w:rsidRPr="00981D88" w:rsidR="00981D88" w:rsidP="00981D88" w:rsidRDefault="005A63B0" w14:paraId="6C96668F" w14:textId="040BB176">
      <w:pPr>
        <w:pStyle w:val="NoSpacing"/>
        <w:numPr>
          <w:ilvl w:val="1"/>
          <w:numId w:val="5"/>
        </w:numPr>
        <w:tabs>
          <w:tab w:val="left" w:pos="851"/>
        </w:tabs>
        <w:ind w:left="0" w:firstLine="851"/>
        <w:jc w:val="both"/>
        <w:rPr/>
      </w:pPr>
      <w:r w:rsidRPr="43D06079" w:rsidR="0C3E0640">
        <w:rPr/>
        <w:t>M</w:t>
      </w:r>
      <w:r w:rsidRPr="43D06079" w:rsidR="005A63B0">
        <w:rPr/>
        <w:t>okymų programa</w:t>
      </w:r>
      <w:r w:rsidRPr="002D0F10" w:rsidR="005A63B0">
        <w:rPr/>
        <w:t xml:space="preserve"> </w:t>
      </w:r>
      <w:r w:rsidRPr="002D0F10" w:rsidR="0008455B">
        <w:rPr/>
        <w:t xml:space="preserve">turi apimti tokias temas: </w:t>
      </w:r>
      <w:r w:rsidRPr="002D0F10" w:rsidR="0008455B">
        <w:rPr/>
        <w:t xml:space="preserve">supervizijos</w:t>
      </w:r>
      <w:r w:rsidRPr="002D0F10" w:rsidR="0008455B">
        <w:rPr/>
        <w:t xml:space="preserve"> procesas, </w:t>
      </w:r>
      <w:r w:rsidRPr="002D0F10" w:rsidR="0008455B">
        <w:rPr/>
        <w:t xml:space="preserve">supervizoriaus</w:t>
      </w:r>
      <w:r w:rsidRPr="002D0F10" w:rsidR="0008455B">
        <w:rPr/>
        <w:t xml:space="preserve"> ir </w:t>
      </w:r>
      <w:r w:rsidRPr="002D0F10" w:rsidR="0008455B">
        <w:rPr/>
        <w:t>supervizuojamojo</w:t>
      </w:r>
      <w:r w:rsidRPr="002D0F10" w:rsidR="0008455B">
        <w:rPr/>
        <w:t xml:space="preserve"> vaidmenys;</w:t>
      </w:r>
      <w:r w:rsidR="0000768F">
        <w:rPr/>
        <w:t xml:space="preserve"> </w:t>
      </w:r>
      <w:r w:rsidR="0000768F">
        <w:rPr/>
        <w:t xml:space="preserve">supervizoriaus</w:t>
      </w:r>
      <w:r w:rsidR="0000768F">
        <w:rPr/>
        <w:t xml:space="preserve"> pasaulėžiūra ir identitetas;</w:t>
      </w:r>
      <w:r w:rsidRPr="002D0F10" w:rsidR="0008455B">
        <w:rPr/>
        <w:t xml:space="preserve"> reikalavimai efektyviai </w:t>
      </w:r>
      <w:r w:rsidR="00723DA9">
        <w:rPr/>
        <w:t xml:space="preserve">grupinei </w:t>
      </w:r>
      <w:r w:rsidRPr="002D0F10" w:rsidR="0008455B">
        <w:rPr/>
        <w:t xml:space="preserve">supervizijai</w:t>
      </w:r>
      <w:r w:rsidRPr="002D0F10" w:rsidR="0008455B">
        <w:rPr/>
        <w:t xml:space="preserve">; </w:t>
      </w:r>
      <w:r w:rsidRPr="00981D88" w:rsidR="0008455B">
        <w:rPr>
          <w:shd w:val="clear" w:color="auto" w:fill="FFFFFF"/>
        </w:rPr>
        <w:t xml:space="preserve">šiuolaikinės </w:t>
      </w:r>
      <w:r w:rsidRPr="00981D88" w:rsidR="0008455B">
        <w:rPr>
          <w:shd w:val="clear" w:color="auto" w:fill="FFFFFF"/>
        </w:rPr>
        <w:t>supervizijos</w:t>
      </w:r>
      <w:r w:rsidRPr="00981D88" w:rsidR="0008455B">
        <w:rPr>
          <w:shd w:val="clear" w:color="auto" w:fill="FFFFFF"/>
        </w:rPr>
        <w:t xml:space="preserve"> metodų taikymo tendencijos (savianalizės pratimai, minčių lietus, mozaikos ir ekspertų grupės, „šviesoforo“, „smėlio laikrodžio“</w:t>
      </w:r>
      <w:r w:rsidR="00B82C76">
        <w:rPr>
          <w:shd w:val="clear" w:color="auto" w:fill="FFFFFF"/>
        </w:rPr>
        <w:t xml:space="preserve"> ir/ar alternatyvūs</w:t>
      </w:r>
      <w:r w:rsidRPr="00981D88" w:rsidR="0008455B">
        <w:rPr>
          <w:shd w:val="clear" w:color="auto" w:fill="FFFFFF"/>
        </w:rPr>
        <w:t>); vykdomos veiklos refleksija ir tobulinamų veikos krypčių numatymas; komandos narių vaidmenys ir atsakomybių pasiskirstymas; perdegimo sindromo prevencija</w:t>
      </w:r>
      <w:r w:rsidR="00B82C76">
        <w:rPr>
          <w:shd w:val="clear" w:color="auto" w:fill="FFFFFF"/>
        </w:rPr>
        <w:t xml:space="preserve">, individualios </w:t>
      </w:r>
      <w:r w:rsidR="00C002C9">
        <w:rPr>
          <w:shd w:val="clear" w:color="auto" w:fill="FFFFFF"/>
        </w:rPr>
        <w:t xml:space="preserve">meta </w:t>
      </w:r>
      <w:r w:rsidR="00B82C76">
        <w:rPr>
          <w:shd w:val="clear" w:color="auto" w:fill="FFFFFF"/>
        </w:rPr>
        <w:t xml:space="preserve">supervizijos</w:t>
      </w:r>
      <w:r w:rsidR="00B82C76">
        <w:rPr>
          <w:shd w:val="clear" w:color="auto" w:fill="FFFFFF"/>
        </w:rPr>
        <w:t xml:space="preserve">, grupinės </w:t>
      </w:r>
      <w:r w:rsidR="00C002C9">
        <w:rPr>
          <w:shd w:val="clear" w:color="auto" w:fill="FFFFFF"/>
        </w:rPr>
        <w:t xml:space="preserve">meta </w:t>
      </w:r>
      <w:r w:rsidR="00B82C76">
        <w:rPr>
          <w:shd w:val="clear" w:color="auto" w:fill="FFFFFF"/>
        </w:rPr>
        <w:t>supervizijos</w:t>
      </w:r>
      <w:r w:rsidR="00C002C9">
        <w:rPr>
          <w:shd w:val="clear" w:color="auto" w:fill="FFFFFF"/>
        </w:rPr>
        <w:t xml:space="preserve">, grupinės </w:t>
      </w:r>
      <w:r w:rsidR="00C002C9">
        <w:rPr>
          <w:shd w:val="clear" w:color="auto" w:fill="FFFFFF"/>
        </w:rPr>
        <w:t>supervizijos</w:t>
      </w:r>
      <w:r w:rsidR="00C002C9">
        <w:rPr>
          <w:shd w:val="clear" w:color="auto" w:fill="FFFFFF"/>
        </w:rPr>
        <w:t xml:space="preserve"> praktiko</w:t>
      </w:r>
      <w:r w:rsidR="0000768F">
        <w:rPr>
          <w:shd w:val="clear" w:color="auto" w:fill="FFFFFF"/>
        </w:rPr>
        <w:t>s</w:t>
      </w:r>
      <w:r w:rsidR="00B91412">
        <w:rPr>
          <w:shd w:val="clear" w:color="auto" w:fill="FFFFFF"/>
        </w:rPr>
        <w:t xml:space="preserve">, </w:t>
      </w:r>
      <w:r w:rsidR="323AEEDD">
        <w:rPr>
          <w:shd w:val="clear" w:color="auto" w:fill="FFFFFF"/>
        </w:rPr>
        <w:t>refleksijos</w:t>
      </w:r>
      <w:r w:rsidR="2E9354EB">
        <w:rPr>
          <w:shd w:val="clear" w:color="auto" w:fill="FFFFFF"/>
        </w:rPr>
        <w:t xml:space="preserve"> ir kt</w:t>
      </w:r>
      <w:r w:rsidR="323AEEDD">
        <w:rPr>
          <w:shd w:val="clear" w:color="auto" w:fill="FFFFFF"/>
        </w:rPr>
        <w:t>.</w:t>
      </w:r>
    </w:p>
    <w:p w:rsidR="00981D88" w:rsidP="00981D88" w:rsidRDefault="005A63B0" w14:paraId="3BCDCF0B" w14:textId="31208A78">
      <w:pPr>
        <w:pStyle w:val="NoSpacing"/>
        <w:numPr>
          <w:ilvl w:val="1"/>
          <w:numId w:val="5"/>
        </w:numPr>
        <w:tabs>
          <w:tab w:val="left" w:pos="851"/>
        </w:tabs>
        <w:ind w:left="0" w:firstLine="851"/>
        <w:jc w:val="both"/>
        <w:rPr/>
      </w:pPr>
      <w:r w:rsidR="323AEEDD">
        <w:rPr/>
        <w:t>M</w:t>
      </w:r>
      <w:r w:rsidR="005A63B0">
        <w:rPr/>
        <w:t>okymų</w:t>
      </w:r>
      <w:r w:rsidR="005A63B0">
        <w:rPr/>
        <w:t xml:space="preserve"> </w:t>
      </w:r>
      <w:r w:rsidR="005A63B0">
        <w:rPr/>
        <w:t>programoje turi būti naudojami šiuolaikiški ir inovatyvūs mokymo metodai ir priemonės, padedantys įgyti reikiamas žinias bei kompetencijas. Metodai iliustruojami praktinėmis užduotimis bei gyvenimiškais pavyzdžiais. Programoje turi būti nurodytos mokymų dalyvių įgyjamos kompetencijos;</w:t>
      </w:r>
    </w:p>
    <w:p w:rsidR="00981D88" w:rsidP="2BB635B7" w:rsidRDefault="005A63B0" w14:paraId="2F957C86" w14:textId="00F3BE03">
      <w:pPr>
        <w:pStyle w:val="NoSpacing"/>
        <w:numPr>
          <w:ilvl w:val="1"/>
          <w:numId w:val="5"/>
        </w:numPr>
        <w:tabs>
          <w:tab w:val="left" w:pos="851"/>
        </w:tabs>
        <w:ind w:left="0" w:firstLine="851"/>
        <w:jc w:val="both"/>
        <w:rPr>
          <w:color w:val="000000" w:themeColor="text1" w:themeTint="FF" w:themeShade="FF"/>
        </w:rPr>
      </w:pPr>
      <w:r w:rsidR="0341F053">
        <w:rPr/>
        <w:t>M</w:t>
      </w:r>
      <w:r w:rsidR="005A63B0">
        <w:rPr/>
        <w:t>okymų programoje turi būti aiškiai suplanuota užsiėmimų struktūra</w:t>
      </w:r>
      <w:r w:rsidR="12230DBC">
        <w:rPr/>
        <w:t xml:space="preserve">: </w:t>
      </w:r>
      <w:r w:rsidR="005A63B0">
        <w:rPr/>
        <w:t xml:space="preserve">tematika, trukmė, </w:t>
      </w:r>
      <w:r w:rsidR="51E34CF9">
        <w:rPr/>
        <w:t xml:space="preserve">mokymams </w:t>
      </w:r>
      <w:r w:rsidR="457B0D74">
        <w:rPr/>
        <w:t xml:space="preserve">reikalingų </w:t>
      </w:r>
      <w:r w:rsidR="005A63B0">
        <w:rPr/>
        <w:t xml:space="preserve">užsiėmimų skaičius ir išdėstyta užsiėmimų medžiaga, pateikiamas teorinio ir praktinio darbo paskirstymas </w:t>
      </w:r>
      <w:r w:rsidRPr="2BB635B7" w:rsidR="005A63B0">
        <w:rPr>
          <w:color w:val="000000" w:themeColor="text1" w:themeTint="FF" w:themeShade="FF"/>
        </w:rPr>
        <w:t>valandomis</w:t>
      </w:r>
      <w:r w:rsidRPr="2BB635B7" w:rsidR="54248F16">
        <w:rPr>
          <w:color w:val="000000" w:themeColor="text1" w:themeTint="FF" w:themeShade="FF"/>
        </w:rPr>
        <w:t>.</w:t>
      </w:r>
    </w:p>
    <w:p w:rsidR="00981D88" w:rsidP="5B34318D" w:rsidRDefault="005A63B0" w14:paraId="4D289462" w14:textId="110E9F09">
      <w:pPr>
        <w:pStyle w:val="NoSpacing"/>
        <w:numPr>
          <w:ilvl w:val="1"/>
          <w:numId w:val="5"/>
        </w:numPr>
        <w:tabs>
          <w:tab w:val="left" w:pos="851"/>
        </w:tabs>
        <w:ind w:left="0" w:firstLine="851"/>
        <w:jc w:val="both"/>
        <w:rPr/>
      </w:pPr>
      <w:r w:rsidR="54248F16">
        <w:rPr/>
        <w:t>M</w:t>
      </w:r>
      <w:r w:rsidR="005A63B0">
        <w:rPr/>
        <w:t>okymų programoje turi būti pateikiami žinių bei įgūdžių įtvirtinimo, jų į(</w:t>
      </w:r>
      <w:r w:rsidR="005A63B0">
        <w:rPr/>
        <w:t>si</w:t>
      </w:r>
      <w:r w:rsidR="005A63B0">
        <w:rPr/>
        <w:t>)vertinimo metodai. Programa turi būti pateikta kartu su dal</w:t>
      </w:r>
      <w:r w:rsidR="761E378C">
        <w:rPr/>
        <w:t>o</w:t>
      </w:r>
      <w:r w:rsidR="005A63B0">
        <w:rPr/>
        <w:t xml:space="preserve">mąja medžiaga (mokymų vadovu). </w:t>
      </w:r>
      <w:r w:rsidR="42BEB2DF">
        <w:rPr/>
        <w:t xml:space="preserve">Mokymų </w:t>
      </w:r>
      <w:r w:rsidR="75718F03">
        <w:rPr/>
        <w:t>p</w:t>
      </w:r>
      <w:r w:rsidR="005A63B0">
        <w:rPr/>
        <w:t>rogramoje turi būti nurodytas mokymų programai rengti naudotos literatūros ir kitų informacinių šaltinių sąrašas</w:t>
      </w:r>
      <w:r w:rsidR="767B45E4">
        <w:rPr/>
        <w:t>.</w:t>
      </w:r>
    </w:p>
    <w:p w:rsidR="00981D88" w:rsidP="2BB635B7" w:rsidRDefault="005A63B0" w14:paraId="7E392366" w14:textId="350B01A9">
      <w:pPr>
        <w:pStyle w:val="NoSpacing"/>
        <w:numPr>
          <w:ilvl w:val="1"/>
          <w:numId w:val="5"/>
        </w:numPr>
        <w:tabs>
          <w:tab w:val="left" w:pos="851"/>
        </w:tabs>
        <w:ind w:left="0" w:firstLine="851"/>
        <w:jc w:val="both"/>
        <w:rPr>
          <w:color w:val="000000" w:themeColor="text1"/>
        </w:rPr>
      </w:pPr>
      <w:r w:rsidR="767B45E4">
        <w:rPr/>
        <w:t>V</w:t>
      </w:r>
      <w:r w:rsidR="005A63B0">
        <w:rPr/>
        <w:t xml:space="preserve">isoje pateikiamoje medžiagoje (mokomosios programos, </w:t>
      </w:r>
      <w:r w:rsidR="005A63B0">
        <w:rPr/>
        <w:t>dal</w:t>
      </w:r>
      <w:r w:rsidR="2343968E">
        <w:rPr/>
        <w:t>o</w:t>
      </w:r>
      <w:r w:rsidR="005A63B0">
        <w:rPr/>
        <w:t>mosios</w:t>
      </w:r>
      <w:r w:rsidR="005A63B0">
        <w:rPr/>
        <w:t xml:space="preserve"> medžiagos komplektuose) privalo būti naudojami Perkančiosios organizacijos ir </w:t>
      </w:r>
      <w:r w:rsidRPr="2BB635B7" w:rsidR="002F167D">
        <w:rPr>
          <w:color w:val="000000" w:themeColor="text1" w:themeTint="FF" w:themeShade="FF"/>
        </w:rPr>
        <w:t xml:space="preserve">Europos socialinio fondo + ir Europos Sąjungos bendrojo finansavimo viešinimo ženklai bei nurodytas projekto ,,Mokymasis </w:t>
      </w:r>
      <w:r w:rsidRPr="2BB635B7" w:rsidR="002F167D">
        <w:rPr>
          <w:color w:val="000000" w:themeColor="text1" w:themeTint="FF" w:themeShade="FF"/>
        </w:rPr>
        <w:t>įtraukčiai</w:t>
      </w:r>
      <w:r w:rsidRPr="2BB635B7" w:rsidR="002F167D">
        <w:rPr>
          <w:color w:val="000000" w:themeColor="text1" w:themeTint="FF" w:themeShade="FF"/>
        </w:rPr>
        <w:t>” Nr. 10-055-P-0001 pavadinimas</w:t>
      </w:r>
      <w:r w:rsidRPr="2BB635B7" w:rsidR="04DAD072">
        <w:rPr>
          <w:color w:val="000000" w:themeColor="text1" w:themeTint="FF" w:themeShade="FF"/>
        </w:rPr>
        <w:t>;</w:t>
      </w:r>
    </w:p>
    <w:p w:rsidR="00981D88" w:rsidP="5B34318D" w:rsidRDefault="55980ADD" w14:paraId="0B5756B9" w14:textId="4C452B5B">
      <w:pPr>
        <w:pStyle w:val="NoSpacing"/>
        <w:numPr>
          <w:ilvl w:val="1"/>
          <w:numId w:val="5"/>
        </w:numPr>
        <w:tabs>
          <w:tab w:val="left" w:pos="1350"/>
        </w:tabs>
        <w:ind w:left="0" w:firstLine="851"/>
        <w:jc w:val="both"/>
        <w:rPr/>
      </w:pPr>
      <w:r w:rsidR="5EFBF8B1">
        <w:rPr/>
        <w:t>K</w:t>
      </w:r>
      <w:r w:rsidR="55980ADD">
        <w:rPr/>
        <w:t>artu su mokymų programa</w:t>
      </w:r>
      <w:r w:rsidR="0F508DA6">
        <w:rPr/>
        <w:t xml:space="preserve"> </w:t>
      </w:r>
      <w:r w:rsidR="3347F5F1">
        <w:rPr/>
        <w:t>T</w:t>
      </w:r>
      <w:r w:rsidR="55980ADD">
        <w:rPr/>
        <w:t xml:space="preserve">iekėjas pateikia ir dalomąją medžiagą (skaidres ar kitą papildančią informaciją), skirtą mokymų dalyviams. </w:t>
      </w:r>
      <w:r w:rsidR="55980ADD">
        <w:rPr/>
        <w:t>Dalomoji</w:t>
      </w:r>
      <w:r w:rsidR="55980ADD">
        <w:rPr/>
        <w:t xml:space="preserve"> medžiaga turi būti parengta mokymų metu dėstomos medžiagos pagrindu, joje turi būti pateikta pagrindinė informacija visomis mokymų metu dėstomomis temomis, dalyviams naudinga literatūra ir kiti informacijos šaltiniai. </w:t>
      </w:r>
      <w:r w:rsidR="55980ADD">
        <w:rPr/>
        <w:t>Dalomoji</w:t>
      </w:r>
      <w:r w:rsidR="55980ADD">
        <w:rPr/>
        <w:t xml:space="preserve"> medžiaga turi būti išdėstyta ir pateikta informatyviai, aiškiai, glaustai, parengta taisyklinga lietuvių kalba</w:t>
      </w:r>
      <w:r w:rsidR="0B8586AE">
        <w:rPr/>
        <w:t>.</w:t>
      </w:r>
    </w:p>
    <w:p w:rsidRPr="00CE48CD" w:rsidR="005A63B0" w:rsidP="5B34318D" w:rsidRDefault="55980ADD" w14:paraId="384B8D6D" w14:textId="4437980A">
      <w:pPr>
        <w:pStyle w:val="NoSpacing"/>
        <w:numPr>
          <w:ilvl w:val="1"/>
          <w:numId w:val="5"/>
        </w:numPr>
        <w:tabs>
          <w:tab w:val="left" w:pos="1440"/>
        </w:tabs>
        <w:ind w:left="0" w:firstLine="851"/>
        <w:jc w:val="both"/>
      </w:pPr>
      <w:r>
        <w:t>Tiekėjas atsako už tai, kad mokymų programai ir dalom</w:t>
      </w:r>
      <w:r w:rsidR="3CE3827B">
        <w:t>ąjai</w:t>
      </w:r>
      <w:r>
        <w:t xml:space="preserve"> medžiagai parengti panaudota medžiaga nepažeistų  trečiųjų šalių teisių ir teisėtų interesų.</w:t>
      </w:r>
    </w:p>
    <w:p w:rsidR="463EA0BD" w:rsidP="55980ADD" w:rsidRDefault="463EA0BD" w14:paraId="235AE7DE" w14:textId="0AE8E15C">
      <w:pPr>
        <w:pStyle w:val="NoSpacing"/>
        <w:numPr>
          <w:ilvl w:val="0"/>
          <w:numId w:val="6"/>
        </w:numPr>
        <w:tabs>
          <w:tab w:val="left" w:pos="851"/>
        </w:tabs>
        <w:ind w:firstLine="491"/>
        <w:jc w:val="both"/>
        <w:rPr>
          <w:b/>
          <w:bCs/>
        </w:rPr>
      </w:pPr>
      <w:r w:rsidRPr="5B34318D">
        <w:rPr>
          <w:b/>
          <w:bCs/>
        </w:rPr>
        <w:t>Paslaugų teikimo tvarka:</w:t>
      </w:r>
    </w:p>
    <w:p w:rsidR="0F482A9E" w:rsidP="2BB635B7" w:rsidRDefault="0F482A9E" w14:paraId="77C8699B" w14:textId="38F78A31">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7.1. Per 5 darbo dienas nuo sutarties įsigaliojimo, Tiekėjas turi  nurodyti kontaktinį asmenį – mokymų koordinatorių ir jo kontaktus pateikti Perkančiajai organizacijai</w:t>
      </w:r>
      <w:r w:rsidRPr="2BB635B7" w:rsidR="191741E2">
        <w:rPr>
          <w:color w:val="000000" w:themeColor="text1" w:themeTint="FF" w:themeShade="FF"/>
        </w:rPr>
        <w:t>.</w:t>
      </w:r>
    </w:p>
    <w:p w:rsidR="0F482A9E" w:rsidP="2BB635B7" w:rsidRDefault="0F482A9E" w14:paraId="6A27ECEB" w14:textId="6982CF24">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7.2. Per 20 darbo dienų nuo sutarties įsigaliojimo dienos, Paslaugų teikėjas turi parengti mokymų programą ir ją pateikti Perkančiajai organizacijai</w:t>
      </w:r>
      <w:r w:rsidRPr="2BB635B7" w:rsidR="4747B9C4">
        <w:rPr>
          <w:color w:val="000000" w:themeColor="text1" w:themeTint="FF" w:themeShade="FF"/>
        </w:rPr>
        <w:t>.</w:t>
      </w:r>
    </w:p>
    <w:p w:rsidR="0F482A9E" w:rsidP="2BB635B7" w:rsidRDefault="0F482A9E" w14:paraId="5FCDEE90" w14:textId="0A2E1B73">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 xml:space="preserve">7.3. Perkančioji organizacija, gavusi mokymų programą, per </w:t>
      </w:r>
      <w:r w:rsidRPr="2BB635B7" w:rsidR="56DFFE5C">
        <w:rPr>
          <w:color w:val="000000" w:themeColor="text1" w:themeTint="FF" w:themeShade="FF"/>
        </w:rPr>
        <w:t>10</w:t>
      </w:r>
      <w:r w:rsidRPr="2BB635B7" w:rsidR="0F482A9E">
        <w:rPr>
          <w:color w:val="000000" w:themeColor="text1" w:themeTint="FF" w:themeShade="FF"/>
        </w:rPr>
        <w:t xml:space="preserve"> darbo dien</w:t>
      </w:r>
      <w:r w:rsidRPr="2BB635B7" w:rsidR="17D2E939">
        <w:rPr>
          <w:color w:val="000000" w:themeColor="text1" w:themeTint="FF" w:themeShade="FF"/>
        </w:rPr>
        <w:t>ų</w:t>
      </w:r>
      <w:r w:rsidRPr="2BB635B7" w:rsidR="0F482A9E">
        <w:rPr>
          <w:color w:val="000000" w:themeColor="text1" w:themeTint="FF" w:themeShade="FF"/>
        </w:rPr>
        <w:t xml:space="preserve"> ją įvertina ir arba raštu patvirtina, jog mokymų programa tinkama, arba pateikia pastabas ir/ar komentarus dėl jos tobulinimo</w:t>
      </w:r>
      <w:r w:rsidRPr="2BB635B7" w:rsidR="51C4572C">
        <w:rPr>
          <w:color w:val="000000" w:themeColor="text1" w:themeTint="FF" w:themeShade="FF"/>
        </w:rPr>
        <w:t>.</w:t>
      </w:r>
    </w:p>
    <w:p w:rsidR="0F482A9E" w:rsidP="2BB635B7" w:rsidRDefault="0F482A9E" w14:paraId="7650F0AF" w14:textId="06A97F41">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w:t>
      </w:r>
      <w:r w:rsidRPr="2BB635B7" w:rsidR="0D49F8EB">
        <w:rPr>
          <w:color w:val="000000" w:themeColor="text1" w:themeTint="FF" w:themeShade="FF"/>
        </w:rPr>
        <w:t>4</w:t>
      </w:r>
      <w:r w:rsidRPr="2BB635B7" w:rsidR="0F482A9E">
        <w:rPr>
          <w:color w:val="000000" w:themeColor="text1" w:themeTint="FF" w:themeShade="FF"/>
        </w:rPr>
        <w:t xml:space="preserve">. Paslaugų teikėjas, gavęs pastabas/komentarus dėl mokymų programos tobulinimo, jas privalo ištaisyti per </w:t>
      </w:r>
      <w:r w:rsidRPr="2BB635B7" w:rsidR="3A3E90CB">
        <w:rPr>
          <w:color w:val="000000" w:themeColor="text1" w:themeTint="FF" w:themeShade="FF"/>
        </w:rPr>
        <w:t>5</w:t>
      </w:r>
      <w:r w:rsidRPr="2BB635B7" w:rsidR="0F482A9E">
        <w:rPr>
          <w:color w:val="000000" w:themeColor="text1" w:themeTint="FF" w:themeShade="FF"/>
        </w:rPr>
        <w:t xml:space="preserve"> darbo dienas</w:t>
      </w:r>
      <w:r w:rsidRPr="2BB635B7" w:rsidR="6E9D5D06">
        <w:rPr>
          <w:color w:val="000000" w:themeColor="text1" w:themeTint="FF" w:themeShade="FF"/>
        </w:rPr>
        <w:t>.</w:t>
      </w:r>
    </w:p>
    <w:p w:rsidR="0F482A9E" w:rsidP="2BB635B7" w:rsidRDefault="0F482A9E" w14:paraId="71ACD708" w14:textId="1A126FAB">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w:t>
      </w:r>
      <w:r w:rsidRPr="2BB635B7" w:rsidR="381C967C">
        <w:rPr>
          <w:color w:val="000000" w:themeColor="text1" w:themeTint="FF" w:themeShade="FF"/>
        </w:rPr>
        <w:t>5</w:t>
      </w:r>
      <w:r w:rsidRPr="2BB635B7" w:rsidR="0F482A9E">
        <w:rPr>
          <w:color w:val="000000" w:themeColor="text1" w:themeTint="FF" w:themeShade="FF"/>
        </w:rPr>
        <w:t>. Mokymų programa laikoma patvirtinta, kai yra gaunamas Perkančiosios organizacijos raštiškas patvirtinimas dėl jos tinkamumo</w:t>
      </w:r>
      <w:r w:rsidRPr="2BB635B7" w:rsidR="45D6740C">
        <w:rPr>
          <w:color w:val="000000" w:themeColor="text1" w:themeTint="FF" w:themeShade="FF"/>
        </w:rPr>
        <w:t>.</w:t>
      </w:r>
      <w:r w:rsidRPr="2BB635B7" w:rsidR="0F482A9E">
        <w:rPr>
          <w:color w:val="000000" w:themeColor="text1" w:themeTint="FF" w:themeShade="FF"/>
        </w:rPr>
        <w:t xml:space="preserve"> </w:t>
      </w:r>
    </w:p>
    <w:p w:rsidR="0F482A9E" w:rsidP="2BB635B7" w:rsidRDefault="0F482A9E" w14:paraId="05DEFF3C" w14:textId="3543D025">
      <w:pPr>
        <w:pStyle w:val="NoSpacing"/>
        <w:tabs>
          <w:tab w:val="left" w:pos="851"/>
          <w:tab w:val="left" w:pos="1418"/>
        </w:tabs>
        <w:ind w:firstLine="810"/>
        <w:jc w:val="both"/>
        <w:rPr>
          <w:color w:val="000000" w:themeColor="text1"/>
          <w:lang w:val="en-US"/>
        </w:rPr>
      </w:pPr>
      <w:r w:rsidRPr="6618ED14" w:rsidR="0F482A9E">
        <w:rPr>
          <w:color w:val="000000" w:themeColor="text1" w:themeTint="FF" w:themeShade="FF"/>
        </w:rPr>
        <w:t>7.</w:t>
      </w:r>
      <w:r w:rsidRPr="6618ED14" w:rsidR="284142B6">
        <w:rPr>
          <w:color w:val="000000" w:themeColor="text1" w:themeTint="FF" w:themeShade="FF"/>
        </w:rPr>
        <w:t>6</w:t>
      </w:r>
      <w:r w:rsidRPr="6618ED14" w:rsidR="0F482A9E">
        <w:rPr>
          <w:color w:val="000000" w:themeColor="text1" w:themeTint="FF" w:themeShade="FF"/>
        </w:rPr>
        <w:t xml:space="preserve">. </w:t>
      </w:r>
      <w:r w:rsidRPr="6618ED14" w:rsidR="0F482A9E">
        <w:rPr>
          <w:color w:val="000000" w:themeColor="text1" w:themeTint="FF" w:themeShade="FF"/>
        </w:rPr>
        <w:t>Perkanči</w:t>
      </w:r>
      <w:r w:rsidRPr="6618ED14" w:rsidR="6B71BA84">
        <w:rPr>
          <w:color w:val="000000" w:themeColor="text1" w:themeTint="FF" w:themeShade="FF"/>
        </w:rPr>
        <w:t>a</w:t>
      </w:r>
      <w:r w:rsidRPr="6618ED14" w:rsidR="0F482A9E">
        <w:rPr>
          <w:color w:val="000000" w:themeColor="text1" w:themeTint="FF" w:themeShade="FF"/>
        </w:rPr>
        <w:t>jai</w:t>
      </w:r>
      <w:r w:rsidRPr="6618ED14" w:rsidR="01675CC1">
        <w:rPr>
          <w:color w:val="000000" w:themeColor="text1" w:themeTint="FF" w:themeShade="FF"/>
        </w:rPr>
        <w:t xml:space="preserve"> </w:t>
      </w:r>
      <w:r w:rsidRPr="6618ED14" w:rsidR="0F482A9E">
        <w:rPr>
          <w:color w:val="000000" w:themeColor="text1" w:themeTint="FF" w:themeShade="FF"/>
        </w:rPr>
        <w:t xml:space="preserve">organizacijai patvirtinus mokymų programą, Paslaugų teikėjas per </w:t>
      </w:r>
      <w:r w:rsidRPr="6618ED14" w:rsidR="0A5862E3">
        <w:rPr>
          <w:color w:val="000000" w:themeColor="text1" w:themeTint="FF" w:themeShade="FF"/>
        </w:rPr>
        <w:t>10</w:t>
      </w:r>
      <w:r w:rsidRPr="6618ED14" w:rsidR="0F482A9E">
        <w:rPr>
          <w:color w:val="000000" w:themeColor="text1" w:themeTint="FF" w:themeShade="FF"/>
        </w:rPr>
        <w:t xml:space="preserve"> darbo dien</w:t>
      </w:r>
      <w:r w:rsidRPr="6618ED14" w:rsidR="077A302A">
        <w:rPr>
          <w:color w:val="000000" w:themeColor="text1" w:themeTint="FF" w:themeShade="FF"/>
        </w:rPr>
        <w:t>ų</w:t>
      </w:r>
      <w:r w:rsidRPr="6618ED14" w:rsidR="0F482A9E">
        <w:rPr>
          <w:color w:val="000000" w:themeColor="text1" w:themeTint="FF" w:themeShade="FF"/>
        </w:rPr>
        <w:t xml:space="preserve"> turi parengti preliminarų visų mokymų grafiką ir </w:t>
      </w:r>
      <w:r w:rsidRPr="6618ED14" w:rsidR="56251BE9">
        <w:rPr>
          <w:color w:val="000000" w:themeColor="text1" w:themeTint="FF" w:themeShade="FF"/>
        </w:rPr>
        <w:t xml:space="preserve">pirmųjų </w:t>
      </w:r>
      <w:r w:rsidRPr="6618ED14" w:rsidR="0F482A9E">
        <w:rPr>
          <w:color w:val="000000" w:themeColor="text1" w:themeTint="FF" w:themeShade="FF"/>
        </w:rPr>
        <w:t>mokymų darbotvarkę bei ją pateikti Perkančiajai organizacijai</w:t>
      </w:r>
      <w:r w:rsidRPr="6618ED14" w:rsidR="09E8EDF6">
        <w:rPr>
          <w:color w:val="000000" w:themeColor="text1" w:themeTint="FF" w:themeShade="FF"/>
        </w:rPr>
        <w:t>.</w:t>
      </w:r>
    </w:p>
    <w:p w:rsidR="0F482A9E" w:rsidP="2BB635B7" w:rsidRDefault="0F482A9E" w14:paraId="51C37D32" w14:textId="5B696E77">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w:t>
      </w:r>
      <w:r w:rsidRPr="2BB635B7" w:rsidR="2DE3AC31">
        <w:rPr>
          <w:color w:val="000000" w:themeColor="text1" w:themeTint="FF" w:themeShade="FF"/>
        </w:rPr>
        <w:t>7</w:t>
      </w:r>
      <w:r w:rsidRPr="2BB635B7" w:rsidR="0F482A9E">
        <w:rPr>
          <w:color w:val="000000" w:themeColor="text1" w:themeTint="FF" w:themeShade="FF"/>
        </w:rPr>
        <w:t xml:space="preserve">. Perkančioji organizacija, gavusi mokymų grafiką ir </w:t>
      </w:r>
      <w:r w:rsidRPr="2BB635B7" w:rsidR="7762B243">
        <w:rPr>
          <w:color w:val="000000" w:themeColor="text1" w:themeTint="FF" w:themeShade="FF"/>
        </w:rPr>
        <w:t xml:space="preserve">pirmųjų </w:t>
      </w:r>
      <w:r w:rsidRPr="2BB635B7" w:rsidR="0F482A9E">
        <w:rPr>
          <w:color w:val="000000" w:themeColor="text1" w:themeTint="FF" w:themeShade="FF"/>
        </w:rPr>
        <w:t xml:space="preserve">mokymų darbotvarkę, per 3 darbo dienas ją įvertina ir arba raštu patvirtina, jog mokymų grafikas ir </w:t>
      </w:r>
      <w:r w:rsidRPr="2BB635B7" w:rsidR="6BE43760">
        <w:rPr>
          <w:color w:val="000000" w:themeColor="text1" w:themeTint="FF" w:themeShade="FF"/>
        </w:rPr>
        <w:t xml:space="preserve">pirmųjų </w:t>
      </w:r>
      <w:r w:rsidRPr="2BB635B7" w:rsidR="0F482A9E">
        <w:rPr>
          <w:color w:val="000000" w:themeColor="text1" w:themeTint="FF" w:themeShade="FF"/>
        </w:rPr>
        <w:t>mokymų darbotvarkė tinkama, arba pateikia pastabas ir/ar komentarus dėl jos tobulinimo</w:t>
      </w:r>
      <w:r w:rsidRPr="2BB635B7" w:rsidR="06B95748">
        <w:rPr>
          <w:color w:val="000000" w:themeColor="text1" w:themeTint="FF" w:themeShade="FF"/>
        </w:rPr>
        <w:t>.</w:t>
      </w:r>
    </w:p>
    <w:p w:rsidR="0F482A9E" w:rsidP="2BB635B7" w:rsidRDefault="0F482A9E" w14:paraId="68AD7431" w14:textId="0F32E2A0">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w:t>
      </w:r>
      <w:r w:rsidRPr="2BB635B7" w:rsidR="48C826DA">
        <w:rPr>
          <w:color w:val="000000" w:themeColor="text1" w:themeTint="FF" w:themeShade="FF"/>
        </w:rPr>
        <w:t>8</w:t>
      </w:r>
      <w:r w:rsidRPr="2BB635B7" w:rsidR="0F482A9E">
        <w:rPr>
          <w:color w:val="000000" w:themeColor="text1" w:themeTint="FF" w:themeShade="FF"/>
        </w:rPr>
        <w:t>. Jei Perkančioji organizacija pateikia Paslaugų teikėjui pastabas dėl mokymo grafiko ar mokymų darbotvarkės trūkumų, Paslaugų teikėjas jas privalo ištaisyti per 3 darbo dienas</w:t>
      </w:r>
      <w:r w:rsidRPr="2BB635B7" w:rsidR="1C978641">
        <w:rPr>
          <w:color w:val="000000" w:themeColor="text1" w:themeTint="FF" w:themeShade="FF"/>
        </w:rPr>
        <w:t>.</w:t>
      </w:r>
    </w:p>
    <w:p w:rsidR="0F482A9E" w:rsidP="2BB635B7" w:rsidRDefault="0F482A9E" w14:paraId="35196835" w14:textId="360A3195">
      <w:pPr>
        <w:pStyle w:val="NoSpacing"/>
        <w:tabs>
          <w:tab w:val="left" w:pos="851"/>
          <w:tab w:val="left" w:pos="1418"/>
        </w:tabs>
        <w:jc w:val="both"/>
        <w:rPr>
          <w:color w:val="000000" w:themeColor="text1"/>
          <w:lang w:val="en-US"/>
        </w:rPr>
      </w:pPr>
      <w:r w:rsidRPr="2BB635B7" w:rsidR="0F482A9E">
        <w:rPr>
          <w:color w:val="000000" w:themeColor="text1" w:themeTint="FF" w:themeShade="FF"/>
        </w:rPr>
        <w:t xml:space="preserve">           7.</w:t>
      </w:r>
      <w:r w:rsidRPr="2BB635B7" w:rsidR="44F75AC6">
        <w:rPr>
          <w:color w:val="000000" w:themeColor="text1" w:themeTint="FF" w:themeShade="FF"/>
        </w:rPr>
        <w:t>9</w:t>
      </w:r>
      <w:r w:rsidRPr="2BB635B7" w:rsidR="0F482A9E">
        <w:rPr>
          <w:color w:val="000000" w:themeColor="text1" w:themeTint="FF" w:themeShade="FF"/>
        </w:rPr>
        <w:t>. Paslaugų teikėjas, ne vėliau kaip prieš 5 (penkias) darbo dienas iki einamojo mėnesio paskutinės dienos turi pateikti planuojamojo kito mėnesio mokymų grafiką ir detalias darbotvarkes. Pasikeitus informacijai mokymų grafike,  Paslaugų teikėjas apie tai privalo raštu informuoti Perkančiąją organizaciją likus iki mokymų pradžios ne vėliau kaip 3 darbo dienoms ir pateikti patikslintą mėnesio mokymų grafiką</w:t>
      </w:r>
      <w:r w:rsidRPr="2BB635B7" w:rsidR="443387AD">
        <w:rPr>
          <w:color w:val="000000" w:themeColor="text1" w:themeTint="FF" w:themeShade="FF"/>
        </w:rPr>
        <w:t xml:space="preserve"> ir/ar darbotvarkę</w:t>
      </w:r>
      <w:r w:rsidRPr="2BB635B7" w:rsidR="759A6AAE">
        <w:rPr>
          <w:color w:val="000000" w:themeColor="text1" w:themeTint="FF" w:themeShade="FF"/>
        </w:rPr>
        <w:t>.</w:t>
      </w:r>
    </w:p>
    <w:p w:rsidR="0F482A9E" w:rsidP="2BB635B7" w:rsidRDefault="0F482A9E" w14:paraId="29BC3BCD" w14:textId="6DA05254">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w:t>
      </w:r>
      <w:r w:rsidRPr="2BB635B7" w:rsidR="3642050D">
        <w:rPr>
          <w:color w:val="000000" w:themeColor="text1" w:themeTint="FF" w:themeShade="FF"/>
        </w:rPr>
        <w:t>10</w:t>
      </w:r>
      <w:r w:rsidRPr="2BB635B7" w:rsidR="0F482A9E">
        <w:rPr>
          <w:color w:val="000000" w:themeColor="text1" w:themeTint="FF" w:themeShade="FF"/>
        </w:rPr>
        <w:t>. Mokymų programa, kartu su dalomąja medžiaga, Perkančiajai organizacijai  turi būti pateikta skaitmeniniu formatu (</w:t>
      </w:r>
      <w:r w:rsidRPr="2BB635B7" w:rsidR="0F482A9E">
        <w:rPr>
          <w:color w:val="000000" w:themeColor="text1" w:themeTint="FF" w:themeShade="FF"/>
        </w:rPr>
        <w:t>Times</w:t>
      </w:r>
      <w:r w:rsidRPr="2BB635B7" w:rsidR="0F482A9E">
        <w:rPr>
          <w:color w:val="000000" w:themeColor="text1" w:themeTint="FF" w:themeShade="FF"/>
        </w:rPr>
        <w:t xml:space="preserve"> </w:t>
      </w:r>
      <w:r w:rsidRPr="2BB635B7" w:rsidR="0F482A9E">
        <w:rPr>
          <w:color w:val="000000" w:themeColor="text1" w:themeTint="FF" w:themeShade="FF"/>
        </w:rPr>
        <w:t>New</w:t>
      </w:r>
      <w:r w:rsidRPr="2BB635B7" w:rsidR="0F482A9E">
        <w:rPr>
          <w:color w:val="000000" w:themeColor="text1" w:themeTint="FF" w:themeShade="FF"/>
        </w:rPr>
        <w:t xml:space="preserve"> Roman šriftu, dydis 12 </w:t>
      </w:r>
      <w:r w:rsidRPr="2BB635B7" w:rsidR="0F482A9E">
        <w:rPr>
          <w:color w:val="000000" w:themeColor="text1" w:themeTint="FF" w:themeShade="FF"/>
        </w:rPr>
        <w:t>pt</w:t>
      </w:r>
      <w:r w:rsidRPr="2BB635B7" w:rsidR="0F482A9E">
        <w:rPr>
          <w:color w:val="000000" w:themeColor="text1" w:themeTint="FF" w:themeShade="FF"/>
        </w:rPr>
        <w:t>, viengubas tarpas tarp eilučių, A4 formatu) ir išsiųsta elektroniniu paštu</w:t>
      </w:r>
      <w:r w:rsidRPr="2BB635B7" w:rsidR="6F2D38BF">
        <w:rPr>
          <w:color w:val="000000" w:themeColor="text1" w:themeTint="FF" w:themeShade="FF"/>
        </w:rPr>
        <w:t>.</w:t>
      </w:r>
    </w:p>
    <w:p w:rsidR="0F482A9E" w:rsidP="2BB635B7" w:rsidRDefault="0F482A9E" w14:paraId="2F6D0AAC" w14:textId="663E00D1">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7.1</w:t>
      </w:r>
      <w:r w:rsidRPr="2BB635B7" w:rsidR="50AF5C35">
        <w:rPr>
          <w:color w:val="000000" w:themeColor="text1" w:themeTint="FF" w:themeShade="FF"/>
        </w:rPr>
        <w:t>1</w:t>
      </w:r>
      <w:r w:rsidRPr="2BB635B7" w:rsidR="0F482A9E">
        <w:rPr>
          <w:color w:val="000000" w:themeColor="text1" w:themeTint="FF" w:themeShade="FF"/>
        </w:rPr>
        <w:t>. Paslaugų teikėjas mokymų vietoje bus atsakingas už dalyvių registraciją, teisingą dalyvių anketų bei mokymų vertinimo anketų užpildymą bei surinkimą.</w:t>
      </w:r>
    </w:p>
    <w:p w:rsidR="0F482A9E" w:rsidP="2BB635B7" w:rsidRDefault="0F482A9E" w14:paraId="0A024935" w14:textId="558189EE">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7.1</w:t>
      </w:r>
      <w:r w:rsidRPr="2BB635B7" w:rsidR="54BBE30D">
        <w:rPr>
          <w:color w:val="000000" w:themeColor="text1" w:themeTint="FF" w:themeShade="FF"/>
        </w:rPr>
        <w:t>2</w:t>
      </w:r>
      <w:r w:rsidRPr="2BB635B7" w:rsidR="0F482A9E">
        <w:rPr>
          <w:color w:val="000000" w:themeColor="text1" w:themeTint="FF" w:themeShade="FF"/>
        </w:rPr>
        <w:t>. Paslaugų teikėjas turi vykdyti mokymų dalyvių registraciją, fiksuoti mokymų dalyvių lankomumą kiekvieną mokymų dieną</w:t>
      </w:r>
      <w:r w:rsidRPr="2BB635B7" w:rsidR="17547677">
        <w:rPr>
          <w:color w:val="000000" w:themeColor="text1" w:themeTint="FF" w:themeShade="FF"/>
        </w:rPr>
        <w:t>.</w:t>
      </w:r>
    </w:p>
    <w:p w:rsidR="0F482A9E" w:rsidP="2BB635B7" w:rsidRDefault="0F482A9E" w14:paraId="55867E8F" w14:textId="5FEBF5D6">
      <w:pPr>
        <w:pStyle w:val="NoSpacing"/>
        <w:tabs>
          <w:tab w:val="left" w:pos="851"/>
          <w:tab w:val="left" w:pos="1418"/>
        </w:tabs>
        <w:ind w:firstLine="810"/>
        <w:jc w:val="both"/>
        <w:rPr>
          <w:color w:val="000000" w:themeColor="text1"/>
          <w:lang w:val="en-US"/>
        </w:rPr>
      </w:pPr>
      <w:r w:rsidRPr="2BB635B7" w:rsidR="0F482A9E">
        <w:rPr>
          <w:color w:val="000000" w:themeColor="text1" w:themeTint="FF" w:themeShade="FF"/>
        </w:rPr>
        <w:t>7.1</w:t>
      </w:r>
      <w:r w:rsidRPr="2BB635B7" w:rsidR="551ACB80">
        <w:rPr>
          <w:color w:val="000000" w:themeColor="text1" w:themeTint="FF" w:themeShade="FF"/>
        </w:rPr>
        <w:t>3</w:t>
      </w:r>
      <w:r w:rsidRPr="2BB635B7" w:rsidR="0F482A9E">
        <w:rPr>
          <w:color w:val="000000" w:themeColor="text1" w:themeTint="FF" w:themeShade="FF"/>
        </w:rPr>
        <w:t>. Tiekėjas, praėjus ne daugiau nei 5 darbo dienoms po kiekvienos mokymų dienos pabaigos, turi pristatyti Perkančiajai organizacijai užpildytus dokumentus: dalyvių registracijos sąrašus su parašais, mokymo dalyvių anketas ir mokymų vertinimo anketas. Perkančioji organizacija dokumentų (dalyvių registracijos, mokymo dalyvių anketų ir mokymų vertinimo) formas Tiekėjui pateiks per 5 darbo dienas nuo sutarties pasirašymo dienos</w:t>
      </w:r>
      <w:r w:rsidRPr="2BB635B7" w:rsidR="2D27404D">
        <w:rPr>
          <w:color w:val="000000" w:themeColor="text1" w:themeTint="FF" w:themeShade="FF"/>
        </w:rPr>
        <w:t>.</w:t>
      </w:r>
      <w:r w:rsidRPr="2BB635B7" w:rsidR="0F482A9E">
        <w:rPr>
          <w:color w:val="000000" w:themeColor="text1" w:themeTint="FF" w:themeShade="FF"/>
        </w:rPr>
        <w:t xml:space="preserve">  </w:t>
      </w:r>
    </w:p>
    <w:p w:rsidRPr="00A67FA8" w:rsidR="005A63B0" w:rsidP="005A63B0" w:rsidRDefault="005A63B0" w14:paraId="457D6CEF" w14:textId="77777777">
      <w:pPr>
        <w:pStyle w:val="NoSpacing"/>
        <w:numPr>
          <w:ilvl w:val="0"/>
          <w:numId w:val="6"/>
        </w:numPr>
        <w:tabs>
          <w:tab w:val="left" w:pos="851"/>
        </w:tabs>
        <w:ind w:firstLine="491"/>
        <w:jc w:val="both"/>
        <w:rPr>
          <w:b/>
          <w:bCs/>
          <w:szCs w:val="24"/>
        </w:rPr>
      </w:pPr>
      <w:r w:rsidRPr="43D06079">
        <w:rPr>
          <w:b/>
          <w:bCs/>
        </w:rPr>
        <w:t>Kiti reikalavimai:</w:t>
      </w:r>
    </w:p>
    <w:p w:rsidR="4BC21165" w:rsidP="5B34318D" w:rsidRDefault="4BC21165" w14:paraId="06595354" w14:textId="3AA4C47D">
      <w:pPr>
        <w:numPr>
          <w:ilvl w:val="1"/>
          <w:numId w:val="6"/>
        </w:numPr>
        <w:tabs>
          <w:tab w:val="left" w:pos="709"/>
          <w:tab w:val="left" w:pos="851"/>
          <w:tab w:val="left" w:pos="993"/>
          <w:tab w:val="left" w:pos="1134"/>
        </w:tabs>
        <w:ind w:left="0" w:firstLine="851"/>
        <w:jc w:val="both"/>
        <w:rPr/>
      </w:pPr>
      <w:r w:rsidR="4BC21165">
        <w:rPr/>
        <w:t>Lektorius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6146B4B5">
        <w:rPr/>
        <w:t>.</w:t>
      </w:r>
      <w:r w:rsidR="4BC21165">
        <w:rPr/>
        <w:t xml:space="preserve"> </w:t>
      </w:r>
    </w:p>
    <w:p w:rsidR="4567A62F" w:rsidP="55980ADD" w:rsidRDefault="4567A62F" w14:paraId="22D50494" w14:textId="5A97B2F7">
      <w:pPr>
        <w:pStyle w:val="ListParagraph"/>
        <w:numPr>
          <w:ilvl w:val="1"/>
          <w:numId w:val="6"/>
        </w:numPr>
        <w:tabs>
          <w:tab w:val="left" w:pos="709"/>
          <w:tab w:val="left" w:pos="851"/>
          <w:tab w:val="left" w:pos="993"/>
        </w:tabs>
        <w:ind w:left="0" w:firstLine="851"/>
        <w:jc w:val="both"/>
        <w:rPr/>
      </w:pPr>
      <w:r w:rsidRPr="2BB635B7" w:rsidR="4567A62F">
        <w:rPr>
          <w:color w:val="000000" w:themeColor="text1" w:themeTint="FF" w:themeShade="FF"/>
        </w:rPr>
        <w:t>Mokymus turi vesti pasiūlyme nurodyti lektoriai. Paslaugų teikėjas, norėdamas pakeisti pasiūlyme nurodytus specialistus ir (arba) lektorius, naujų specialistų ir (arba) lektorių kandidatūras turi raštu arba el. paštu suderinti su Perkančiąja organizacija ir gauti jos pritarimą dėl jų pakeitimo</w:t>
      </w:r>
      <w:r w:rsidRPr="2BB635B7" w:rsidR="40100EC9">
        <w:rPr>
          <w:color w:val="000000" w:themeColor="text1" w:themeTint="FF" w:themeShade="FF"/>
        </w:rPr>
        <w:t>.</w:t>
      </w:r>
    </w:p>
    <w:p w:rsidR="4567A62F" w:rsidP="55980ADD" w:rsidRDefault="4567A62F" w14:paraId="2B5F542F" w14:textId="0186693D">
      <w:pPr>
        <w:pStyle w:val="ListParagraph"/>
        <w:numPr>
          <w:ilvl w:val="1"/>
          <w:numId w:val="6"/>
        </w:numPr>
        <w:tabs>
          <w:tab w:val="left" w:pos="709"/>
          <w:tab w:val="left" w:pos="851"/>
          <w:tab w:val="left" w:pos="993"/>
        </w:tabs>
        <w:ind w:left="0" w:firstLine="851"/>
        <w:jc w:val="both"/>
        <w:rPr/>
      </w:pPr>
      <w:r w:rsidRPr="2BB635B7" w:rsidR="4567A62F">
        <w:rPr>
          <w:color w:val="000000" w:themeColor="text1" w:themeTint="FF" w:themeShade="FF"/>
        </w:rPr>
        <w:t>Naujai paskirtas specialistas (-ai) ir (arba) lektorius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r w:rsidRPr="2BB635B7" w:rsidR="3E7EECC2">
        <w:rPr>
          <w:color w:val="000000" w:themeColor="text1" w:themeTint="FF" w:themeShade="FF"/>
        </w:rPr>
        <w:t>.</w:t>
      </w:r>
    </w:p>
    <w:p w:rsidR="00624074" w:rsidP="00624074" w:rsidRDefault="00624074" w14:paraId="51F8A01E" w14:textId="40DFDE18">
      <w:pPr>
        <w:pStyle w:val="ListParagraph"/>
        <w:numPr>
          <w:ilvl w:val="1"/>
          <w:numId w:val="6"/>
        </w:numPr>
        <w:tabs>
          <w:tab w:val="left" w:pos="709"/>
          <w:tab w:val="left" w:pos="851"/>
          <w:tab w:val="left" w:pos="993"/>
        </w:tabs>
        <w:ind w:left="0" w:firstLine="851"/>
        <w:jc w:val="both"/>
        <w:rPr>
          <w:color w:val="000000" w:themeColor="text1"/>
        </w:rPr>
      </w:pPr>
      <w:r w:rsidRPr="2BB635B7" w:rsidR="00624074">
        <w:rPr>
          <w:color w:val="000000" w:themeColor="text1" w:themeTint="FF" w:themeShade="FF"/>
        </w:rPr>
        <w:t>į</w:t>
      </w:r>
      <w:r w:rsidRPr="2BB635B7" w:rsidR="2A4D5367">
        <w:rPr>
          <w:color w:val="000000" w:themeColor="text1" w:themeTint="FF" w:themeShade="FF"/>
        </w:rPr>
        <w:t xml:space="preserve"> pasiūlymo kainą turi būti įskaičiuotos visos </w:t>
      </w:r>
      <w:r w:rsidRPr="2BB635B7" w:rsidR="03080042">
        <w:rPr>
          <w:color w:val="000000" w:themeColor="text1" w:themeTint="FF" w:themeShade="FF"/>
        </w:rPr>
        <w:t>Tiekėjo</w:t>
      </w:r>
      <w:r w:rsidRPr="2BB635B7" w:rsidR="2A4D5367">
        <w:rPr>
          <w:color w:val="000000" w:themeColor="text1" w:themeTint="FF" w:themeShade="FF"/>
        </w:rPr>
        <w:t xml:space="preserve"> išlaidos, susijusios su paslaugų teikimu: papildomos medžiagos parengimo ir spausdinimo, lektoriaus kelionės, apgyvendinimo </w:t>
      </w:r>
      <w:r w:rsidRPr="2BB635B7" w:rsidR="7C10B96C">
        <w:rPr>
          <w:color w:val="000000" w:themeColor="text1" w:themeTint="FF" w:themeShade="FF"/>
        </w:rPr>
        <w:t xml:space="preserve">(jei reikalinga) </w:t>
      </w:r>
      <w:r w:rsidRPr="2BB635B7" w:rsidR="2A4D5367">
        <w:rPr>
          <w:color w:val="000000" w:themeColor="text1" w:themeTint="FF" w:themeShade="FF"/>
        </w:rPr>
        <w:t>ar kt. išlaidos, įskaitant visus mokesčius</w:t>
      </w:r>
      <w:r w:rsidRPr="2BB635B7" w:rsidR="3CAD0CA4">
        <w:rPr>
          <w:color w:val="000000" w:themeColor="text1" w:themeTint="FF" w:themeShade="FF"/>
        </w:rPr>
        <w:t>.</w:t>
      </w:r>
    </w:p>
    <w:p w:rsidR="00624074" w:rsidP="00624074" w:rsidRDefault="00624074" w14:paraId="554924E9" w14:textId="70D05A19">
      <w:pPr>
        <w:pStyle w:val="ListParagraph"/>
        <w:numPr>
          <w:ilvl w:val="1"/>
          <w:numId w:val="6"/>
        </w:numPr>
        <w:tabs>
          <w:tab w:val="left" w:pos="709"/>
          <w:tab w:val="left" w:pos="851"/>
          <w:tab w:val="left" w:pos="993"/>
        </w:tabs>
        <w:ind w:left="0" w:firstLine="851"/>
        <w:jc w:val="both"/>
        <w:rPr>
          <w:color w:val="000000" w:themeColor="text1"/>
        </w:rPr>
      </w:pPr>
      <w:r w:rsidRPr="5B34318D">
        <w:rPr>
          <w:color w:val="000000" w:themeColor="text1"/>
        </w:rPr>
        <w:t>d</w:t>
      </w:r>
      <w:r w:rsidRPr="5B34318D" w:rsidR="2A4D5367">
        <w:rPr>
          <w:color w:val="000000" w:themeColor="text1"/>
        </w:rPr>
        <w:t>alyvių atranka ir kvietimu į mokymus rūpinasi Perkančioji organizacija</w:t>
      </w:r>
      <w:r w:rsidRPr="5B34318D" w:rsidR="419875FF">
        <w:rPr>
          <w:color w:val="000000" w:themeColor="text1"/>
        </w:rPr>
        <w:t>.</w:t>
      </w:r>
      <w:r w:rsidRPr="5B34318D" w:rsidR="2A4D5367">
        <w:rPr>
          <w:color w:val="000000" w:themeColor="text1"/>
        </w:rPr>
        <w:t xml:space="preserve"> </w:t>
      </w:r>
    </w:p>
    <w:p w:rsidR="2D3E98E2" w:rsidP="07703E39" w:rsidRDefault="2D3E98E2" w14:paraId="6E1C6D6F" w14:textId="6A4D0FC6">
      <w:pPr>
        <w:widowControl w:val="0"/>
        <w:tabs>
          <w:tab w:val="left" w:leader="none" w:pos="851"/>
          <w:tab w:val="left" w:leader="none" w:pos="1560"/>
        </w:tabs>
        <w:ind w:left="0" w:firstLine="851"/>
        <w:jc w:val="both"/>
        <w:rPr>
          <w:color w:val="000000" w:themeColor="text1" w:themeTint="FF" w:themeShade="FF"/>
          <w:lang w:val="en-US"/>
        </w:rPr>
      </w:pPr>
      <w:r w:rsidRPr="07703E39" w:rsidR="2D3E98E2">
        <w:rPr>
          <w:b w:val="1"/>
          <w:bCs w:val="1"/>
          <w:color w:val="000000" w:themeColor="text1" w:themeTint="FF" w:themeShade="FF"/>
        </w:rPr>
        <w:t>9. Žalieji reikalavimai:</w:t>
      </w:r>
    </w:p>
    <w:p w:rsidR="2D3E98E2" w:rsidP="07703E39" w:rsidRDefault="2D3E98E2" w14:paraId="46B66191" w14:textId="6776162B">
      <w:pPr>
        <w:widowControl w:val="0"/>
        <w:tabs>
          <w:tab w:val="left" w:leader="none" w:pos="851"/>
          <w:tab w:val="left" w:leader="none" w:pos="1560"/>
        </w:tabs>
        <w:ind w:left="0" w:firstLine="851"/>
        <w:jc w:val="both"/>
        <w:rPr>
          <w:color w:val="000000" w:themeColor="text1"/>
          <w:lang w:val="en-US"/>
        </w:rPr>
      </w:pPr>
      <w:r w:rsidRPr="07703E39" w:rsidR="2D3E98E2">
        <w:rPr>
          <w:color w:val="000000" w:themeColor="text1" w:themeTint="FF" w:themeShade="FF"/>
        </w:rPr>
        <w:t>9.1.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rsidR="2D3E98E2" w:rsidP="07703E39" w:rsidRDefault="2D3E98E2" w14:paraId="116D0A97" w14:textId="5A843672">
      <w:pPr>
        <w:widowControl w:val="0"/>
        <w:ind w:left="0" w:firstLine="851"/>
        <w:jc w:val="both"/>
        <w:rPr>
          <w:color w:val="000000" w:themeColor="text1"/>
          <w:lang w:val="en-US"/>
        </w:rPr>
      </w:pPr>
      <w:r w:rsidRPr="07703E39" w:rsidR="2D3E98E2">
        <w:rPr>
          <w:color w:val="000000" w:themeColor="text1" w:themeTint="FF" w:themeShade="FF"/>
        </w:rPr>
        <w:t xml:space="preserve">4.4.4 punktu: </w:t>
      </w:r>
      <w:r w:rsidRPr="07703E39" w:rsidR="2D3E98E2">
        <w:rPr>
          <w:color w:val="000000" w:themeColor="text1" w:themeTint="FF" w:themeShade="FF"/>
          <w:lang w:val="lt"/>
        </w:rPr>
        <w:t>pirkdamas produktą pirkimo vykdytojas savarankiškai nustato aplinkos apsaugos kriterijus, kurie yra susiję su pirkimo objektu, taikydamas bent vieną iš numatytų aplinkosauginių principų viename, keliuose ar visuose produkto gyvavimo ciklo etapuose:</w:t>
      </w:r>
    </w:p>
    <w:p w:rsidR="2D3E98E2" w:rsidP="07703E39" w:rsidRDefault="2D3E98E2" w14:paraId="66F40E4B" w14:textId="660E5206">
      <w:pPr>
        <w:widowControl w:val="0"/>
        <w:ind w:left="0" w:firstLine="851"/>
        <w:jc w:val="both"/>
        <w:rPr>
          <w:color w:val="000000" w:themeColor="text1"/>
          <w:lang w:val="en-US"/>
        </w:rPr>
      </w:pPr>
      <w:r w:rsidRPr="07703E39" w:rsidR="2D3E98E2">
        <w:rPr>
          <w:color w:val="000000" w:themeColor="text1" w:themeTint="FF" w:themeShade="FF"/>
          <w:lang w:val="lt"/>
        </w:rPr>
        <w:t xml:space="preserve">4.4.4.1. prekei pagaminti ir (ar) tiekti, paslaugai teikti ar darbams atlikti sunaudojama mažiau gamtos išteklių ir (ar) sudėtyje yra pakartotinai panaudotų ir (ar) perdirbtų medžiagų.  </w:t>
      </w:r>
      <w:r w:rsidRPr="07703E39" w:rsidR="2D3E98E2">
        <w:rPr>
          <w:color w:val="000000" w:themeColor="text1" w:themeTint="FF" w:themeShade="FF"/>
          <w:lang w:val="lt"/>
        </w:rPr>
        <w:t xml:space="preserve">Todėl </w:t>
      </w:r>
      <w:r w:rsidRPr="07703E39" w:rsidR="2D3E98E2">
        <w:rPr>
          <w:color w:val="000000" w:themeColor="text1" w:themeTint="FF" w:themeShade="FF"/>
        </w:rPr>
        <w:t>dalomoji</w:t>
      </w:r>
      <w:r w:rsidRPr="07703E39" w:rsidR="2D3E98E2">
        <w:rPr>
          <w:color w:val="000000" w:themeColor="text1" w:themeTint="FF" w:themeShade="FF"/>
        </w:rPr>
        <w:t xml:space="preserve"> medžiaga turi būti atspausdinta ant</w:t>
      </w:r>
      <w:r w:rsidRPr="07703E39" w:rsidR="2D3E98E2">
        <w:rPr>
          <w:color w:val="000000" w:themeColor="text1" w:themeTint="FF" w:themeShade="FF"/>
          <w:lang w:val="lt"/>
        </w:rPr>
        <w:t xml:space="preserve"> iš </w:t>
      </w:r>
      <w:r w:rsidRPr="07703E39" w:rsidR="509E3535">
        <w:rPr>
          <w:color w:val="000000" w:themeColor="text1" w:themeTint="FF" w:themeShade="FF"/>
          <w:lang w:val="lt"/>
        </w:rPr>
        <w:t>75</w:t>
      </w:r>
      <w:r w:rsidRPr="07703E39" w:rsidR="2D3E98E2">
        <w:rPr>
          <w:color w:val="000000" w:themeColor="text1" w:themeTint="FF" w:themeShade="FF"/>
          <w:lang w:val="lt"/>
        </w:rPr>
        <w:t xml:space="preserve"> proc. perdirbto popieriaus (naudoto popieriaus ir (ar) gamybos atliekų) plaušų arba ne mažiau kaip 30 proc. pirminės medienos plaušų, gautų iš miškų, sertifikuotų naudojant </w:t>
      </w:r>
      <w:r w:rsidRPr="07703E39" w:rsidR="2D3E98E2">
        <w:rPr>
          <w:i w:val="1"/>
          <w:iCs w:val="1"/>
          <w:color w:val="000000" w:themeColor="text1" w:themeTint="FF" w:themeShade="FF"/>
          <w:lang w:val="lt"/>
        </w:rPr>
        <w:t>Forest Stewardship Council</w:t>
      </w:r>
      <w:r w:rsidRPr="07703E39" w:rsidR="2D3E98E2">
        <w:rPr>
          <w:color w:val="000000" w:themeColor="text1" w:themeTint="FF" w:themeShade="FF"/>
          <w:lang w:val="lt"/>
        </w:rPr>
        <w:t xml:space="preserve"> (toliau – FSC) ar Miškų sertifikavimo sistemų pripažinimo programą (angl. </w:t>
      </w:r>
      <w:r w:rsidRPr="07703E39" w:rsidR="2D3E98E2">
        <w:rPr>
          <w:i w:val="1"/>
          <w:iCs w:val="1"/>
          <w:color w:val="000000" w:themeColor="text1" w:themeTint="FF" w:themeShade="FF"/>
          <w:lang w:val="lt"/>
        </w:rPr>
        <w:t>Programme for the Endorsement of Forest Certification schemes</w:t>
      </w:r>
      <w:r w:rsidRPr="07703E39" w:rsidR="2D3E98E2">
        <w:rPr>
          <w:color w:val="000000" w:themeColor="text1" w:themeTint="FF" w:themeShade="FF"/>
          <w:lang w:val="lt"/>
        </w:rPr>
        <w:t xml:space="preserve"> arba lygiavertes miškų sertifikavimo sistemas, kita dalis – iš perdirbto </w:t>
      </w:r>
      <w:r w:rsidRPr="07703E39" w:rsidR="2D3E98E2">
        <w:rPr>
          <w:color w:val="000000" w:themeColor="text1" w:themeTint="FF" w:themeShade="FF"/>
          <w:lang w:val="lt"/>
        </w:rPr>
        <w:t>popieriaus plaušų, Taip pat gaminys turi būti nebalintas arba balintas nenaudojant chloro dujų. Taip pat naudojamas popierius turi būti nebalintas arba balintas nenaudojant chloro dujų.</w:t>
      </w:r>
    </w:p>
    <w:p w:rsidR="2D3E98E2" w:rsidP="07703E39" w:rsidRDefault="2D3E98E2" w14:paraId="40F67084" w14:textId="625B96A8">
      <w:pPr>
        <w:widowControl w:val="0"/>
        <w:tabs>
          <w:tab w:val="left" w:pos="709"/>
          <w:tab w:val="left" w:pos="851"/>
          <w:tab w:val="left" w:pos="993"/>
          <w:tab w:val="left" w:pos="1560"/>
        </w:tabs>
        <w:ind w:left="0" w:firstLine="851"/>
        <w:jc w:val="both"/>
        <w:rPr>
          <w:color w:val="000000" w:themeColor="text1"/>
          <w:lang w:val="en-US"/>
        </w:rPr>
      </w:pPr>
      <w:r w:rsidRPr="3B04DD9A" w:rsidR="2D3E98E2">
        <w:rPr>
          <w:color w:val="000000" w:themeColor="text1" w:themeTint="FF" w:themeShade="FF"/>
          <w:lang w:val="lt"/>
        </w:rPr>
        <w:t>9.2. Tinkami ekologiškumą įrodantys dokumentai kuriuos tiekėjas turės pateikti sutarties vykdymo metu</w:t>
      </w:r>
      <w:r w:rsidRPr="3B04DD9A" w:rsidR="2354C21C">
        <w:rPr>
          <w:color w:val="000000" w:themeColor="text1" w:themeTint="FF" w:themeShade="FF"/>
          <w:lang w:val="lt"/>
        </w:rPr>
        <w:t xml:space="preserve"> </w:t>
      </w:r>
      <w:r w:rsidRPr="3B04DD9A" w:rsidR="2D3E98E2">
        <w:rPr>
          <w:color w:val="000000" w:themeColor="text1" w:themeTint="FF" w:themeShade="FF"/>
          <w:lang w:val="lt"/>
        </w:rPr>
        <w:t>Vokietijos ekologinis ženklas „Mėlynasis angelas“ (toliau – the Blue Angel), arba</w:t>
      </w:r>
      <w:r w:rsidRPr="3B04DD9A" w:rsidR="099E610E">
        <w:rPr>
          <w:color w:val="000000" w:themeColor="text1" w:themeTint="FF" w:themeShade="FF"/>
          <w:lang w:val="lt"/>
        </w:rPr>
        <w:t xml:space="preserve"> </w:t>
      </w:r>
      <w:r w:rsidRPr="3B04DD9A" w:rsidR="2D3E98E2">
        <w:rPr>
          <w:color w:val="000000" w:themeColor="text1" w:themeTint="FF" w:themeShade="FF"/>
          <w:lang w:val="lt"/>
        </w:rPr>
        <w:t xml:space="preserve">Europos Sąjungos ekologinis ženklas „Gėlė“ (toliau – European Ecolabel), arba Šiaurės šalių ekologinis ženklas „Gulbė“ (toliau – Nordic Swan) arba kitas I tipo ekologinis ženklas (sertifikatas), kuris įrodytų, kad gaminys yra nebalintas arba balintas nenaudojant cloro dujų  ir pagamintas iš 100 % perdirbto popieriaus plaušų ar iš ne mažiau kaip 30 proc. pirminės medienos plaušų, gautų iš sertifikuotų miškų, arba </w:t>
      </w:r>
      <w:r w:rsidRPr="3B04DD9A" w:rsidR="2D3E98E2">
        <w:rPr>
          <w:color w:val="000000" w:themeColor="text1" w:themeTint="FF" w:themeShade="FF"/>
          <w:lang w:val="lt"/>
        </w:rPr>
        <w:t xml:space="preserve">FSC® arba PEFC sertifikatas, arba kito darnaus miškų ūkio standarto sertifikatas, kuris įrodytų, kad gaminys yra pagamintas iš ne mažiau kaip 30 proc. pirminės medienos plaušų, gautų iš sertifikuotų miškų, arba </w:t>
      </w:r>
      <w:r w:rsidRPr="3B04DD9A" w:rsidR="2D3E98E2">
        <w:rPr>
          <w:color w:val="000000" w:themeColor="text1" w:themeTint="FF" w:themeShade="FF"/>
          <w:lang w:val="lt"/>
        </w:rPr>
        <w:t xml:space="preserve">pripažintos įstaigos arba paskelbtosios (notifikuotos) institucijos bandymų protokolas, tyrimų ataskaita ar pažyma, arba </w:t>
      </w:r>
      <w:r w:rsidRPr="3B04DD9A" w:rsidR="2D3E98E2">
        <w:rPr>
          <w:color w:val="000000" w:themeColor="text1" w:themeTint="FF" w:themeShade="FF"/>
          <w:lang w:val="lt"/>
        </w:rPr>
        <w:t xml:space="preserve">įrodymai apie medienos kilmę, kai taikoma medienos kilmės atsekimo sistema, apimanti visą gamybos grandinę nuo miško iki produkto (pagal kokybės vadybos sistemą LST EN ISO 9000, aplinkos apsaugos vadybos sistemą LST EN ISO 14001 ar EMAS, ar kitą lygiavertę), arba </w:t>
      </w:r>
      <w:r w:rsidRPr="3B04DD9A" w:rsidR="2D3E98E2">
        <w:rPr>
          <w:color w:val="000000" w:themeColor="text1" w:themeTint="FF" w:themeShade="FF"/>
          <w:lang w:val="lt"/>
        </w:rPr>
        <w:t xml:space="preserve">dokumentai, įrodantys, kad medienos žaliava gauta iš tinkamai išaugintų miškų (miškotvarkos projektas, leidimas kirsti mišką), arba </w:t>
      </w:r>
      <w:r w:rsidRPr="3B04DD9A" w:rsidR="2D3E98E2">
        <w:rPr>
          <w:color w:val="000000" w:themeColor="text1" w:themeTint="FF" w:themeShade="FF"/>
          <w:lang w:val="lt"/>
        </w:rPr>
        <w:t xml:space="preserve">gamintojo techniniai dokumentai, arba </w:t>
      </w:r>
      <w:r w:rsidRPr="3B04DD9A" w:rsidR="2D3E98E2">
        <w:rPr>
          <w:color w:val="000000" w:themeColor="text1" w:themeTint="FF" w:themeShade="FF"/>
          <w:lang w:val="lt"/>
        </w:rPr>
        <w:t>kiti lygiaverčiai įrodymai.</w:t>
      </w:r>
    </w:p>
    <w:p w:rsidR="43D06079" w:rsidP="43D06079" w:rsidRDefault="43D06079" w14:paraId="4ACE8BE7" w14:textId="1312BBA1">
      <w:pPr>
        <w:pStyle w:val="NoSpacing"/>
        <w:tabs>
          <w:tab w:val="left" w:pos="851"/>
        </w:tabs>
        <w:ind w:left="851" w:firstLine="491"/>
        <w:jc w:val="both"/>
        <w:rPr>
          <w:b/>
          <w:bCs/>
        </w:rPr>
      </w:pPr>
    </w:p>
    <w:p w:rsidR="005A63B0" w:rsidP="005A63B0" w:rsidRDefault="005A63B0" w14:paraId="680EDD5E" w14:textId="77777777"/>
    <w:p w:rsidR="005A63B0" w:rsidP="005A63B0" w:rsidRDefault="005A63B0" w14:paraId="1D4F5610" w14:textId="7451B71C">
      <w:pPr>
        <w:shd w:val="clear" w:color="auto" w:fill="FFFFFF"/>
        <w:jc w:val="center"/>
        <w:rPr>
          <w:b/>
          <w:bCs/>
        </w:rPr>
      </w:pPr>
      <w:r>
        <w:rPr>
          <w:b/>
          <w:bCs/>
        </w:rPr>
        <w:t>________________</w:t>
      </w:r>
      <w:r w:rsidR="00624074">
        <w:rPr>
          <w:b/>
          <w:bCs/>
        </w:rPr>
        <w:t>________</w:t>
      </w:r>
    </w:p>
    <w:p w:rsidR="00033F92" w:rsidRDefault="00033F92" w14:paraId="6B56BED5" w14:textId="77777777"/>
    <w:sectPr w:rsidR="00033F92">
      <w:pgSz w:w="11906" w:h="16838" w:orient="portrait"/>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intelligence2.xml><?xml version="1.0" encoding="utf-8"?>
<int2:intelligence xmlns:int2="http://schemas.microsoft.com/office/intelligence/2020/intelligence" xmlns:oel="http://schemas.microsoft.com/office/2019/extlst">
  <int2:observations>
    <int2:bookmark int2:bookmarkName="_Int_YQs7AJPV" int2:invalidationBookmarkName="" int2:hashCode="TD3AxyvMI+tJqQ" int2:id="9qYhvf5J">
      <int2:state int2:value="Rejected" int2:type="AugLoop_Text_Critique"/>
    </int2:bookmark>
    <int2:bookmark int2:bookmarkName="_Int_jxIziPyt" int2:invalidationBookmarkName="" int2:hashCode="qnxEv1XYjK/9H0" int2:id="d5Lsvu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757E"/>
    <w:multiLevelType w:val="multilevel"/>
    <w:tmpl w:val="B4DAAEC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4BB3C86"/>
    <w:multiLevelType w:val="hybridMultilevel"/>
    <w:tmpl w:val="04521F78"/>
    <w:lvl w:ilvl="0" w:tplc="672A2990">
      <w:start w:val="2"/>
      <w:numFmt w:val="bullet"/>
      <w:lvlText w:val="-"/>
      <w:lvlJc w:val="left"/>
      <w:pPr>
        <w:ind w:left="1211" w:hanging="360"/>
      </w:pPr>
      <w:rPr>
        <w:rFonts w:hint="default" w:ascii="Times New Roman" w:hAnsi="Times New Roman" w:eastAsia="Times New Roman" w:cs="Times New Roman"/>
        <w:b/>
        <w:color w:val="auto"/>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2" w15:restartNumberingAfterBreak="0">
    <w:nsid w:val="24F742C1"/>
    <w:multiLevelType w:val="hybridMultilevel"/>
    <w:tmpl w:val="CDA02D36"/>
    <w:lvl w:ilvl="0" w:tplc="04270019">
      <w:start w:val="1"/>
      <w:numFmt w:val="bullet"/>
      <w:lvlText w:val=""/>
      <w:lvlJc w:val="left"/>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D680AF4"/>
    <w:multiLevelType w:val="hybridMultilevel"/>
    <w:tmpl w:val="894813D8"/>
    <w:lvl w:ilvl="0" w:tplc="7634082A">
      <w:start w:val="2"/>
      <w:numFmt w:val="bullet"/>
      <w:lvlText w:val="-"/>
      <w:lvlJc w:val="left"/>
      <w:pPr>
        <w:ind w:left="1212" w:hanging="360"/>
      </w:pPr>
      <w:rPr>
        <w:rFonts w:hint="default" w:ascii="Times New Roman" w:hAnsi="Times New Roman" w:cs="Times New Roman" w:eastAsiaTheme="minorHAnsi"/>
        <w:b/>
        <w:color w:val="auto"/>
      </w:rPr>
    </w:lvl>
    <w:lvl w:ilvl="1" w:tplc="04270003" w:tentative="1">
      <w:start w:val="1"/>
      <w:numFmt w:val="bullet"/>
      <w:lvlText w:val="o"/>
      <w:lvlJc w:val="left"/>
      <w:pPr>
        <w:ind w:left="1932" w:hanging="360"/>
      </w:pPr>
      <w:rPr>
        <w:rFonts w:hint="default" w:ascii="Courier New" w:hAnsi="Courier New" w:cs="Courier New"/>
      </w:rPr>
    </w:lvl>
    <w:lvl w:ilvl="2" w:tplc="04270005" w:tentative="1">
      <w:start w:val="1"/>
      <w:numFmt w:val="bullet"/>
      <w:lvlText w:val=""/>
      <w:lvlJc w:val="left"/>
      <w:pPr>
        <w:ind w:left="2652" w:hanging="360"/>
      </w:pPr>
      <w:rPr>
        <w:rFonts w:hint="default" w:ascii="Wingdings" w:hAnsi="Wingdings"/>
      </w:rPr>
    </w:lvl>
    <w:lvl w:ilvl="3" w:tplc="04270001" w:tentative="1">
      <w:start w:val="1"/>
      <w:numFmt w:val="bullet"/>
      <w:lvlText w:val=""/>
      <w:lvlJc w:val="left"/>
      <w:pPr>
        <w:ind w:left="3372" w:hanging="360"/>
      </w:pPr>
      <w:rPr>
        <w:rFonts w:hint="default" w:ascii="Symbol" w:hAnsi="Symbol"/>
      </w:rPr>
    </w:lvl>
    <w:lvl w:ilvl="4" w:tplc="04270003" w:tentative="1">
      <w:start w:val="1"/>
      <w:numFmt w:val="bullet"/>
      <w:lvlText w:val="o"/>
      <w:lvlJc w:val="left"/>
      <w:pPr>
        <w:ind w:left="4092" w:hanging="360"/>
      </w:pPr>
      <w:rPr>
        <w:rFonts w:hint="default" w:ascii="Courier New" w:hAnsi="Courier New" w:cs="Courier New"/>
      </w:rPr>
    </w:lvl>
    <w:lvl w:ilvl="5" w:tplc="04270005" w:tentative="1">
      <w:start w:val="1"/>
      <w:numFmt w:val="bullet"/>
      <w:lvlText w:val=""/>
      <w:lvlJc w:val="left"/>
      <w:pPr>
        <w:ind w:left="4812" w:hanging="360"/>
      </w:pPr>
      <w:rPr>
        <w:rFonts w:hint="default" w:ascii="Wingdings" w:hAnsi="Wingdings"/>
      </w:rPr>
    </w:lvl>
    <w:lvl w:ilvl="6" w:tplc="04270001" w:tentative="1">
      <w:start w:val="1"/>
      <w:numFmt w:val="bullet"/>
      <w:lvlText w:val=""/>
      <w:lvlJc w:val="left"/>
      <w:pPr>
        <w:ind w:left="5532" w:hanging="360"/>
      </w:pPr>
      <w:rPr>
        <w:rFonts w:hint="default" w:ascii="Symbol" w:hAnsi="Symbol"/>
      </w:rPr>
    </w:lvl>
    <w:lvl w:ilvl="7" w:tplc="04270003" w:tentative="1">
      <w:start w:val="1"/>
      <w:numFmt w:val="bullet"/>
      <w:lvlText w:val="o"/>
      <w:lvlJc w:val="left"/>
      <w:pPr>
        <w:ind w:left="6252" w:hanging="360"/>
      </w:pPr>
      <w:rPr>
        <w:rFonts w:hint="default" w:ascii="Courier New" w:hAnsi="Courier New" w:cs="Courier New"/>
      </w:rPr>
    </w:lvl>
    <w:lvl w:ilvl="8" w:tplc="04270005" w:tentative="1">
      <w:start w:val="1"/>
      <w:numFmt w:val="bullet"/>
      <w:lvlText w:val=""/>
      <w:lvlJc w:val="left"/>
      <w:pPr>
        <w:ind w:left="6972" w:hanging="360"/>
      </w:pPr>
      <w:rPr>
        <w:rFonts w:hint="default" w:ascii="Wingdings" w:hAnsi="Wingdings"/>
      </w:rPr>
    </w:lvl>
  </w:abstractNum>
  <w:abstractNum w:abstractNumId="4"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F2A3DC0"/>
    <w:multiLevelType w:val="hybridMultilevel"/>
    <w:tmpl w:val="4B8238FA"/>
    <w:lvl w:ilvl="0" w:tplc="54526754">
      <w:start w:val="1"/>
      <w:numFmt w:val="decimal"/>
      <w:lvlText w:val="%1)"/>
      <w:lvlJc w:val="left"/>
      <w:pPr>
        <w:ind w:left="720" w:hanging="360"/>
      </w:pPr>
      <w:rPr>
        <w:rFonts w:hint="default" w:ascii="Times New Roman" w:hAnsi="Times New Roman"/>
      </w:rPr>
    </w:lvl>
    <w:lvl w:ilvl="1" w:tplc="947AA692">
      <w:start w:val="1"/>
      <w:numFmt w:val="lowerLetter"/>
      <w:lvlText w:val="%2."/>
      <w:lvlJc w:val="left"/>
      <w:pPr>
        <w:ind w:left="1440" w:hanging="360"/>
      </w:pPr>
    </w:lvl>
    <w:lvl w:ilvl="2" w:tplc="B60A3452">
      <w:start w:val="1"/>
      <w:numFmt w:val="lowerRoman"/>
      <w:lvlText w:val="%3."/>
      <w:lvlJc w:val="right"/>
      <w:pPr>
        <w:ind w:left="2160" w:hanging="180"/>
      </w:pPr>
    </w:lvl>
    <w:lvl w:ilvl="3" w:tplc="81506DD2">
      <w:start w:val="1"/>
      <w:numFmt w:val="decimal"/>
      <w:lvlText w:val="%4."/>
      <w:lvlJc w:val="left"/>
      <w:pPr>
        <w:ind w:left="2880" w:hanging="360"/>
      </w:pPr>
    </w:lvl>
    <w:lvl w:ilvl="4" w:tplc="836E71C0">
      <w:start w:val="1"/>
      <w:numFmt w:val="lowerLetter"/>
      <w:lvlText w:val="%5."/>
      <w:lvlJc w:val="left"/>
      <w:pPr>
        <w:ind w:left="3600" w:hanging="360"/>
      </w:pPr>
    </w:lvl>
    <w:lvl w:ilvl="5" w:tplc="32EE521C">
      <w:start w:val="1"/>
      <w:numFmt w:val="lowerRoman"/>
      <w:lvlText w:val="%6."/>
      <w:lvlJc w:val="right"/>
      <w:pPr>
        <w:ind w:left="4320" w:hanging="180"/>
      </w:pPr>
    </w:lvl>
    <w:lvl w:ilvl="6" w:tplc="657CB930">
      <w:start w:val="1"/>
      <w:numFmt w:val="decimal"/>
      <w:lvlText w:val="%7."/>
      <w:lvlJc w:val="left"/>
      <w:pPr>
        <w:ind w:left="5040" w:hanging="360"/>
      </w:pPr>
    </w:lvl>
    <w:lvl w:ilvl="7" w:tplc="E698FE0A">
      <w:start w:val="1"/>
      <w:numFmt w:val="lowerLetter"/>
      <w:lvlText w:val="%8."/>
      <w:lvlJc w:val="left"/>
      <w:pPr>
        <w:ind w:left="5760" w:hanging="360"/>
      </w:pPr>
    </w:lvl>
    <w:lvl w:ilvl="8" w:tplc="7DF6AFBE">
      <w:start w:val="1"/>
      <w:numFmt w:val="lowerRoman"/>
      <w:lvlText w:val="%9."/>
      <w:lvlJc w:val="right"/>
      <w:pPr>
        <w:ind w:left="6480" w:hanging="180"/>
      </w:pPr>
    </w:lvl>
  </w:abstractNum>
  <w:abstractNum w:abstractNumId="6" w15:restartNumberingAfterBreak="0">
    <w:nsid w:val="756AD58D"/>
    <w:multiLevelType w:val="multilevel"/>
    <w:tmpl w:val="14CC2FBC"/>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27156704">
    <w:abstractNumId w:val="6"/>
  </w:num>
  <w:num w:numId="2" w16cid:durableId="998535802">
    <w:abstractNumId w:val="5"/>
  </w:num>
  <w:num w:numId="3" w16cid:durableId="586305549">
    <w:abstractNumId w:val="0"/>
  </w:num>
  <w:num w:numId="4" w16cid:durableId="676154509">
    <w:abstractNumId w:val="2"/>
  </w:num>
  <w:num w:numId="5" w16cid:durableId="1502238407">
    <w:abstractNumId w:val="7"/>
  </w:num>
  <w:num w:numId="6" w16cid:durableId="1003505671">
    <w:abstractNumId w:val="4"/>
  </w:num>
  <w:num w:numId="7" w16cid:durableId="338318105">
    <w:abstractNumId w:val="3"/>
  </w:num>
  <w:num w:numId="8" w16cid:durableId="983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0"/>
    <w:rsid w:val="00007333"/>
    <w:rsid w:val="00007684"/>
    <w:rsid w:val="0000768F"/>
    <w:rsid w:val="00024882"/>
    <w:rsid w:val="00033F92"/>
    <w:rsid w:val="0008455B"/>
    <w:rsid w:val="00127975"/>
    <w:rsid w:val="001429A0"/>
    <w:rsid w:val="0014336B"/>
    <w:rsid w:val="00197368"/>
    <w:rsid w:val="00222A0E"/>
    <w:rsid w:val="002527A6"/>
    <w:rsid w:val="002C6783"/>
    <w:rsid w:val="002D0F10"/>
    <w:rsid w:val="002F167D"/>
    <w:rsid w:val="0036B91C"/>
    <w:rsid w:val="003E4EB4"/>
    <w:rsid w:val="004127E3"/>
    <w:rsid w:val="00425101"/>
    <w:rsid w:val="00430228"/>
    <w:rsid w:val="004656B5"/>
    <w:rsid w:val="00486938"/>
    <w:rsid w:val="00487B6A"/>
    <w:rsid w:val="00496146"/>
    <w:rsid w:val="004A3788"/>
    <w:rsid w:val="004C3D3E"/>
    <w:rsid w:val="00555908"/>
    <w:rsid w:val="0058358E"/>
    <w:rsid w:val="005926EC"/>
    <w:rsid w:val="005A63B0"/>
    <w:rsid w:val="00624074"/>
    <w:rsid w:val="0066305F"/>
    <w:rsid w:val="006928BA"/>
    <w:rsid w:val="006F60E6"/>
    <w:rsid w:val="00723DA9"/>
    <w:rsid w:val="0074115E"/>
    <w:rsid w:val="00781218"/>
    <w:rsid w:val="00822BCE"/>
    <w:rsid w:val="00847547"/>
    <w:rsid w:val="0085102F"/>
    <w:rsid w:val="008546D3"/>
    <w:rsid w:val="008B3CDF"/>
    <w:rsid w:val="0093390F"/>
    <w:rsid w:val="00981D88"/>
    <w:rsid w:val="00A12964"/>
    <w:rsid w:val="00A15565"/>
    <w:rsid w:val="00A23F70"/>
    <w:rsid w:val="00A75775"/>
    <w:rsid w:val="00AF47D6"/>
    <w:rsid w:val="00B82C76"/>
    <w:rsid w:val="00B85548"/>
    <w:rsid w:val="00B91412"/>
    <w:rsid w:val="00BB68EE"/>
    <w:rsid w:val="00BC4C19"/>
    <w:rsid w:val="00BD69ED"/>
    <w:rsid w:val="00C002C9"/>
    <w:rsid w:val="00C43BC0"/>
    <w:rsid w:val="00C60378"/>
    <w:rsid w:val="00C64435"/>
    <w:rsid w:val="00CD6F8A"/>
    <w:rsid w:val="00DC0ACD"/>
    <w:rsid w:val="00E743A6"/>
    <w:rsid w:val="00EF5C35"/>
    <w:rsid w:val="00F0157E"/>
    <w:rsid w:val="00F563E3"/>
    <w:rsid w:val="00FE554A"/>
    <w:rsid w:val="01675CC1"/>
    <w:rsid w:val="01EE6F48"/>
    <w:rsid w:val="023B1567"/>
    <w:rsid w:val="02A91AB8"/>
    <w:rsid w:val="02E28273"/>
    <w:rsid w:val="03080042"/>
    <w:rsid w:val="0341F053"/>
    <w:rsid w:val="0358C4C6"/>
    <w:rsid w:val="03968813"/>
    <w:rsid w:val="0411174B"/>
    <w:rsid w:val="044537D4"/>
    <w:rsid w:val="044A190A"/>
    <w:rsid w:val="04DAD072"/>
    <w:rsid w:val="053A090D"/>
    <w:rsid w:val="0594BC2B"/>
    <w:rsid w:val="059C916F"/>
    <w:rsid w:val="059E50B8"/>
    <w:rsid w:val="06B95748"/>
    <w:rsid w:val="07703E39"/>
    <w:rsid w:val="077A302A"/>
    <w:rsid w:val="07BAC3CD"/>
    <w:rsid w:val="0943A27A"/>
    <w:rsid w:val="099E610E"/>
    <w:rsid w:val="09E8EDF6"/>
    <w:rsid w:val="09EB16EC"/>
    <w:rsid w:val="0A5862E3"/>
    <w:rsid w:val="0AC04EEC"/>
    <w:rsid w:val="0B8586AE"/>
    <w:rsid w:val="0B9F6519"/>
    <w:rsid w:val="0C1376C1"/>
    <w:rsid w:val="0C3E0640"/>
    <w:rsid w:val="0CD61355"/>
    <w:rsid w:val="0CD9A42B"/>
    <w:rsid w:val="0D49F8EB"/>
    <w:rsid w:val="0DACE5E1"/>
    <w:rsid w:val="0E45E82E"/>
    <w:rsid w:val="0EEAAC22"/>
    <w:rsid w:val="0F482A9E"/>
    <w:rsid w:val="0F508DA6"/>
    <w:rsid w:val="0FBD9205"/>
    <w:rsid w:val="0FC08ABE"/>
    <w:rsid w:val="0FDE179C"/>
    <w:rsid w:val="0FE640F9"/>
    <w:rsid w:val="101357B6"/>
    <w:rsid w:val="11BFE313"/>
    <w:rsid w:val="121F3FB3"/>
    <w:rsid w:val="12230DBC"/>
    <w:rsid w:val="12ED5DFC"/>
    <w:rsid w:val="12F6244F"/>
    <w:rsid w:val="1490AA6A"/>
    <w:rsid w:val="1581F5A5"/>
    <w:rsid w:val="160FC3AF"/>
    <w:rsid w:val="17547677"/>
    <w:rsid w:val="1799E285"/>
    <w:rsid w:val="17D2E939"/>
    <w:rsid w:val="18ACA494"/>
    <w:rsid w:val="18D00065"/>
    <w:rsid w:val="191741E2"/>
    <w:rsid w:val="1A30D4C5"/>
    <w:rsid w:val="1A8AECAA"/>
    <w:rsid w:val="1C51072C"/>
    <w:rsid w:val="1C978641"/>
    <w:rsid w:val="1DC6BAB4"/>
    <w:rsid w:val="1E1F2808"/>
    <w:rsid w:val="1F39931C"/>
    <w:rsid w:val="1F5B469E"/>
    <w:rsid w:val="1FD310C4"/>
    <w:rsid w:val="20739ED2"/>
    <w:rsid w:val="20856D29"/>
    <w:rsid w:val="20E316DA"/>
    <w:rsid w:val="20E692BE"/>
    <w:rsid w:val="21C94D26"/>
    <w:rsid w:val="22127266"/>
    <w:rsid w:val="22BC5711"/>
    <w:rsid w:val="22EA65A2"/>
    <w:rsid w:val="231BE7F3"/>
    <w:rsid w:val="2343968E"/>
    <w:rsid w:val="2354C21C"/>
    <w:rsid w:val="24729BB3"/>
    <w:rsid w:val="251DD03B"/>
    <w:rsid w:val="25266087"/>
    <w:rsid w:val="2560FD20"/>
    <w:rsid w:val="2686A0C2"/>
    <w:rsid w:val="26BBF60E"/>
    <w:rsid w:val="2725E39C"/>
    <w:rsid w:val="27AAE792"/>
    <w:rsid w:val="27CA7097"/>
    <w:rsid w:val="284142B6"/>
    <w:rsid w:val="2843A9E1"/>
    <w:rsid w:val="29E18605"/>
    <w:rsid w:val="29E4F0EF"/>
    <w:rsid w:val="29F0CFA6"/>
    <w:rsid w:val="29F6D733"/>
    <w:rsid w:val="2A4D5367"/>
    <w:rsid w:val="2AB37008"/>
    <w:rsid w:val="2AD9A47B"/>
    <w:rsid w:val="2B5EB9B0"/>
    <w:rsid w:val="2B6D5FB3"/>
    <w:rsid w:val="2BB635B7"/>
    <w:rsid w:val="2D132697"/>
    <w:rsid w:val="2D27404D"/>
    <w:rsid w:val="2D3E98E2"/>
    <w:rsid w:val="2D5172D7"/>
    <w:rsid w:val="2D8E2F36"/>
    <w:rsid w:val="2DE3AC31"/>
    <w:rsid w:val="2E9354EB"/>
    <w:rsid w:val="2EB555D8"/>
    <w:rsid w:val="2F2AE445"/>
    <w:rsid w:val="2F390E00"/>
    <w:rsid w:val="2F6EAC54"/>
    <w:rsid w:val="2F86A357"/>
    <w:rsid w:val="2FB40AEC"/>
    <w:rsid w:val="2FDA6857"/>
    <w:rsid w:val="3015AFB0"/>
    <w:rsid w:val="30633A2C"/>
    <w:rsid w:val="307CAB00"/>
    <w:rsid w:val="323AEEDD"/>
    <w:rsid w:val="3240A963"/>
    <w:rsid w:val="325B0CB6"/>
    <w:rsid w:val="3347F5F1"/>
    <w:rsid w:val="3439D598"/>
    <w:rsid w:val="352DC2F5"/>
    <w:rsid w:val="36410830"/>
    <w:rsid w:val="3642050D"/>
    <w:rsid w:val="36476435"/>
    <w:rsid w:val="37454CD3"/>
    <w:rsid w:val="381C967C"/>
    <w:rsid w:val="382FC665"/>
    <w:rsid w:val="38A088EF"/>
    <w:rsid w:val="393D8FBD"/>
    <w:rsid w:val="39460009"/>
    <w:rsid w:val="3957B8DD"/>
    <w:rsid w:val="39811FE0"/>
    <w:rsid w:val="3A324C1C"/>
    <w:rsid w:val="3A3E90CB"/>
    <w:rsid w:val="3AFAA101"/>
    <w:rsid w:val="3B04DD9A"/>
    <w:rsid w:val="3B8A8AEB"/>
    <w:rsid w:val="3BCA5D33"/>
    <w:rsid w:val="3BD26FF2"/>
    <w:rsid w:val="3BF48678"/>
    <w:rsid w:val="3CAD0CA4"/>
    <w:rsid w:val="3CE3827B"/>
    <w:rsid w:val="3D2932B7"/>
    <w:rsid w:val="3D3509C8"/>
    <w:rsid w:val="3D4420F1"/>
    <w:rsid w:val="3E7EECC2"/>
    <w:rsid w:val="3FC9389B"/>
    <w:rsid w:val="40100EC9"/>
    <w:rsid w:val="40162E7B"/>
    <w:rsid w:val="401E138D"/>
    <w:rsid w:val="419875FF"/>
    <w:rsid w:val="41AAD0C3"/>
    <w:rsid w:val="42B6B0B6"/>
    <w:rsid w:val="42BEB2DF"/>
    <w:rsid w:val="43D06079"/>
    <w:rsid w:val="43EC2D23"/>
    <w:rsid w:val="4411B84D"/>
    <w:rsid w:val="44291EF9"/>
    <w:rsid w:val="443387AD"/>
    <w:rsid w:val="445D7E8E"/>
    <w:rsid w:val="446B93CB"/>
    <w:rsid w:val="449E3348"/>
    <w:rsid w:val="44F75AC6"/>
    <w:rsid w:val="4567A62F"/>
    <w:rsid w:val="457B0D74"/>
    <w:rsid w:val="457B50CE"/>
    <w:rsid w:val="45D6740C"/>
    <w:rsid w:val="463EA0BD"/>
    <w:rsid w:val="4747B9C4"/>
    <w:rsid w:val="4822802F"/>
    <w:rsid w:val="4852FE0E"/>
    <w:rsid w:val="48803BA2"/>
    <w:rsid w:val="48C826DA"/>
    <w:rsid w:val="48E3E6DF"/>
    <w:rsid w:val="49492E6B"/>
    <w:rsid w:val="496BF6B1"/>
    <w:rsid w:val="4996BA0A"/>
    <w:rsid w:val="4B4016C0"/>
    <w:rsid w:val="4B5140A2"/>
    <w:rsid w:val="4B8F171D"/>
    <w:rsid w:val="4BC21165"/>
    <w:rsid w:val="4C02290E"/>
    <w:rsid w:val="4CC8F6A8"/>
    <w:rsid w:val="4D902830"/>
    <w:rsid w:val="4E0338A9"/>
    <w:rsid w:val="4F485DFB"/>
    <w:rsid w:val="509E3535"/>
    <w:rsid w:val="50AF5C35"/>
    <w:rsid w:val="50BF0FD5"/>
    <w:rsid w:val="51C4572C"/>
    <w:rsid w:val="51E34CF9"/>
    <w:rsid w:val="5287FDD7"/>
    <w:rsid w:val="5344EA3B"/>
    <w:rsid w:val="53B7B57D"/>
    <w:rsid w:val="53D30B0C"/>
    <w:rsid w:val="54248F16"/>
    <w:rsid w:val="5424C4DD"/>
    <w:rsid w:val="54292B07"/>
    <w:rsid w:val="54BBE30D"/>
    <w:rsid w:val="54D94AC8"/>
    <w:rsid w:val="550AAD4C"/>
    <w:rsid w:val="5515F153"/>
    <w:rsid w:val="551ACB80"/>
    <w:rsid w:val="5553620D"/>
    <w:rsid w:val="5588F001"/>
    <w:rsid w:val="55980ADD"/>
    <w:rsid w:val="56251BE9"/>
    <w:rsid w:val="56DFFE5C"/>
    <w:rsid w:val="57C73983"/>
    <w:rsid w:val="57F0EEB6"/>
    <w:rsid w:val="586104C5"/>
    <w:rsid w:val="58F941F6"/>
    <w:rsid w:val="59941F52"/>
    <w:rsid w:val="5ABBCE23"/>
    <w:rsid w:val="5AF2039A"/>
    <w:rsid w:val="5B34318D"/>
    <w:rsid w:val="5B3DA55D"/>
    <w:rsid w:val="5BD3C19D"/>
    <w:rsid w:val="5BD5FC8E"/>
    <w:rsid w:val="5CE143A7"/>
    <w:rsid w:val="5EFBF8B1"/>
    <w:rsid w:val="613246D8"/>
    <w:rsid w:val="6142E01C"/>
    <w:rsid w:val="6146B4B5"/>
    <w:rsid w:val="616602CA"/>
    <w:rsid w:val="61F50788"/>
    <w:rsid w:val="6201871B"/>
    <w:rsid w:val="62A36821"/>
    <w:rsid w:val="62AE3E52"/>
    <w:rsid w:val="634A1E8E"/>
    <w:rsid w:val="63CA02C0"/>
    <w:rsid w:val="646D4758"/>
    <w:rsid w:val="64AC52BE"/>
    <w:rsid w:val="6523F561"/>
    <w:rsid w:val="659EFD21"/>
    <w:rsid w:val="6618ED14"/>
    <w:rsid w:val="66D25068"/>
    <w:rsid w:val="673ADE45"/>
    <w:rsid w:val="67DFC1E1"/>
    <w:rsid w:val="68D7F2EA"/>
    <w:rsid w:val="6A5E5398"/>
    <w:rsid w:val="6AB9F00F"/>
    <w:rsid w:val="6B71BA84"/>
    <w:rsid w:val="6BE43760"/>
    <w:rsid w:val="6BF2F97F"/>
    <w:rsid w:val="6C1D41CF"/>
    <w:rsid w:val="6E04ADEA"/>
    <w:rsid w:val="6E32B536"/>
    <w:rsid w:val="6E9D5D06"/>
    <w:rsid w:val="6EFDC1A7"/>
    <w:rsid w:val="6F2D38BF"/>
    <w:rsid w:val="6FF8350F"/>
    <w:rsid w:val="701A89EF"/>
    <w:rsid w:val="70830B93"/>
    <w:rsid w:val="7083ADCE"/>
    <w:rsid w:val="709666D7"/>
    <w:rsid w:val="7132E17F"/>
    <w:rsid w:val="71844A8D"/>
    <w:rsid w:val="73306AEA"/>
    <w:rsid w:val="737D82B4"/>
    <w:rsid w:val="73AEF28C"/>
    <w:rsid w:val="73BF4841"/>
    <w:rsid w:val="73C3F220"/>
    <w:rsid w:val="75718F03"/>
    <w:rsid w:val="759A6AAE"/>
    <w:rsid w:val="75C6410A"/>
    <w:rsid w:val="75EA67EA"/>
    <w:rsid w:val="75EE55F7"/>
    <w:rsid w:val="76073988"/>
    <w:rsid w:val="761E378C"/>
    <w:rsid w:val="767B45E4"/>
    <w:rsid w:val="774F30FD"/>
    <w:rsid w:val="7762B243"/>
    <w:rsid w:val="7815C651"/>
    <w:rsid w:val="7923317D"/>
    <w:rsid w:val="79C25A19"/>
    <w:rsid w:val="7A8A69AB"/>
    <w:rsid w:val="7AB687C6"/>
    <w:rsid w:val="7B218A2F"/>
    <w:rsid w:val="7B2F3622"/>
    <w:rsid w:val="7B958CB8"/>
    <w:rsid w:val="7C10B96C"/>
    <w:rsid w:val="7C5E4DA5"/>
    <w:rsid w:val="7F340FFE"/>
    <w:rsid w:val="7F7A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97F2"/>
  <w15:chartTrackingRefBased/>
  <w15:docId w15:val="{22FB4996-F7ED-4572-A020-4710A8A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63B0"/>
    <w:pPr>
      <w:spacing w:after="0" w:line="240" w:lineRule="auto"/>
    </w:pPr>
    <w:rPr>
      <w:rFonts w:ascii="Times New Roman" w:hAnsi="Times New Roman" w:eastAsia="Times New Roman" w:cs="Times New Roman"/>
      <w:kern w:val="0"/>
      <w:lang w:eastAsia="lt-LT"/>
      <w14:ligatures w14:val="none"/>
    </w:rPr>
  </w:style>
  <w:style w:type="paragraph" w:styleId="Heading1">
    <w:name w:val="heading 1"/>
    <w:basedOn w:val="Normal"/>
    <w:next w:val="Normal"/>
    <w:link w:val="Heading1Char"/>
    <w:uiPriority w:val="9"/>
    <w:qFormat/>
    <w:rsid w:val="005A63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3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B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63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63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63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63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63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63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63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63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63B0"/>
    <w:rPr>
      <w:rFonts w:eastAsiaTheme="majorEastAsia" w:cstheme="majorBidi"/>
      <w:color w:val="272727" w:themeColor="text1" w:themeTint="D8"/>
    </w:rPr>
  </w:style>
  <w:style w:type="paragraph" w:styleId="Title">
    <w:name w:val="Title"/>
    <w:basedOn w:val="Normal"/>
    <w:next w:val="Normal"/>
    <w:link w:val="TitleChar"/>
    <w:uiPriority w:val="10"/>
    <w:qFormat/>
    <w:rsid w:val="005A63B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63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63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B0"/>
    <w:pPr>
      <w:spacing w:before="160"/>
      <w:jc w:val="center"/>
    </w:pPr>
    <w:rPr>
      <w:i/>
      <w:iCs/>
      <w:color w:val="404040" w:themeColor="text1" w:themeTint="BF"/>
    </w:rPr>
  </w:style>
  <w:style w:type="character" w:styleId="QuoteChar" w:customStyle="1">
    <w:name w:val="Quote Char"/>
    <w:basedOn w:val="DefaultParagraphFont"/>
    <w:link w:val="Quote"/>
    <w:uiPriority w:val="29"/>
    <w:rsid w:val="005A63B0"/>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5A63B0"/>
    <w:pPr>
      <w:ind w:left="720"/>
      <w:contextualSpacing/>
    </w:pPr>
  </w:style>
  <w:style w:type="character" w:styleId="IntenseEmphasis">
    <w:name w:val="Intense Emphasis"/>
    <w:basedOn w:val="DefaultParagraphFont"/>
    <w:uiPriority w:val="21"/>
    <w:qFormat/>
    <w:rsid w:val="005A63B0"/>
    <w:rPr>
      <w:i/>
      <w:iCs/>
      <w:color w:val="0F4761" w:themeColor="accent1" w:themeShade="BF"/>
    </w:rPr>
  </w:style>
  <w:style w:type="paragraph" w:styleId="IntenseQuote">
    <w:name w:val="Intense Quote"/>
    <w:basedOn w:val="Normal"/>
    <w:next w:val="Normal"/>
    <w:link w:val="IntenseQuoteChar"/>
    <w:uiPriority w:val="30"/>
    <w:qFormat/>
    <w:rsid w:val="005A63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63B0"/>
    <w:rPr>
      <w:i/>
      <w:iCs/>
      <w:color w:val="0F4761" w:themeColor="accent1" w:themeShade="BF"/>
    </w:rPr>
  </w:style>
  <w:style w:type="character" w:styleId="IntenseReference">
    <w:name w:val="Intense Reference"/>
    <w:basedOn w:val="DefaultParagraphFont"/>
    <w:uiPriority w:val="32"/>
    <w:qFormat/>
    <w:rsid w:val="005A63B0"/>
    <w:rPr>
      <w:b/>
      <w:bCs/>
      <w:smallCaps/>
      <w:color w:val="0F4761" w:themeColor="accent1" w:themeShade="BF"/>
      <w:spacing w:val="5"/>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5A63B0"/>
  </w:style>
  <w:style w:type="paragraph" w:styleId="NoSpacing">
    <w:name w:val="No Spacing"/>
    <w:link w:val="NoSpacingChar"/>
    <w:uiPriority w:val="1"/>
    <w:qFormat/>
    <w:rsid w:val="005A63B0"/>
    <w:pPr>
      <w:spacing w:after="0" w:line="240" w:lineRule="auto"/>
    </w:pPr>
    <w:rPr>
      <w:rFonts w:ascii="Times New Roman" w:hAnsi="Times New Roman" w:eastAsia="Times New Roman" w:cs="Times New Roman"/>
      <w:kern w:val="0"/>
      <w:szCs w:val="20"/>
      <w14:ligatures w14:val="none"/>
    </w:rPr>
  </w:style>
  <w:style w:type="character" w:styleId="NoSpacingChar" w:customStyle="1">
    <w:name w:val="No Spacing Char"/>
    <w:basedOn w:val="DefaultParagraphFont"/>
    <w:link w:val="NoSpacing"/>
    <w:uiPriority w:val="1"/>
    <w:rsid w:val="005A63B0"/>
    <w:rPr>
      <w:rFonts w:ascii="Times New Roman" w:hAnsi="Times New Roman" w:eastAsia="Times New Roman" w:cs="Times New Roman"/>
      <w:kern w:val="0"/>
      <w:szCs w:val="20"/>
      <w14:ligatures w14:val="none"/>
    </w:rPr>
  </w:style>
  <w:style w:type="character" w:styleId="CommentReference">
    <w:name w:val="annotation reference"/>
    <w:basedOn w:val="DefaultParagraphFont"/>
    <w:uiPriority w:val="99"/>
    <w:semiHidden/>
    <w:unhideWhenUsed/>
    <w:rsid w:val="005A63B0"/>
    <w:rPr>
      <w:sz w:val="16"/>
      <w:szCs w:val="16"/>
    </w:rPr>
  </w:style>
  <w:style w:type="paragraph" w:styleId="CommentText">
    <w:name w:val="annotation text"/>
    <w:basedOn w:val="Normal"/>
    <w:link w:val="CommentTextChar"/>
    <w:uiPriority w:val="99"/>
    <w:unhideWhenUsed/>
    <w:rsid w:val="005A63B0"/>
    <w:rPr>
      <w:sz w:val="20"/>
      <w:szCs w:val="20"/>
    </w:rPr>
  </w:style>
  <w:style w:type="character" w:styleId="CommentTextChar" w:customStyle="1">
    <w:name w:val="Comment Text Char"/>
    <w:basedOn w:val="DefaultParagraphFont"/>
    <w:link w:val="CommentText"/>
    <w:uiPriority w:val="99"/>
    <w:rsid w:val="005A63B0"/>
    <w:rPr>
      <w:rFonts w:ascii="Times New Roman" w:hAnsi="Times New Roman" w:eastAsia="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E4EB4"/>
    <w:rPr>
      <w:b/>
      <w:bCs/>
    </w:rPr>
  </w:style>
  <w:style w:type="character" w:styleId="CommentSubjectChar" w:customStyle="1">
    <w:name w:val="Comment Subject Char"/>
    <w:basedOn w:val="CommentTextChar"/>
    <w:link w:val="CommentSubject"/>
    <w:uiPriority w:val="99"/>
    <w:semiHidden/>
    <w:rsid w:val="003E4EB4"/>
    <w:rPr>
      <w:rFonts w:ascii="Times New Roman" w:hAnsi="Times New Roman" w:eastAsia="Times New Roman" w:cs="Times New Roman"/>
      <w:b/>
      <w:bCs/>
      <w:kern w:val="0"/>
      <w:sz w:val="20"/>
      <w:szCs w:val="20"/>
      <w:lang w:eastAsia="lt-LT"/>
      <w14:ligatures w14:val="none"/>
    </w:rPr>
  </w:style>
  <w:style w:type="paragraph" w:styleId="Revision">
    <w:name w:val="Revision"/>
    <w:hidden/>
    <w:uiPriority w:val="99"/>
    <w:semiHidden/>
    <w:rsid w:val="0085102F"/>
    <w:pPr>
      <w:spacing w:after="0" w:line="240" w:lineRule="auto"/>
    </w:pPr>
    <w:rPr>
      <w:rFonts w:ascii="Times New Roman" w:hAnsi="Times New Roman" w:eastAsia="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intelligence2.xml"
                 Type="http://schemas.microsoft.com/office/2020/10/relationships/intelligenc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2024-12-16T07:06:00Z</dcterms:created>
  <dc:creator>Kristina Pranienė</dc:creator>
  <cp:lastModifiedBy>Inga Nekrošienė</cp:lastModifiedBy>
  <dcterms:modified xsi:type="dcterms:W3CDTF">2025-05-15T08:51:21Z</dcterms:modified>
  <cp:revision>60</cp:revision>
</cp:coreProperties>
</file>