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5E3D" w14:textId="286EB608" w:rsidR="00616640" w:rsidRPr="00616640" w:rsidRDefault="00616640" w:rsidP="00616640">
      <w:pPr>
        <w:spacing w:after="0" w:line="240" w:lineRule="auto"/>
        <w:jc w:val="right"/>
        <w:rPr>
          <w:rFonts w:eastAsia="SimSun" w:cstheme="minorHAnsi"/>
          <w:bCs/>
          <w:caps/>
        </w:rPr>
      </w:pPr>
      <w:r w:rsidRPr="00616640">
        <w:rPr>
          <w:rFonts w:eastAsia="SimSun" w:cstheme="minorHAnsi"/>
          <w:bCs/>
        </w:rPr>
        <w:t>Specialiųjų sąlygų 8 priedas</w:t>
      </w:r>
    </w:p>
    <w:p w14:paraId="0AA7F523" w14:textId="77777777" w:rsidR="00616640" w:rsidRDefault="00616640" w:rsidP="00506B58">
      <w:pPr>
        <w:spacing w:after="0" w:line="240" w:lineRule="auto"/>
        <w:jc w:val="center"/>
        <w:rPr>
          <w:rFonts w:eastAsia="SimSun" w:cstheme="minorHAnsi"/>
          <w:b/>
          <w:caps/>
        </w:rPr>
      </w:pPr>
    </w:p>
    <w:p w14:paraId="49D3FF3B" w14:textId="7859087F" w:rsidR="00361874" w:rsidRPr="007E468D" w:rsidRDefault="00361874" w:rsidP="00506B58">
      <w:pPr>
        <w:spacing w:after="0" w:line="240" w:lineRule="auto"/>
        <w:jc w:val="center"/>
        <w:rPr>
          <w:rFonts w:eastAsia="SimSun" w:cstheme="minorHAnsi"/>
          <w:b/>
          <w:caps/>
        </w:rPr>
      </w:pPr>
      <w:r w:rsidRPr="007E468D">
        <w:rPr>
          <w:rFonts w:eastAsia="SimSun" w:cstheme="minorHAnsi"/>
          <w:b/>
          <w:caps/>
        </w:rPr>
        <w:t>EKONOMI</w:t>
      </w:r>
      <w:r w:rsidR="003E114C" w:rsidRPr="007E468D">
        <w:rPr>
          <w:rFonts w:eastAsia="SimSun" w:cstheme="minorHAnsi"/>
          <w:b/>
          <w:caps/>
        </w:rPr>
        <w:t>nio naudingumo</w:t>
      </w:r>
      <w:r w:rsidRPr="007E468D">
        <w:rPr>
          <w:rFonts w:eastAsia="SimSun" w:cstheme="minorHAnsi"/>
          <w:b/>
          <w:caps/>
        </w:rPr>
        <w:t xml:space="preserve"> VERTINIMO METODIKA</w:t>
      </w:r>
    </w:p>
    <w:p w14:paraId="64F353D2" w14:textId="77777777" w:rsidR="00361874" w:rsidRPr="007E468D" w:rsidRDefault="00361874" w:rsidP="00506B58">
      <w:pPr>
        <w:spacing w:after="0" w:line="240" w:lineRule="auto"/>
        <w:rPr>
          <w:rFonts w:eastAsia="Times New Roman" w:cstheme="minorHAnsi"/>
          <w:lang w:eastAsia="en-US"/>
        </w:rPr>
      </w:pPr>
    </w:p>
    <w:p w14:paraId="65E393E0" w14:textId="50545349" w:rsidR="00361874" w:rsidRPr="007E468D" w:rsidRDefault="00361874" w:rsidP="00506B5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SimSun" w:cstheme="minorHAnsi"/>
        </w:rPr>
      </w:pPr>
      <w:r w:rsidRPr="007E468D">
        <w:rPr>
          <w:rFonts w:eastAsia="SimSun" w:cstheme="minorHAnsi"/>
        </w:rPr>
        <w:t>Šiame</w:t>
      </w:r>
      <w:r w:rsidR="003E114C" w:rsidRPr="007E468D">
        <w:rPr>
          <w:rFonts w:eastAsia="SimSun" w:cstheme="minorHAnsi"/>
        </w:rPr>
        <w:t xml:space="preserve"> priede</w:t>
      </w:r>
      <w:r w:rsidRPr="007E468D">
        <w:rPr>
          <w:rFonts w:eastAsia="SimSun" w:cstheme="minorHAnsi"/>
        </w:rPr>
        <w:t xml:space="preserve"> pateikiami ekonomiškai naudingiausio Pasiūlymo vertinimo kriterijai, jų parametrai, lyginamieji svoriai, formulės, pagal kurias bus skaičiuojamas Pasiūlymų ekonominis naudingumas.</w:t>
      </w:r>
    </w:p>
    <w:p w14:paraId="526E4810" w14:textId="551A4816" w:rsidR="00571E1C" w:rsidRPr="007E468D" w:rsidRDefault="00571E1C" w:rsidP="00506B5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SimSun" w:cstheme="minorHAnsi"/>
        </w:rPr>
      </w:pPr>
      <w:r w:rsidRPr="007E468D">
        <w:rPr>
          <w:rFonts w:eastAsia="SimSun" w:cstheme="minorHAnsi"/>
        </w:rPr>
        <w:t>Ekonomiškai naudingiausias pasiūlymas – tai pasiūlymas, kurio balų suma, paskaičiuota pagal žemiau nustatytus pasiūlymo vertinimo kriterijus ir sąlygas, yra didžiausia.</w:t>
      </w:r>
    </w:p>
    <w:p w14:paraId="6D30A865" w14:textId="5F4B59B9" w:rsidR="00B533D4" w:rsidRPr="007E468D" w:rsidRDefault="00B533D4" w:rsidP="00506B5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SimSun" w:cstheme="minorHAnsi"/>
        </w:rPr>
      </w:pPr>
      <w:r w:rsidRPr="007E468D">
        <w:rPr>
          <w:rFonts w:eastAsia="SimSun" w:cstheme="minorHAnsi"/>
        </w:rPr>
        <w:t xml:space="preserve">Draudimo įmoka vienam Apdraustajam nebus vertinama. Draudimo įmoka vienam Apdraustajam visą sutarties galiojimo laikotarpį yra fiksuota, t.y. </w:t>
      </w:r>
      <w:r w:rsidR="00DA526F" w:rsidRPr="007E468D">
        <w:rPr>
          <w:rFonts w:cstheme="minorHAnsi"/>
        </w:rPr>
        <w:t>6</w:t>
      </w:r>
      <w:r w:rsidRPr="007E468D">
        <w:rPr>
          <w:rFonts w:cstheme="minorHAnsi"/>
        </w:rPr>
        <w:t>00 EUR, nepriklausomai nuo varianto (I, II, III ar IV), vienam darbuotojui 12 mėnesių laikotarpiui (metinė draudimo įmoka)</w:t>
      </w:r>
      <w:r w:rsidR="006E0885" w:rsidRPr="007E468D">
        <w:rPr>
          <w:rFonts w:cstheme="minorHAnsi"/>
        </w:rPr>
        <w:t xml:space="preserve"> (įskaitant komisinį atlygį Draudimo brokeriui)</w:t>
      </w:r>
      <w:r w:rsidRPr="007E468D">
        <w:rPr>
          <w:rFonts w:cstheme="minorHAnsi"/>
        </w:rPr>
        <w:t xml:space="preserve">. </w:t>
      </w:r>
      <w:r w:rsidRPr="007E468D">
        <w:rPr>
          <w:rFonts w:eastAsia="SimSun" w:cstheme="minorHAnsi"/>
          <w:b/>
          <w:bCs/>
        </w:rPr>
        <w:t>Ekonomiškai naudingiausias pasiūlymas bus išrenkamas tik kokybės kriterijų pagrindu.</w:t>
      </w:r>
    </w:p>
    <w:p w14:paraId="1C66337A" w14:textId="0AF41A90" w:rsidR="001E27D0" w:rsidRPr="007E468D" w:rsidRDefault="001E27D0" w:rsidP="00506B5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SimSun" w:cstheme="minorHAnsi"/>
        </w:rPr>
      </w:pPr>
      <w:r w:rsidRPr="007E468D">
        <w:rPr>
          <w:rFonts w:eastAsia="SimSun" w:cstheme="minorHAnsi"/>
        </w:rPr>
        <w:t>Atliekant skaičiavimus, apvalinama šimtųjų tikslumu, t. y. surinkus pvz. 50,564 balų – apvalinama į 50,56, o surinkus 50,565 balų – apvalinama į 50,57.</w:t>
      </w:r>
    </w:p>
    <w:p w14:paraId="7B3A550B" w14:textId="205275DB" w:rsidR="00826325" w:rsidRPr="007E468D" w:rsidRDefault="00826325" w:rsidP="00506B5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SimSun" w:cstheme="minorHAnsi"/>
        </w:rPr>
      </w:pPr>
      <w:r w:rsidRPr="007E468D">
        <w:rPr>
          <w:rFonts w:eastAsia="SimSun" w:cstheme="minorHAnsi"/>
        </w:rPr>
        <w:t>Maksimalus bendras balų skaičius – 100 balų. Kriterijų tarpusavio santykis bendrame bale yra nustatomas pagal lyginamuosius svorius, nurodytus 1</w:t>
      </w:r>
      <w:r w:rsidR="00DA526F" w:rsidRPr="007E468D">
        <w:rPr>
          <w:rFonts w:eastAsia="SimSun" w:cstheme="minorHAnsi"/>
        </w:rPr>
        <w:t xml:space="preserve"> ir 2</w:t>
      </w:r>
      <w:r w:rsidRPr="007E468D">
        <w:rPr>
          <w:rFonts w:eastAsia="SimSun" w:cstheme="minorHAnsi"/>
        </w:rPr>
        <w:t xml:space="preserve"> lentelė</w:t>
      </w:r>
      <w:r w:rsidR="00DA526F" w:rsidRPr="007E468D">
        <w:rPr>
          <w:rFonts w:eastAsia="SimSun" w:cstheme="minorHAnsi"/>
        </w:rPr>
        <w:t>s</w:t>
      </w:r>
      <w:r w:rsidRPr="007E468D">
        <w:rPr>
          <w:rFonts w:eastAsia="SimSun" w:cstheme="minorHAnsi"/>
        </w:rPr>
        <w:t xml:space="preserve">e. </w:t>
      </w:r>
    </w:p>
    <w:p w14:paraId="4B1FBF0D" w14:textId="6904D092" w:rsidR="00971E57" w:rsidRPr="007E468D" w:rsidRDefault="00971E57" w:rsidP="00971E57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SimSun" w:cstheme="minorHAnsi"/>
        </w:rPr>
      </w:pPr>
      <w:r w:rsidRPr="007E468D">
        <w:rPr>
          <w:rFonts w:eastAsia="SimSun" w:cstheme="minorHAnsi"/>
        </w:rPr>
        <w:t xml:space="preserve">Jei tiekėjo pateiktame pasiūlyme bent vienai iš Pirkimo </w:t>
      </w:r>
      <w:r w:rsidR="00766E01" w:rsidRPr="007E468D">
        <w:rPr>
          <w:rFonts w:cstheme="minorHAnsi"/>
        </w:rPr>
        <w:t>Specialiųjų sąlygų</w:t>
      </w:r>
      <w:r w:rsidRPr="007E468D">
        <w:rPr>
          <w:rFonts w:eastAsia="SimSun" w:cstheme="minorHAnsi"/>
        </w:rPr>
        <w:t xml:space="preserve"> 1 priedo „Techninė specifikacija“ 7.4. punkto lentelės paslaugų bus pasiūlytas mažesnis kompensavimo dydis procentais ir / ar suma </w:t>
      </w:r>
      <w:r w:rsidR="00830C12" w:rsidRPr="007E468D">
        <w:rPr>
          <w:rFonts w:eastAsia="SimSun" w:cstheme="minorHAnsi"/>
        </w:rPr>
        <w:t xml:space="preserve">eurais </w:t>
      </w:r>
      <w:r w:rsidRPr="007E468D">
        <w:rPr>
          <w:rFonts w:eastAsia="SimSun" w:cstheme="minorHAnsi"/>
        </w:rPr>
        <w:t>nei nurodytas minimalus dydis, toks tiekėjo pasiūlymas bus atmestas.</w:t>
      </w:r>
    </w:p>
    <w:p w14:paraId="201AB754" w14:textId="77777777" w:rsidR="00D62302" w:rsidRPr="007E468D" w:rsidRDefault="00D62302" w:rsidP="00506B58">
      <w:pPr>
        <w:spacing w:after="0" w:line="240" w:lineRule="auto"/>
        <w:jc w:val="right"/>
        <w:rPr>
          <w:rFonts w:cstheme="minorHAnsi"/>
          <w:i/>
          <w:iCs/>
        </w:rPr>
      </w:pPr>
    </w:p>
    <w:p w14:paraId="07DD76B8" w14:textId="2AEB4DF7" w:rsidR="00826325" w:rsidRPr="007E468D" w:rsidRDefault="00D62302" w:rsidP="00506B58">
      <w:pPr>
        <w:spacing w:after="0" w:line="240" w:lineRule="auto"/>
        <w:jc w:val="right"/>
        <w:rPr>
          <w:rFonts w:cstheme="minorHAnsi"/>
          <w:i/>
          <w:iCs/>
        </w:rPr>
      </w:pPr>
      <w:r w:rsidRPr="007E468D">
        <w:rPr>
          <w:rFonts w:cstheme="minorHAnsi"/>
          <w:i/>
          <w:iCs/>
        </w:rPr>
        <w:t>1 lentelė. Pasiūlymų vertinimo kriterijai ir lyginamieji svoriai</w:t>
      </w:r>
    </w:p>
    <w:tbl>
      <w:tblPr>
        <w:tblStyle w:val="TableGrid"/>
        <w:tblW w:w="10332" w:type="dxa"/>
        <w:tblInd w:w="-5" w:type="dxa"/>
        <w:tblLook w:val="04A0" w:firstRow="1" w:lastRow="0" w:firstColumn="1" w:lastColumn="0" w:noHBand="0" w:noVBand="1"/>
      </w:tblPr>
      <w:tblGrid>
        <w:gridCol w:w="777"/>
        <w:gridCol w:w="6736"/>
        <w:gridCol w:w="2819"/>
      </w:tblGrid>
      <w:tr w:rsidR="00994ED5" w:rsidRPr="007E468D" w14:paraId="3E50DCAA" w14:textId="77777777" w:rsidTr="00B31E29">
        <w:tc>
          <w:tcPr>
            <w:tcW w:w="777" w:type="dxa"/>
            <w:shd w:val="clear" w:color="auto" w:fill="D9D9D9" w:themeFill="background1" w:themeFillShade="D9"/>
          </w:tcPr>
          <w:p w14:paraId="1A623444" w14:textId="03F8543B" w:rsidR="00994ED5" w:rsidRPr="007E468D" w:rsidRDefault="00994ED5" w:rsidP="00506B58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736" w:type="dxa"/>
            <w:shd w:val="clear" w:color="auto" w:fill="D9D9D9" w:themeFill="background1" w:themeFillShade="D9"/>
            <w:vAlign w:val="center"/>
          </w:tcPr>
          <w:p w14:paraId="46E261EA" w14:textId="68A8D859" w:rsidR="00994ED5" w:rsidRPr="007E468D" w:rsidRDefault="00994ED5" w:rsidP="00506B58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Vertinimo kriterijai</w:t>
            </w:r>
            <w:r w:rsidR="00A84C28"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ir parametrai</w:t>
            </w:r>
          </w:p>
        </w:tc>
        <w:tc>
          <w:tcPr>
            <w:tcW w:w="2819" w:type="dxa"/>
            <w:shd w:val="clear" w:color="auto" w:fill="D9D9D9" w:themeFill="background1" w:themeFillShade="D9"/>
            <w:vAlign w:val="center"/>
          </w:tcPr>
          <w:p w14:paraId="75D3181C" w14:textId="0C9A1456" w:rsidR="00994ED5" w:rsidRPr="007E468D" w:rsidRDefault="00994ED5" w:rsidP="00506B58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Lyginamasis arba maksimalus svoris ekonominio naudingumo įvertinime</w:t>
            </w:r>
            <w:r w:rsidR="00904714"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1A3409"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904714"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771E0B" w:rsidRPr="007E468D" w14:paraId="32649AC4" w14:textId="77777777" w:rsidTr="00B31E29">
        <w:tc>
          <w:tcPr>
            <w:tcW w:w="777" w:type="dxa"/>
            <w:shd w:val="clear" w:color="auto" w:fill="F2F2F2" w:themeFill="background1" w:themeFillShade="F2"/>
          </w:tcPr>
          <w:p w14:paraId="15A1F2E8" w14:textId="6D43FBB7" w:rsidR="00771E0B" w:rsidRPr="007E468D" w:rsidRDefault="00771E0B" w:rsidP="00506B58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736" w:type="dxa"/>
            <w:shd w:val="clear" w:color="auto" w:fill="F2F2F2" w:themeFill="background1" w:themeFillShade="F2"/>
          </w:tcPr>
          <w:p w14:paraId="076288F6" w14:textId="133C79DA" w:rsidR="00C4641F" w:rsidRPr="007E468D" w:rsidRDefault="00C4641F" w:rsidP="00C4641F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kriterijus – Kompensavimo dydis procentais ir suma EUR </w:t>
            </w:r>
            <w:r w:rsidR="001A3409"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1A3409"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lt-LT"/>
              </w:rPr>
              <w:t>K1</w:t>
            </w:r>
            <w:r w:rsidR="001A3409"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00F07072" w14:textId="7FBDB3F4" w:rsidR="00771E0B" w:rsidRPr="007E468D" w:rsidRDefault="00771E0B" w:rsidP="00506B58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I draudimo variantas „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Odontologija ir optika</w:t>
            </w:r>
            <w:r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“ </w:t>
            </w:r>
            <w:r w:rsidR="00B35B29"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kompensavimo dydis „</w:t>
            </w:r>
            <w:r w:rsidR="00B35B29"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Ambulatorinis gydymas, diagnostika, dienos stacionaras/ chirurgija“ </w:t>
            </w:r>
            <w:r w:rsidR="00C00666"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bei</w:t>
            </w:r>
            <w:r w:rsidR="00545396"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545396"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„</w:t>
            </w:r>
            <w:r w:rsidR="00545396"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Stacionarinis gydymas“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231687CD" w14:textId="3C17F062" w:rsidR="00771E0B" w:rsidRPr="007E468D" w:rsidRDefault="00B12A03" w:rsidP="00506B58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K1=</w:t>
            </w:r>
            <w:r w:rsidR="00574258" w:rsidRPr="007E46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4641F" w:rsidRPr="007E46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23494" w:rsidRPr="007E468D">
              <w:rPr>
                <w:rFonts w:asciiTheme="minorHAnsi" w:hAnsiTheme="minorHAnsi" w:cstheme="minorHAnsi"/>
                <w:sz w:val="22"/>
                <w:szCs w:val="22"/>
              </w:rPr>
              <w:t xml:space="preserve"> (max)</w:t>
            </w:r>
          </w:p>
        </w:tc>
      </w:tr>
      <w:tr w:rsidR="00F50E92" w:rsidRPr="007E468D" w14:paraId="7A1431CA" w14:textId="77777777" w:rsidTr="00B31E29">
        <w:tc>
          <w:tcPr>
            <w:tcW w:w="777" w:type="dxa"/>
            <w:shd w:val="clear" w:color="auto" w:fill="F2F2F2" w:themeFill="background1" w:themeFillShade="F2"/>
          </w:tcPr>
          <w:p w14:paraId="17514266" w14:textId="75F2A1E6" w:rsidR="00F50E92" w:rsidRPr="007E468D" w:rsidRDefault="00F50E92" w:rsidP="00506B58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1.1.</w:t>
            </w:r>
          </w:p>
        </w:tc>
        <w:tc>
          <w:tcPr>
            <w:tcW w:w="6736" w:type="dxa"/>
            <w:shd w:val="clear" w:color="auto" w:fill="F2F2F2" w:themeFill="background1" w:themeFillShade="F2"/>
          </w:tcPr>
          <w:p w14:paraId="236D0F1C" w14:textId="1975DF5D" w:rsidR="00F50E92" w:rsidRPr="007E468D" w:rsidRDefault="000C20D7" w:rsidP="00C4641F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Kompensavimo dydis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29E966A9" w14:textId="1490964B" w:rsidR="00F50E92" w:rsidRPr="007E468D" w:rsidRDefault="007B270A" w:rsidP="00506B58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L1=10 (max)</w:t>
            </w:r>
          </w:p>
        </w:tc>
      </w:tr>
      <w:tr w:rsidR="000C20D7" w:rsidRPr="007E468D" w14:paraId="6255BBDB" w14:textId="77777777" w:rsidTr="00B31E29">
        <w:tc>
          <w:tcPr>
            <w:tcW w:w="777" w:type="dxa"/>
            <w:shd w:val="clear" w:color="auto" w:fill="F2F2F2" w:themeFill="background1" w:themeFillShade="F2"/>
          </w:tcPr>
          <w:p w14:paraId="3E30015D" w14:textId="30A9064E" w:rsidR="000C20D7" w:rsidRPr="007E468D" w:rsidRDefault="000C20D7" w:rsidP="00506B58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1.2.</w:t>
            </w:r>
          </w:p>
        </w:tc>
        <w:tc>
          <w:tcPr>
            <w:tcW w:w="6736" w:type="dxa"/>
            <w:shd w:val="clear" w:color="auto" w:fill="F2F2F2" w:themeFill="background1" w:themeFillShade="F2"/>
          </w:tcPr>
          <w:p w14:paraId="52B122F4" w14:textId="0967CABB" w:rsidR="000C20D7" w:rsidRPr="007E468D" w:rsidRDefault="007B270A" w:rsidP="00C4641F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Suma EUR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7096C022" w14:textId="6E5B858C" w:rsidR="000C20D7" w:rsidRPr="007E468D" w:rsidRDefault="007B270A" w:rsidP="00506B58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L2=15 (max)</w:t>
            </w:r>
          </w:p>
        </w:tc>
      </w:tr>
      <w:tr w:rsidR="00771E0B" w:rsidRPr="007E468D" w14:paraId="5B3FCAB1" w14:textId="77777777" w:rsidTr="00B31E29">
        <w:tc>
          <w:tcPr>
            <w:tcW w:w="777" w:type="dxa"/>
            <w:shd w:val="clear" w:color="auto" w:fill="F2F2F2" w:themeFill="background1" w:themeFillShade="F2"/>
          </w:tcPr>
          <w:p w14:paraId="6B938EB8" w14:textId="7DA5FA6E" w:rsidR="00771E0B" w:rsidRPr="007E468D" w:rsidRDefault="001A3409" w:rsidP="00506B58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71E0B"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36" w:type="dxa"/>
            <w:shd w:val="clear" w:color="auto" w:fill="F2F2F2" w:themeFill="background1" w:themeFillShade="F2"/>
          </w:tcPr>
          <w:p w14:paraId="4A643BB4" w14:textId="2BAD9718" w:rsidR="001A3409" w:rsidRPr="007E468D" w:rsidRDefault="001A3409" w:rsidP="001A3409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 kriterijus – Kompensavimo dydis procentais ir suma EUR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(</w:t>
            </w: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lt-LT"/>
              </w:rPr>
              <w:t>K2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16D70C80" w14:textId="1FEA649C" w:rsidR="00771E0B" w:rsidRPr="007E468D" w:rsidRDefault="00B35B29" w:rsidP="00506B58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II draudimo variantas „</w:t>
            </w: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Visos medicinos paslaugos/ laisvas limitas</w:t>
            </w:r>
            <w:r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“ </w:t>
            </w:r>
            <w:r w:rsidR="00545396"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kompensavimo dydis „</w:t>
            </w:r>
            <w:r w:rsidR="00545396"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Ambulatorinis gydymas, diagnostika, dienos stacionaras/ chirurgija“ </w:t>
            </w:r>
            <w:r w:rsidR="00130ED1"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bei</w:t>
            </w:r>
            <w:r w:rsidR="00545396"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545396"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„</w:t>
            </w:r>
            <w:r w:rsidR="00545396"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Stacionarinis gydymas“ 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53075474" w14:textId="4A1FC9EB" w:rsidR="00771E0B" w:rsidRPr="007E468D" w:rsidRDefault="00B12A03" w:rsidP="00506B58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F50E92" w:rsidRPr="007E46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="00AD3C98" w:rsidRPr="007E46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4641F" w:rsidRPr="007E46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23494" w:rsidRPr="007E468D">
              <w:rPr>
                <w:rFonts w:asciiTheme="minorHAnsi" w:hAnsiTheme="minorHAnsi" w:cstheme="minorHAnsi"/>
                <w:sz w:val="22"/>
                <w:szCs w:val="22"/>
              </w:rPr>
              <w:t xml:space="preserve"> (max)</w:t>
            </w:r>
          </w:p>
        </w:tc>
      </w:tr>
      <w:tr w:rsidR="007B270A" w:rsidRPr="007E468D" w14:paraId="6ACA4862" w14:textId="77777777" w:rsidTr="00B31E29">
        <w:tc>
          <w:tcPr>
            <w:tcW w:w="777" w:type="dxa"/>
            <w:shd w:val="clear" w:color="auto" w:fill="F2F2F2" w:themeFill="background1" w:themeFillShade="F2"/>
          </w:tcPr>
          <w:p w14:paraId="5106AE0F" w14:textId="537D1E67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2.1.</w:t>
            </w:r>
          </w:p>
        </w:tc>
        <w:tc>
          <w:tcPr>
            <w:tcW w:w="6736" w:type="dxa"/>
            <w:shd w:val="clear" w:color="auto" w:fill="F2F2F2" w:themeFill="background1" w:themeFillShade="F2"/>
          </w:tcPr>
          <w:p w14:paraId="0850573C" w14:textId="0AD1748A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Kompensavimo dydis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0D2F4DD9" w14:textId="60E7B48A" w:rsidR="007B270A" w:rsidRPr="007E468D" w:rsidRDefault="007B270A" w:rsidP="007B270A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L1=10 (max)</w:t>
            </w:r>
          </w:p>
        </w:tc>
      </w:tr>
      <w:tr w:rsidR="007B270A" w:rsidRPr="007E468D" w14:paraId="6EAC615C" w14:textId="77777777" w:rsidTr="00B31E29">
        <w:tc>
          <w:tcPr>
            <w:tcW w:w="777" w:type="dxa"/>
            <w:shd w:val="clear" w:color="auto" w:fill="F2F2F2" w:themeFill="background1" w:themeFillShade="F2"/>
          </w:tcPr>
          <w:p w14:paraId="3D21F929" w14:textId="212B751C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2.2.</w:t>
            </w:r>
          </w:p>
        </w:tc>
        <w:tc>
          <w:tcPr>
            <w:tcW w:w="6736" w:type="dxa"/>
            <w:shd w:val="clear" w:color="auto" w:fill="F2F2F2" w:themeFill="background1" w:themeFillShade="F2"/>
          </w:tcPr>
          <w:p w14:paraId="5B6077EE" w14:textId="207096FF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Suma EUR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1EE5BDBB" w14:textId="34060274" w:rsidR="007B270A" w:rsidRPr="007E468D" w:rsidRDefault="007B270A" w:rsidP="007B270A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L2=15 (max)</w:t>
            </w:r>
          </w:p>
        </w:tc>
      </w:tr>
      <w:tr w:rsidR="007B270A" w:rsidRPr="007E468D" w14:paraId="746D909F" w14:textId="77777777" w:rsidTr="00B31E29">
        <w:tc>
          <w:tcPr>
            <w:tcW w:w="777" w:type="dxa"/>
            <w:shd w:val="clear" w:color="auto" w:fill="F2F2F2" w:themeFill="background1" w:themeFillShade="F2"/>
          </w:tcPr>
          <w:p w14:paraId="11270C46" w14:textId="092914A2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736" w:type="dxa"/>
            <w:shd w:val="clear" w:color="auto" w:fill="F2F2F2" w:themeFill="background1" w:themeFillShade="F2"/>
          </w:tcPr>
          <w:p w14:paraId="2158814D" w14:textId="0D213D06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III kriterijus – Kompensavimo dydis procentais ir suma EUR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(</w:t>
            </w: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lt-LT"/>
              </w:rPr>
              <w:t>K3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220E8E8E" w14:textId="27619F1E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III draudimo variantas „</w:t>
            </w: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Vaistai, vitaminai, papildai ir medicinos priemonės</w:t>
            </w:r>
            <w:r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“ kompensavimo dydis „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Ambulatorinis gydymas, diagnostika, dienos stacionaras/ chirurgija“ bei </w:t>
            </w:r>
            <w:r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„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Stacionarinis gydymas“ (</w:t>
            </w: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lt-LT"/>
              </w:rPr>
              <w:t>K3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237FAF1C" w14:textId="4FF7C664" w:rsidR="007B270A" w:rsidRPr="007E468D" w:rsidRDefault="007B270A" w:rsidP="007B270A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K3=25 (max)</w:t>
            </w:r>
          </w:p>
        </w:tc>
      </w:tr>
      <w:tr w:rsidR="007B270A" w:rsidRPr="007E468D" w14:paraId="56598FBC" w14:textId="77777777" w:rsidTr="00B31E29">
        <w:tc>
          <w:tcPr>
            <w:tcW w:w="777" w:type="dxa"/>
            <w:shd w:val="clear" w:color="auto" w:fill="F2F2F2" w:themeFill="background1" w:themeFillShade="F2"/>
          </w:tcPr>
          <w:p w14:paraId="12888B66" w14:textId="663B8797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736" w:type="dxa"/>
            <w:shd w:val="clear" w:color="auto" w:fill="F2F2F2" w:themeFill="background1" w:themeFillShade="F2"/>
          </w:tcPr>
          <w:p w14:paraId="5269BC1F" w14:textId="234C13DD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 kriterijus – Kompensavimo dydis procentais ir suma EUR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(</w:t>
            </w: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lt-LT"/>
              </w:rPr>
              <w:t>K4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1B587EE8" w14:textId="4F2ED337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IV draudimo variantas „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Profilaktiniai sveikatos patikrinimai, skiepai, nėštumo priežiūra</w:t>
            </w:r>
            <w:r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“ kompensavimo dydis „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Ambulatorinis gydymas, diagnostika, dienos stacionaras/ chirurgija“ bei </w:t>
            </w:r>
            <w:r w:rsidRPr="007E468D">
              <w:rPr>
                <w:rFonts w:asciiTheme="minorHAnsi" w:hAnsiTheme="minorHAnsi" w:cstheme="minorHAnsi"/>
                <w:iCs/>
                <w:sz w:val="22"/>
                <w:szCs w:val="22"/>
              </w:rPr>
              <w:t>„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Stacionarinis gydymas“ (</w:t>
            </w:r>
            <w:r w:rsidRPr="007E468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lt-LT"/>
              </w:rPr>
              <w:t>K4</w:t>
            </w:r>
            <w:r w:rsidRPr="007E468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2D093C43" w14:textId="35DF2821" w:rsidR="007B270A" w:rsidRPr="007E468D" w:rsidRDefault="007B270A" w:rsidP="007B270A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K4=25 (max)</w:t>
            </w:r>
          </w:p>
        </w:tc>
      </w:tr>
      <w:tr w:rsidR="007B270A" w:rsidRPr="007E468D" w14:paraId="2688738C" w14:textId="77777777" w:rsidTr="00B31E29">
        <w:tc>
          <w:tcPr>
            <w:tcW w:w="777" w:type="dxa"/>
            <w:shd w:val="clear" w:color="auto" w:fill="F2F2F2" w:themeFill="background1" w:themeFillShade="F2"/>
          </w:tcPr>
          <w:p w14:paraId="5151A6DF" w14:textId="71ED8CE4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4.1.</w:t>
            </w:r>
          </w:p>
        </w:tc>
        <w:tc>
          <w:tcPr>
            <w:tcW w:w="6736" w:type="dxa"/>
            <w:shd w:val="clear" w:color="auto" w:fill="F2F2F2" w:themeFill="background1" w:themeFillShade="F2"/>
          </w:tcPr>
          <w:p w14:paraId="447BA3A2" w14:textId="231E7A7A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Kompensavimo dydis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564169E6" w14:textId="2E0CCE16" w:rsidR="007B270A" w:rsidRPr="007E468D" w:rsidRDefault="007B270A" w:rsidP="007B270A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L1=10 (max)</w:t>
            </w:r>
          </w:p>
        </w:tc>
      </w:tr>
      <w:tr w:rsidR="007B270A" w:rsidRPr="007E468D" w14:paraId="5AD7639D" w14:textId="77777777" w:rsidTr="00B31E29">
        <w:tc>
          <w:tcPr>
            <w:tcW w:w="777" w:type="dxa"/>
            <w:shd w:val="clear" w:color="auto" w:fill="F2F2F2" w:themeFill="background1" w:themeFillShade="F2"/>
          </w:tcPr>
          <w:p w14:paraId="789FA221" w14:textId="083EA8FB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4.2.</w:t>
            </w:r>
          </w:p>
        </w:tc>
        <w:tc>
          <w:tcPr>
            <w:tcW w:w="6736" w:type="dxa"/>
            <w:shd w:val="clear" w:color="auto" w:fill="F2F2F2" w:themeFill="background1" w:themeFillShade="F2"/>
          </w:tcPr>
          <w:p w14:paraId="1F1BCE11" w14:textId="634D5836" w:rsidR="007B270A" w:rsidRPr="007E468D" w:rsidRDefault="007B270A" w:rsidP="007B270A">
            <w:pPr>
              <w:pStyle w:val="lentele"/>
              <w:spacing w:before="0"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Suma EUR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08BD223E" w14:textId="3C4AF6F6" w:rsidR="007B270A" w:rsidRPr="007E468D" w:rsidRDefault="007B270A" w:rsidP="007B270A">
            <w:pPr>
              <w:pStyle w:val="lentele"/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sz w:val="22"/>
                <w:szCs w:val="22"/>
              </w:rPr>
              <w:t>L2=15 (max)</w:t>
            </w:r>
          </w:p>
        </w:tc>
      </w:tr>
    </w:tbl>
    <w:p w14:paraId="72A3AEA4" w14:textId="77777777" w:rsidR="00361874" w:rsidRPr="007E468D" w:rsidRDefault="00361874" w:rsidP="00506B58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0C6FCCC8" w14:textId="77777777" w:rsidR="00361874" w:rsidRPr="007E468D" w:rsidRDefault="00361874" w:rsidP="00506B5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eastAsia="Times New Roman" w:cstheme="minorHAnsi"/>
          <w:bCs/>
          <w:lang w:eastAsia="en-US"/>
        </w:rPr>
      </w:pPr>
      <w:r w:rsidRPr="007E468D">
        <w:rPr>
          <w:rFonts w:eastAsia="Times New Roman" w:cstheme="minorHAnsi"/>
          <w:bCs/>
          <w:lang w:eastAsia="en-US"/>
        </w:rPr>
        <w:t>Ekonominis naudingumas (S) apskaičiuojamas sudedant tiekėjo pasiūlymo kriterijų balus:</w:t>
      </w:r>
    </w:p>
    <w:p w14:paraId="380FCA3B" w14:textId="77777777" w:rsidR="00361874" w:rsidRPr="007E468D" w:rsidRDefault="00361874" w:rsidP="00506B58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50CE0E67" w14:textId="4966ADC4" w:rsidR="00361874" w:rsidRPr="007E468D" w:rsidRDefault="00361874" w:rsidP="00506B58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  <m:oMathPara>
        <m:oMath>
          <m:r>
            <w:rPr>
              <w:rFonts w:ascii="Cambria Math" w:eastAsia="Times New Roman" w:hAnsi="Cambria Math" w:cstheme="minorHAnsi"/>
              <w:lang w:eastAsia="en-US"/>
            </w:rPr>
            <m:t>S=K1+K2+K3+K4</m:t>
          </m:r>
        </m:oMath>
      </m:oMathPara>
    </w:p>
    <w:p w14:paraId="0C0B5E83" w14:textId="77777777" w:rsidR="00361874" w:rsidRPr="007E468D" w:rsidRDefault="00361874" w:rsidP="00506B58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253FD680" w14:textId="6A5ED4B5" w:rsidR="00C45681" w:rsidRPr="007E468D" w:rsidRDefault="008958F4" w:rsidP="00C45681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eastAsia="SimSun" w:cstheme="minorHAnsi"/>
        </w:rPr>
      </w:pPr>
      <w:r w:rsidRPr="007E468D">
        <w:rPr>
          <w:rFonts w:eastAsia="Times New Roman" w:cstheme="minorHAnsi"/>
          <w:bCs/>
          <w:lang w:eastAsia="en-US"/>
        </w:rPr>
        <w:lastRenderedPageBreak/>
        <w:t>K</w:t>
      </w:r>
      <w:r w:rsidR="00361874" w:rsidRPr="007E468D">
        <w:rPr>
          <w:rFonts w:eastAsia="Times New Roman" w:cstheme="minorHAnsi"/>
          <w:bCs/>
          <w:lang w:eastAsia="en-US"/>
        </w:rPr>
        <w:t xml:space="preserve">riterijaus </w:t>
      </w:r>
      <w:r w:rsidR="001A3409" w:rsidRPr="007E468D">
        <w:rPr>
          <w:rFonts w:cstheme="minorHAnsi"/>
          <w:b/>
          <w:bCs/>
        </w:rPr>
        <w:t xml:space="preserve">– Kompensavimo dydis procentais ir suma EUR </w:t>
      </w:r>
      <w:r w:rsidR="001A3409" w:rsidRPr="007E468D">
        <w:rPr>
          <w:rFonts w:cstheme="minorHAnsi"/>
          <w:lang w:eastAsia="lt-LT"/>
        </w:rPr>
        <w:t>(</w:t>
      </w:r>
      <w:r w:rsidR="001A3409" w:rsidRPr="007E468D">
        <w:rPr>
          <w:rFonts w:cstheme="minorHAnsi"/>
          <w:b/>
          <w:bCs/>
          <w:lang w:eastAsia="lt-LT"/>
        </w:rPr>
        <w:t>K1</w:t>
      </w:r>
      <w:r w:rsidR="008B13A7" w:rsidRPr="007E468D">
        <w:rPr>
          <w:rFonts w:cstheme="minorHAnsi"/>
          <w:b/>
          <w:bCs/>
          <w:lang w:eastAsia="lt-LT"/>
        </w:rPr>
        <w:t>, K2, K3, K4</w:t>
      </w:r>
      <w:r w:rsidR="001A3409" w:rsidRPr="007E468D">
        <w:rPr>
          <w:rFonts w:cstheme="minorHAnsi"/>
          <w:lang w:eastAsia="lt-LT"/>
        </w:rPr>
        <w:t xml:space="preserve">) </w:t>
      </w:r>
      <w:r w:rsidR="009D620E" w:rsidRPr="007E468D">
        <w:rPr>
          <w:rFonts w:eastAsia="Times New Roman" w:cstheme="minorHAnsi"/>
          <w:bCs/>
          <w:lang w:eastAsia="en-US"/>
        </w:rPr>
        <w:t>bala</w:t>
      </w:r>
      <w:r w:rsidR="007A1284" w:rsidRPr="007E468D">
        <w:rPr>
          <w:rFonts w:eastAsia="Times New Roman" w:cstheme="minorHAnsi"/>
          <w:bCs/>
          <w:lang w:eastAsia="en-US"/>
        </w:rPr>
        <w:t>s</w:t>
      </w:r>
      <w:r w:rsidR="009D620E" w:rsidRPr="007E468D">
        <w:rPr>
          <w:rFonts w:eastAsia="Times New Roman" w:cstheme="minorHAnsi"/>
          <w:bCs/>
          <w:lang w:eastAsia="en-US"/>
        </w:rPr>
        <w:t xml:space="preserve"> </w:t>
      </w:r>
      <w:r w:rsidRPr="007E468D">
        <w:rPr>
          <w:rFonts w:eastAsia="Times New Roman" w:cstheme="minorHAnsi"/>
          <w:bCs/>
          <w:lang w:eastAsia="en-US"/>
        </w:rPr>
        <w:t>skiriamas tiesiogiai</w:t>
      </w:r>
      <w:r w:rsidR="00C45681" w:rsidRPr="007E468D">
        <w:rPr>
          <w:rFonts w:eastAsia="Times New Roman" w:cstheme="minorHAnsi"/>
          <w:bCs/>
          <w:lang w:eastAsia="en-US"/>
        </w:rPr>
        <w:t xml:space="preserve">. </w:t>
      </w:r>
      <w:r w:rsidR="00C45681" w:rsidRPr="007E468D">
        <w:rPr>
          <w:rFonts w:eastAsia="SimSun" w:cstheme="minorHAnsi"/>
        </w:rPr>
        <w:t>Vertinamas Paslaugų tiekėjo pasiūlyme nurodytas kompensavimo dydis procentais ir suma EUR pagal programas, skiriant tiesioginius balus, kur didžiausią kriterijaus įvertinimo balą gauna tas pasiūlymas, kuriame nurodytas kompensavimo dydis</w:t>
      </w:r>
      <w:r w:rsidR="00DA526F" w:rsidRPr="007E468D">
        <w:rPr>
          <w:rFonts w:eastAsia="SimSun" w:cstheme="minorHAnsi"/>
        </w:rPr>
        <w:t xml:space="preserve"> I, II ir IV variantams</w:t>
      </w:r>
      <w:r w:rsidR="00C45681" w:rsidRPr="007E468D">
        <w:rPr>
          <w:rFonts w:eastAsia="SimSun" w:cstheme="minorHAnsi"/>
        </w:rPr>
        <w:t xml:space="preserve"> </w:t>
      </w:r>
      <w:r w:rsidR="00DA526F" w:rsidRPr="007E468D">
        <w:rPr>
          <w:rFonts w:eastAsia="SimSun" w:cstheme="minorHAnsi"/>
        </w:rPr>
        <w:t xml:space="preserve">ne mažiau nei </w:t>
      </w:r>
      <w:r w:rsidR="009373BF" w:rsidRPr="007E468D">
        <w:rPr>
          <w:rFonts w:eastAsia="SimSun" w:cstheme="minorHAnsi"/>
        </w:rPr>
        <w:t>100</w:t>
      </w:r>
      <w:r w:rsidR="00C45681" w:rsidRPr="007E468D">
        <w:rPr>
          <w:rFonts w:eastAsia="SimSun" w:cstheme="minorHAnsi"/>
        </w:rPr>
        <w:t xml:space="preserve"> proc. ir suma ne mažiau </w:t>
      </w:r>
      <w:r w:rsidR="00BC73C4" w:rsidRPr="007E468D">
        <w:rPr>
          <w:rFonts w:eastAsia="SimSun" w:cstheme="minorHAnsi"/>
        </w:rPr>
        <w:t>35</w:t>
      </w:r>
      <w:r w:rsidR="00DA526F" w:rsidRPr="007E468D">
        <w:rPr>
          <w:rFonts w:eastAsia="SimSun" w:cstheme="minorHAnsi"/>
        </w:rPr>
        <w:t>0</w:t>
      </w:r>
      <w:r w:rsidR="00C45681" w:rsidRPr="007E468D">
        <w:rPr>
          <w:rFonts w:eastAsia="SimSun" w:cstheme="minorHAnsi"/>
        </w:rPr>
        <w:t xml:space="preserve"> EUR</w:t>
      </w:r>
      <w:r w:rsidR="00DA526F" w:rsidRPr="007E468D">
        <w:rPr>
          <w:rFonts w:eastAsia="SimSun" w:cstheme="minorHAnsi"/>
        </w:rPr>
        <w:t xml:space="preserve">, o III variantui – kompensavimo dydis – 100 proc. </w:t>
      </w:r>
      <w:r w:rsidR="005F7AFB" w:rsidRPr="007E468D">
        <w:rPr>
          <w:rFonts w:eastAsia="SimSun" w:cstheme="minorHAnsi"/>
        </w:rPr>
        <w:t>i</w:t>
      </w:r>
      <w:r w:rsidR="00DA526F" w:rsidRPr="007E468D">
        <w:rPr>
          <w:rFonts w:eastAsia="SimSun" w:cstheme="minorHAnsi"/>
        </w:rPr>
        <w:t xml:space="preserve">r suma ne mažiau </w:t>
      </w:r>
      <w:r w:rsidR="00BC73C4" w:rsidRPr="007E468D">
        <w:rPr>
          <w:rFonts w:eastAsia="SimSun" w:cstheme="minorHAnsi"/>
        </w:rPr>
        <w:t>250</w:t>
      </w:r>
      <w:r w:rsidR="00DA526F" w:rsidRPr="007E468D">
        <w:rPr>
          <w:rFonts w:eastAsia="SimSun" w:cstheme="minorHAnsi"/>
        </w:rPr>
        <w:t xml:space="preserve"> Eur.</w:t>
      </w:r>
    </w:p>
    <w:p w14:paraId="6DEF825B" w14:textId="75A2C7FA" w:rsidR="00783A91" w:rsidRPr="007E468D" w:rsidRDefault="00783A91" w:rsidP="00B23494">
      <w:pPr>
        <w:pStyle w:val="ListParagraph"/>
        <w:tabs>
          <w:tab w:val="left" w:pos="851"/>
          <w:tab w:val="left" w:pos="993"/>
        </w:tabs>
        <w:suppressAutoHyphens/>
        <w:spacing w:after="0" w:line="240" w:lineRule="auto"/>
        <w:ind w:left="567"/>
        <w:jc w:val="both"/>
        <w:rPr>
          <w:rFonts w:eastAsia="Times New Roman" w:cstheme="minorHAnsi"/>
          <w:bCs/>
          <w:lang w:eastAsia="en-US"/>
        </w:rPr>
      </w:pPr>
    </w:p>
    <w:p w14:paraId="2CEB1210" w14:textId="1410E15F" w:rsidR="00001754" w:rsidRPr="00A566D9" w:rsidRDefault="00BC73C4" w:rsidP="00A566D9">
      <w:pPr>
        <w:pStyle w:val="ListParagraph"/>
        <w:numPr>
          <w:ilvl w:val="1"/>
          <w:numId w:val="1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jc w:val="both"/>
        <w:rPr>
          <w:rFonts w:eastAsia="Times New Roman" w:cstheme="minorHAnsi"/>
          <w:bCs/>
          <w:lang w:eastAsia="en-US"/>
        </w:rPr>
      </w:pPr>
      <w:r w:rsidRPr="00A566D9">
        <w:rPr>
          <w:rFonts w:eastAsia="Times New Roman" w:cstheme="minorHAnsi"/>
          <w:bCs/>
          <w:lang w:eastAsia="en-US"/>
        </w:rPr>
        <w:t xml:space="preserve">Kriterijaus – </w:t>
      </w:r>
      <w:r w:rsidRPr="00A566D9">
        <w:rPr>
          <w:rFonts w:eastAsia="Times New Roman" w:cstheme="minorHAnsi"/>
          <w:b/>
          <w:lang w:eastAsia="en-US"/>
        </w:rPr>
        <w:t>Kompensavimo dydis procentais ir suma</w:t>
      </w:r>
      <w:r w:rsidRPr="00A566D9">
        <w:rPr>
          <w:rFonts w:eastAsia="Times New Roman" w:cstheme="minorHAnsi"/>
          <w:bCs/>
          <w:lang w:eastAsia="en-US"/>
        </w:rPr>
        <w:t xml:space="preserve"> </w:t>
      </w:r>
      <w:r w:rsidRPr="00A566D9">
        <w:rPr>
          <w:rFonts w:eastAsia="Times New Roman" w:cstheme="minorHAnsi"/>
          <w:b/>
          <w:lang w:eastAsia="en-US"/>
        </w:rPr>
        <w:t xml:space="preserve">EUR </w:t>
      </w:r>
      <w:r w:rsidRPr="00A566D9">
        <w:rPr>
          <w:rFonts w:eastAsia="Times New Roman" w:cstheme="minorHAnsi"/>
          <w:bCs/>
          <w:lang w:eastAsia="en-US"/>
        </w:rPr>
        <w:t xml:space="preserve">(K1, K2 ir K4) balas </w:t>
      </w:r>
      <w:r w:rsidR="003B18F1" w:rsidRPr="00A566D9">
        <w:rPr>
          <w:rFonts w:eastAsia="Times New Roman" w:cstheme="minorHAnsi"/>
          <w:bCs/>
          <w:lang w:eastAsia="en-US"/>
        </w:rPr>
        <w:t xml:space="preserve">apskaičiuojamas sudedant </w:t>
      </w:r>
      <w:r w:rsidR="003B18F1" w:rsidRPr="00A566D9">
        <w:rPr>
          <w:rFonts w:eastAsia="Times New Roman" w:cstheme="minorHAnsi"/>
          <w:b/>
          <w:lang w:eastAsia="en-US"/>
        </w:rPr>
        <w:t>Kompensavimo dydis procentais balą (L1) ir suma</w:t>
      </w:r>
      <w:r w:rsidR="003B18F1" w:rsidRPr="00A566D9">
        <w:rPr>
          <w:rFonts w:eastAsia="Times New Roman" w:cstheme="minorHAnsi"/>
          <w:bCs/>
          <w:lang w:eastAsia="en-US"/>
        </w:rPr>
        <w:t xml:space="preserve"> </w:t>
      </w:r>
      <w:r w:rsidR="003B18F1" w:rsidRPr="00A566D9">
        <w:rPr>
          <w:rFonts w:eastAsia="Times New Roman" w:cstheme="minorHAnsi"/>
          <w:b/>
          <w:lang w:eastAsia="en-US"/>
        </w:rPr>
        <w:t xml:space="preserve">EUR </w:t>
      </w:r>
      <w:r w:rsidR="001F37DD" w:rsidRPr="00A566D9">
        <w:rPr>
          <w:rFonts w:eastAsia="Times New Roman" w:cstheme="minorHAnsi"/>
          <w:b/>
          <w:lang w:eastAsia="en-US"/>
        </w:rPr>
        <w:t>balą (L2)</w:t>
      </w:r>
      <w:r w:rsidR="006B234D" w:rsidRPr="00A566D9">
        <w:rPr>
          <w:rFonts w:eastAsia="Times New Roman" w:cstheme="minorHAnsi"/>
          <w:b/>
          <w:lang w:eastAsia="en-US"/>
        </w:rPr>
        <w:t xml:space="preserve">, </w:t>
      </w:r>
      <w:r w:rsidRPr="00A566D9">
        <w:rPr>
          <w:rFonts w:eastAsia="Times New Roman" w:cstheme="minorHAnsi"/>
          <w:bCs/>
          <w:lang w:eastAsia="en-US"/>
        </w:rPr>
        <w:t>skiriant tiesioginius balus</w:t>
      </w:r>
      <w:r w:rsidR="00871C16">
        <w:rPr>
          <w:rFonts w:eastAsia="Times New Roman" w:cstheme="minorHAnsi"/>
          <w:bCs/>
          <w:lang w:eastAsia="en-US"/>
        </w:rPr>
        <w:t xml:space="preserve"> (L1 ir L2).</w:t>
      </w:r>
    </w:p>
    <w:p w14:paraId="14E7784F" w14:textId="77777777" w:rsidR="00BC73C4" w:rsidRPr="007E468D" w:rsidRDefault="00BC73C4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theme="minorHAnsi"/>
        </w:rPr>
      </w:pPr>
    </w:p>
    <w:p w14:paraId="4D142B96" w14:textId="6DB7AA6C" w:rsidR="001F37DD" w:rsidRPr="007E468D" w:rsidRDefault="002D10AD" w:rsidP="001F37DD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Times New Roman" w:cstheme="minorHAnsi"/>
          <w:iCs/>
          <w:lang w:val="en-US" w:eastAsia="en-US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theme="minorHAnsi"/>
              <w:lang w:eastAsia="en-US"/>
            </w:rPr>
            <m:t>K1, K2, ar K4</m:t>
          </m:r>
          <m:r>
            <m:rPr>
              <m:sty m:val="p"/>
            </m:rPr>
            <w:rPr>
              <w:rFonts w:ascii="Cambria Math" w:eastAsia="Times New Roman" w:hAnsi="Cambria Math" w:cstheme="minorHAnsi"/>
              <w:lang w:val="en-US" w:eastAsia="en-US"/>
            </w:rPr>
            <m:t>=L1+L2</m:t>
          </m:r>
        </m:oMath>
      </m:oMathPara>
    </w:p>
    <w:p w14:paraId="07079226" w14:textId="77777777" w:rsidR="00C627C2" w:rsidRPr="007E468D" w:rsidRDefault="00C627C2" w:rsidP="00C627C2">
      <w:pPr>
        <w:spacing w:after="0" w:line="240" w:lineRule="auto"/>
        <w:jc w:val="right"/>
        <w:rPr>
          <w:rFonts w:cstheme="minorHAnsi"/>
        </w:rPr>
      </w:pPr>
    </w:p>
    <w:p w14:paraId="3DD6474D" w14:textId="41939D1E" w:rsidR="00D62302" w:rsidRPr="007E468D" w:rsidRDefault="00C627C2" w:rsidP="00C627C2">
      <w:pPr>
        <w:spacing w:after="0" w:line="240" w:lineRule="auto"/>
        <w:jc w:val="right"/>
        <w:rPr>
          <w:rFonts w:cstheme="minorHAnsi"/>
        </w:rPr>
      </w:pPr>
      <w:r w:rsidRPr="007E468D">
        <w:rPr>
          <w:rFonts w:cstheme="minorHAnsi"/>
          <w:i/>
          <w:iCs/>
        </w:rPr>
        <w:t xml:space="preserve">2 lentelė. </w:t>
      </w:r>
      <w:r w:rsidR="00B33A9C" w:rsidRPr="007E468D">
        <w:rPr>
          <w:rFonts w:cstheme="minorHAnsi"/>
          <w:i/>
          <w:iCs/>
        </w:rPr>
        <w:t>Kompensavimo dydžiai ir skiriami balai</w:t>
      </w:r>
    </w:p>
    <w:tbl>
      <w:tblPr>
        <w:tblStyle w:val="TableGrid"/>
        <w:tblW w:w="9780" w:type="dxa"/>
        <w:tblInd w:w="421" w:type="dxa"/>
        <w:tblLook w:val="04A0" w:firstRow="1" w:lastRow="0" w:firstColumn="1" w:lastColumn="0" w:noHBand="0" w:noVBand="1"/>
      </w:tblPr>
      <w:tblGrid>
        <w:gridCol w:w="850"/>
        <w:gridCol w:w="6095"/>
        <w:gridCol w:w="2835"/>
      </w:tblGrid>
      <w:tr w:rsidR="002F0B7F" w:rsidRPr="007E468D" w14:paraId="497F51FF" w14:textId="77777777" w:rsidTr="002F0B7F">
        <w:tc>
          <w:tcPr>
            <w:tcW w:w="850" w:type="dxa"/>
          </w:tcPr>
          <w:p w14:paraId="5039CC5A" w14:textId="77777777" w:rsidR="002F0B7F" w:rsidRPr="007E468D" w:rsidRDefault="002F0B7F" w:rsidP="00E40A36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095" w:type="dxa"/>
          </w:tcPr>
          <w:p w14:paraId="5461844B" w14:textId="53E6882B" w:rsidR="002F0B7F" w:rsidRPr="007E468D" w:rsidRDefault="002F0B7F" w:rsidP="00E40A36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7E468D">
              <w:rPr>
                <w:rFonts w:asciiTheme="minorHAnsi" w:hAnsiTheme="minorHAnsi" w:cstheme="minorHAnsi"/>
                <w:b/>
                <w:sz w:val="22"/>
                <w:szCs w:val="22"/>
              </w:rPr>
              <w:t>Kompensavimo dydis (L1) procentais I, II ir/ar IV variantui</w:t>
            </w:r>
          </w:p>
        </w:tc>
        <w:tc>
          <w:tcPr>
            <w:tcW w:w="2835" w:type="dxa"/>
          </w:tcPr>
          <w:p w14:paraId="7E20C054" w14:textId="77777777" w:rsidR="002F0B7F" w:rsidRPr="007E468D" w:rsidRDefault="002F0B7F" w:rsidP="00E40A36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Skiriamas balas</w:t>
            </w:r>
          </w:p>
        </w:tc>
      </w:tr>
      <w:tr w:rsidR="002F0B7F" w:rsidRPr="007E468D" w14:paraId="3334B67C" w14:textId="77777777" w:rsidTr="002F0B7F">
        <w:tc>
          <w:tcPr>
            <w:tcW w:w="850" w:type="dxa"/>
            <w:vAlign w:val="center"/>
          </w:tcPr>
          <w:p w14:paraId="34798AAA" w14:textId="77777777" w:rsidR="002F0B7F" w:rsidRPr="007E468D" w:rsidRDefault="002F0B7F" w:rsidP="00E40A36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51"/>
                <w:tab w:val="left" w:pos="993"/>
              </w:tabs>
              <w:suppressAutoHyphens/>
              <w:spacing w:after="0" w:line="240" w:lineRule="auto"/>
              <w:ind w:left="33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vAlign w:val="center"/>
          </w:tcPr>
          <w:p w14:paraId="35C96C3B" w14:textId="7EAE5604" w:rsidR="002F0B7F" w:rsidRPr="007E468D" w:rsidRDefault="002F0B7F" w:rsidP="00E40A36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835" w:type="dxa"/>
            <w:vAlign w:val="center"/>
          </w:tcPr>
          <w:p w14:paraId="43D3E63E" w14:textId="77777777" w:rsidR="002F0B7F" w:rsidRPr="007E468D" w:rsidRDefault="002F0B7F" w:rsidP="00E40A36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2F0B7F" w:rsidRPr="007E468D" w14:paraId="34AA4BD3" w14:textId="77777777" w:rsidTr="002F0B7F">
        <w:tc>
          <w:tcPr>
            <w:tcW w:w="850" w:type="dxa"/>
            <w:vAlign w:val="center"/>
          </w:tcPr>
          <w:p w14:paraId="08498459" w14:textId="77777777" w:rsidR="002F0B7F" w:rsidRPr="007E468D" w:rsidRDefault="002F0B7F" w:rsidP="00E40A36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51"/>
                <w:tab w:val="left" w:pos="993"/>
              </w:tabs>
              <w:suppressAutoHyphens/>
              <w:spacing w:after="0" w:line="240" w:lineRule="auto"/>
              <w:ind w:left="33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vAlign w:val="center"/>
          </w:tcPr>
          <w:p w14:paraId="076700E2" w14:textId="7512643D" w:rsidR="002F0B7F" w:rsidRPr="007E468D" w:rsidRDefault="002F0B7F" w:rsidP="00E40A36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2835" w:type="dxa"/>
            <w:vAlign w:val="center"/>
          </w:tcPr>
          <w:p w14:paraId="5E4FC0F4" w14:textId="77777777" w:rsidR="002F0B7F" w:rsidRPr="007E468D" w:rsidRDefault="002F0B7F" w:rsidP="00E40A36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2F0B7F" w:rsidRPr="007E468D" w14:paraId="1BEE22FE" w14:textId="77777777" w:rsidTr="002F0B7F">
        <w:tc>
          <w:tcPr>
            <w:tcW w:w="850" w:type="dxa"/>
            <w:vAlign w:val="center"/>
          </w:tcPr>
          <w:p w14:paraId="042BA8CF" w14:textId="77777777" w:rsidR="002F0B7F" w:rsidRPr="007E468D" w:rsidRDefault="002F0B7F" w:rsidP="00E40A36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51"/>
                <w:tab w:val="left" w:pos="993"/>
              </w:tabs>
              <w:suppressAutoHyphens/>
              <w:spacing w:after="0" w:line="240" w:lineRule="auto"/>
              <w:ind w:left="33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vAlign w:val="center"/>
          </w:tcPr>
          <w:p w14:paraId="19F7C7CC" w14:textId="77777777" w:rsidR="002F0B7F" w:rsidRPr="007E468D" w:rsidRDefault="002F0B7F" w:rsidP="00E40A36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vAlign w:val="center"/>
          </w:tcPr>
          <w:p w14:paraId="0A73EA3F" w14:textId="77777777" w:rsidR="002F0B7F" w:rsidRPr="007E468D" w:rsidRDefault="002F0B7F" w:rsidP="00E40A36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</w:tr>
    </w:tbl>
    <w:p w14:paraId="5631D15D" w14:textId="77777777" w:rsidR="00CD22D1" w:rsidRPr="007E468D" w:rsidRDefault="00CD22D1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theme="minorHAnsi"/>
        </w:rPr>
      </w:pPr>
    </w:p>
    <w:p w14:paraId="5AF6B78D" w14:textId="5933CF91" w:rsidR="002F0B7F" w:rsidRPr="007E468D" w:rsidRDefault="002F0B7F" w:rsidP="002F0B7F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i/>
          <w:iCs/>
        </w:rPr>
        <w:t>3</w:t>
      </w:r>
      <w:r w:rsidRPr="007E468D">
        <w:rPr>
          <w:rFonts w:cstheme="minorHAnsi"/>
          <w:i/>
          <w:iCs/>
        </w:rPr>
        <w:t xml:space="preserve"> lentelė. </w:t>
      </w:r>
      <w:r>
        <w:rPr>
          <w:rFonts w:cstheme="minorHAnsi"/>
          <w:i/>
          <w:iCs/>
        </w:rPr>
        <w:t>Suma EUR</w:t>
      </w:r>
      <w:r w:rsidRPr="007E468D">
        <w:rPr>
          <w:rFonts w:cstheme="minorHAnsi"/>
          <w:i/>
          <w:iCs/>
        </w:rPr>
        <w:t xml:space="preserve"> ir skiriami balai</w:t>
      </w:r>
    </w:p>
    <w:tbl>
      <w:tblPr>
        <w:tblStyle w:val="TableGrid"/>
        <w:tblW w:w="9780" w:type="dxa"/>
        <w:tblInd w:w="421" w:type="dxa"/>
        <w:tblLook w:val="04A0" w:firstRow="1" w:lastRow="0" w:firstColumn="1" w:lastColumn="0" w:noHBand="0" w:noVBand="1"/>
      </w:tblPr>
      <w:tblGrid>
        <w:gridCol w:w="832"/>
        <w:gridCol w:w="6113"/>
        <w:gridCol w:w="2835"/>
      </w:tblGrid>
      <w:tr w:rsidR="002F0B7F" w:rsidRPr="007E468D" w14:paraId="6D16CF7C" w14:textId="77777777" w:rsidTr="002F0B7F">
        <w:tc>
          <w:tcPr>
            <w:tcW w:w="832" w:type="dxa"/>
          </w:tcPr>
          <w:p w14:paraId="78BF154E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113" w:type="dxa"/>
          </w:tcPr>
          <w:p w14:paraId="2A4E9B09" w14:textId="56FAC973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7E46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Suma EUR </w:t>
            </w:r>
            <w:r w:rsidR="00871C16">
              <w:rPr>
                <w:rFonts w:asciiTheme="minorHAnsi" w:hAnsiTheme="minorHAnsi" w:cstheme="minorHAnsi"/>
                <w:b/>
                <w:sz w:val="22"/>
                <w:szCs w:val="22"/>
              </w:rPr>
              <w:t>(L2)</w:t>
            </w:r>
            <w:r w:rsidR="007A1E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080E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7E468D">
              <w:rPr>
                <w:rFonts w:asciiTheme="minorHAnsi" w:hAnsiTheme="minorHAnsi" w:cstheme="minorHAnsi"/>
                <w:b/>
                <w:sz w:val="22"/>
                <w:szCs w:val="22"/>
              </w:rPr>
              <w:t>, II ir/ar IV variantui</w:t>
            </w:r>
          </w:p>
        </w:tc>
        <w:tc>
          <w:tcPr>
            <w:tcW w:w="2835" w:type="dxa"/>
          </w:tcPr>
          <w:p w14:paraId="6C2F492A" w14:textId="423A2EA3" w:rsidR="002F0B7F" w:rsidRPr="007E468D" w:rsidRDefault="007A1E14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Skiriamas balas</w:t>
            </w:r>
          </w:p>
        </w:tc>
      </w:tr>
      <w:tr w:rsidR="002F0B7F" w:rsidRPr="007E468D" w14:paraId="091ADEF2" w14:textId="77777777" w:rsidTr="002F0B7F">
        <w:tc>
          <w:tcPr>
            <w:tcW w:w="832" w:type="dxa"/>
            <w:vAlign w:val="center"/>
          </w:tcPr>
          <w:p w14:paraId="1F22B25F" w14:textId="77777777" w:rsidR="002F0B7F" w:rsidRPr="007E468D" w:rsidRDefault="002F0B7F" w:rsidP="00F05B33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  <w:tab w:val="left" w:pos="360"/>
                <w:tab w:val="left" w:pos="993"/>
              </w:tabs>
              <w:suppressAutoHyphens/>
              <w:spacing w:after="0" w:line="240" w:lineRule="auto"/>
              <w:ind w:left="37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13" w:type="dxa"/>
            <w:vAlign w:val="center"/>
          </w:tcPr>
          <w:p w14:paraId="556D1EEB" w14:textId="611B840F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</w:tcPr>
          <w:p w14:paraId="26223368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2F0B7F" w:rsidRPr="007E468D" w14:paraId="5ED41CF7" w14:textId="77777777" w:rsidTr="002F0B7F">
        <w:tc>
          <w:tcPr>
            <w:tcW w:w="832" w:type="dxa"/>
            <w:vAlign w:val="center"/>
          </w:tcPr>
          <w:p w14:paraId="66E7AC4C" w14:textId="77777777" w:rsidR="002F0B7F" w:rsidRPr="007E468D" w:rsidRDefault="002F0B7F" w:rsidP="00F05B33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  <w:tab w:val="left" w:pos="360"/>
                <w:tab w:val="left" w:pos="993"/>
              </w:tabs>
              <w:suppressAutoHyphens/>
              <w:spacing w:after="0" w:line="240" w:lineRule="auto"/>
              <w:ind w:left="37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13" w:type="dxa"/>
            <w:vAlign w:val="center"/>
          </w:tcPr>
          <w:p w14:paraId="3B3A44A2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835" w:type="dxa"/>
          </w:tcPr>
          <w:p w14:paraId="394673C5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2F0B7F" w:rsidRPr="007E468D" w14:paraId="0D90B4F2" w14:textId="77777777" w:rsidTr="002F0B7F">
        <w:tc>
          <w:tcPr>
            <w:tcW w:w="832" w:type="dxa"/>
            <w:vAlign w:val="center"/>
          </w:tcPr>
          <w:p w14:paraId="0A6805C0" w14:textId="77777777" w:rsidR="002F0B7F" w:rsidRPr="007E468D" w:rsidRDefault="002F0B7F" w:rsidP="00F05B33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  <w:tab w:val="left" w:pos="360"/>
                <w:tab w:val="left" w:pos="993"/>
              </w:tabs>
              <w:suppressAutoHyphens/>
              <w:spacing w:after="0" w:line="240" w:lineRule="auto"/>
              <w:ind w:left="37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13" w:type="dxa"/>
            <w:vAlign w:val="center"/>
          </w:tcPr>
          <w:p w14:paraId="567BC215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835" w:type="dxa"/>
          </w:tcPr>
          <w:p w14:paraId="5452F513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2F0B7F" w:rsidRPr="007E468D" w14:paraId="0C00F86D" w14:textId="77777777" w:rsidTr="002F0B7F">
        <w:tc>
          <w:tcPr>
            <w:tcW w:w="832" w:type="dxa"/>
            <w:vAlign w:val="center"/>
          </w:tcPr>
          <w:p w14:paraId="037A4FA1" w14:textId="77777777" w:rsidR="002F0B7F" w:rsidRPr="007E468D" w:rsidRDefault="002F0B7F" w:rsidP="00F05B33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  <w:tab w:val="left" w:pos="360"/>
                <w:tab w:val="left" w:pos="993"/>
              </w:tabs>
              <w:suppressAutoHyphens/>
              <w:spacing w:after="0" w:line="240" w:lineRule="auto"/>
              <w:ind w:left="37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13" w:type="dxa"/>
            <w:vAlign w:val="center"/>
          </w:tcPr>
          <w:p w14:paraId="68CC318E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2835" w:type="dxa"/>
          </w:tcPr>
          <w:p w14:paraId="1FDA1269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2F0B7F" w:rsidRPr="007E468D" w14:paraId="550B964D" w14:textId="77777777" w:rsidTr="002F0B7F">
        <w:tc>
          <w:tcPr>
            <w:tcW w:w="832" w:type="dxa"/>
            <w:vAlign w:val="center"/>
          </w:tcPr>
          <w:p w14:paraId="1C471C81" w14:textId="77777777" w:rsidR="002F0B7F" w:rsidRPr="007E468D" w:rsidRDefault="002F0B7F" w:rsidP="00F05B33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  <w:tab w:val="left" w:pos="360"/>
                <w:tab w:val="left" w:pos="993"/>
              </w:tabs>
              <w:suppressAutoHyphens/>
              <w:spacing w:after="0" w:line="240" w:lineRule="auto"/>
              <w:ind w:left="37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13" w:type="dxa"/>
            <w:vAlign w:val="center"/>
          </w:tcPr>
          <w:p w14:paraId="527E5076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835" w:type="dxa"/>
          </w:tcPr>
          <w:p w14:paraId="3441A2B4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2F0B7F" w:rsidRPr="007E468D" w14:paraId="5B9033BE" w14:textId="77777777" w:rsidTr="002F0B7F">
        <w:tc>
          <w:tcPr>
            <w:tcW w:w="832" w:type="dxa"/>
            <w:vAlign w:val="center"/>
          </w:tcPr>
          <w:p w14:paraId="3891E9AE" w14:textId="77777777" w:rsidR="002F0B7F" w:rsidRPr="007E468D" w:rsidRDefault="002F0B7F" w:rsidP="00F05B33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  <w:tab w:val="left" w:pos="360"/>
                <w:tab w:val="left" w:pos="993"/>
              </w:tabs>
              <w:suppressAutoHyphens/>
              <w:spacing w:after="0" w:line="240" w:lineRule="auto"/>
              <w:ind w:left="37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13" w:type="dxa"/>
            <w:vAlign w:val="center"/>
          </w:tcPr>
          <w:p w14:paraId="3926D7B5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350 ir daugiau</w:t>
            </w:r>
          </w:p>
        </w:tc>
        <w:tc>
          <w:tcPr>
            <w:tcW w:w="2835" w:type="dxa"/>
          </w:tcPr>
          <w:p w14:paraId="5B40AF41" w14:textId="77777777" w:rsidR="002F0B7F" w:rsidRPr="007E468D" w:rsidRDefault="002F0B7F" w:rsidP="006D656A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15</w:t>
            </w:r>
          </w:p>
        </w:tc>
      </w:tr>
    </w:tbl>
    <w:p w14:paraId="77302ECF" w14:textId="77777777" w:rsidR="00001754" w:rsidRPr="007E468D" w:rsidRDefault="00001754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theme="minorHAnsi"/>
        </w:rPr>
      </w:pPr>
    </w:p>
    <w:p w14:paraId="33C5EA24" w14:textId="7391C6F9" w:rsidR="003F5772" w:rsidRDefault="003F5772" w:rsidP="00403180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theme="minorHAnsi"/>
        </w:rPr>
      </w:pPr>
      <w:r w:rsidRPr="007E468D">
        <w:rPr>
          <w:rFonts w:cstheme="minorHAnsi"/>
        </w:rPr>
        <w:t>Pastaba. Tiekėjui pasiūlius kompensavimo d</w:t>
      </w:r>
      <w:r w:rsidR="001E7E83" w:rsidRPr="007E468D">
        <w:rPr>
          <w:rFonts w:cstheme="minorHAnsi"/>
        </w:rPr>
        <w:t>yd</w:t>
      </w:r>
      <w:r w:rsidR="004B37ED" w:rsidRPr="007E468D">
        <w:rPr>
          <w:rFonts w:cstheme="minorHAnsi"/>
        </w:rPr>
        <w:t>į</w:t>
      </w:r>
      <w:r w:rsidR="001E7E83" w:rsidRPr="007E468D">
        <w:rPr>
          <w:rFonts w:cstheme="minorHAnsi"/>
        </w:rPr>
        <w:t xml:space="preserve"> nuo 81 iki </w:t>
      </w:r>
      <w:r w:rsidR="00A50FA2">
        <w:rPr>
          <w:rFonts w:cstheme="minorHAnsi"/>
        </w:rPr>
        <w:t>8</w:t>
      </w:r>
      <w:r w:rsidR="001E7E83" w:rsidRPr="007E468D">
        <w:rPr>
          <w:rFonts w:cstheme="minorHAnsi"/>
        </w:rPr>
        <w:t xml:space="preserve">9, bus skaičiuojama, kad pasiūlytas 80 procentų kompensavimo dydis, </w:t>
      </w:r>
      <w:r w:rsidR="00880D20" w:rsidRPr="007E468D">
        <w:rPr>
          <w:rFonts w:cstheme="minorHAnsi"/>
        </w:rPr>
        <w:t>bei</w:t>
      </w:r>
      <w:r w:rsidR="001E7E83" w:rsidRPr="007E468D">
        <w:rPr>
          <w:rFonts w:cstheme="minorHAnsi"/>
        </w:rPr>
        <w:t xml:space="preserve"> pasiūlius sumą</w:t>
      </w:r>
      <w:r w:rsidR="002D7F9D">
        <w:rPr>
          <w:rFonts w:cstheme="minorHAnsi"/>
        </w:rPr>
        <w:t xml:space="preserve"> </w:t>
      </w:r>
      <w:r w:rsidR="00ED4586" w:rsidRPr="007E468D">
        <w:rPr>
          <w:rFonts w:cstheme="minorHAnsi"/>
        </w:rPr>
        <w:t xml:space="preserve">tarpe tarp nurodytos, bus skaičiuojama kaip </w:t>
      </w:r>
      <w:r w:rsidR="00C318B1" w:rsidRPr="007E468D">
        <w:rPr>
          <w:rFonts w:cstheme="minorHAnsi"/>
        </w:rPr>
        <w:t>pasiūlyta sumos žemutinė vertė</w:t>
      </w:r>
      <w:r w:rsidR="00403180">
        <w:rPr>
          <w:rFonts w:cstheme="minorHAnsi"/>
        </w:rPr>
        <w:t>.</w:t>
      </w:r>
      <w:r w:rsidR="00C318B1" w:rsidRPr="007E468D">
        <w:rPr>
          <w:rFonts w:cstheme="minorHAnsi"/>
        </w:rPr>
        <w:t xml:space="preserve"> </w:t>
      </w:r>
      <w:r w:rsidR="00403180">
        <w:rPr>
          <w:rFonts w:cstheme="minorHAnsi"/>
        </w:rPr>
        <w:t>Pvz.:</w:t>
      </w:r>
      <w:r w:rsidR="00C318B1" w:rsidRPr="007E468D">
        <w:rPr>
          <w:rFonts w:cstheme="minorHAnsi"/>
        </w:rPr>
        <w:t xml:space="preserve"> Tiekėjui pasiūlius 9</w:t>
      </w:r>
      <w:r w:rsidR="00A50FA2">
        <w:rPr>
          <w:rFonts w:cstheme="minorHAnsi"/>
        </w:rPr>
        <w:t>5</w:t>
      </w:r>
      <w:r w:rsidR="00C318B1" w:rsidRPr="007E468D">
        <w:rPr>
          <w:rFonts w:cstheme="minorHAnsi"/>
        </w:rPr>
        <w:t xml:space="preserve"> procentų kompensavimą ir </w:t>
      </w:r>
      <w:r w:rsidR="00642AF5">
        <w:rPr>
          <w:rFonts w:cstheme="minorHAnsi"/>
        </w:rPr>
        <w:t>21</w:t>
      </w:r>
      <w:r w:rsidR="003C69F4" w:rsidRPr="007E468D">
        <w:rPr>
          <w:rFonts w:cstheme="minorHAnsi"/>
        </w:rPr>
        <w:t>7</w:t>
      </w:r>
      <w:r w:rsidR="008E34B1" w:rsidRPr="007E468D">
        <w:rPr>
          <w:rFonts w:cstheme="minorHAnsi"/>
        </w:rPr>
        <w:t xml:space="preserve"> EUR sumą, bus skiriam</w:t>
      </w:r>
      <w:r w:rsidR="00F32529">
        <w:rPr>
          <w:rFonts w:cstheme="minorHAnsi"/>
        </w:rPr>
        <w:t>a 11</w:t>
      </w:r>
      <w:r w:rsidR="008E34B1" w:rsidRPr="007E468D">
        <w:rPr>
          <w:rFonts w:cstheme="minorHAnsi"/>
        </w:rPr>
        <w:t xml:space="preserve"> bal</w:t>
      </w:r>
      <w:r w:rsidR="00F32529">
        <w:rPr>
          <w:rFonts w:cstheme="minorHAnsi"/>
        </w:rPr>
        <w:t xml:space="preserve">ų, </w:t>
      </w:r>
      <w:r w:rsidR="00403180">
        <w:rPr>
          <w:rFonts w:cstheme="minorHAnsi"/>
        </w:rPr>
        <w:t>t.y.</w:t>
      </w:r>
      <w:r w:rsidR="008E34B1" w:rsidRPr="007E468D">
        <w:rPr>
          <w:rFonts w:cstheme="minorHAnsi"/>
        </w:rPr>
        <w:t xml:space="preserve"> </w:t>
      </w:r>
      <w:r w:rsidR="00403180">
        <w:rPr>
          <w:rFonts w:cstheme="minorHAnsi"/>
        </w:rPr>
        <w:t>5</w:t>
      </w:r>
      <w:r w:rsidR="00403180" w:rsidRPr="007E468D">
        <w:rPr>
          <w:rFonts w:cstheme="minorHAnsi"/>
        </w:rPr>
        <w:t xml:space="preserve"> balai</w:t>
      </w:r>
      <w:r w:rsidR="00403180">
        <w:rPr>
          <w:rFonts w:cstheme="minorHAnsi"/>
        </w:rPr>
        <w:t xml:space="preserve"> pagal </w:t>
      </w:r>
      <w:r w:rsidR="00E935AD">
        <w:rPr>
          <w:rFonts w:cstheme="minorHAnsi"/>
        </w:rPr>
        <w:t xml:space="preserve">2 </w:t>
      </w:r>
      <w:r w:rsidR="008E34B1" w:rsidRPr="007E468D">
        <w:rPr>
          <w:rFonts w:cstheme="minorHAnsi"/>
        </w:rPr>
        <w:t xml:space="preserve">lentelės </w:t>
      </w:r>
      <w:r w:rsidR="00E935AD">
        <w:rPr>
          <w:rFonts w:cstheme="minorHAnsi"/>
        </w:rPr>
        <w:t>2 eilutę</w:t>
      </w:r>
      <w:r w:rsidR="008E34B1" w:rsidRPr="007E468D">
        <w:rPr>
          <w:rFonts w:cstheme="minorHAnsi"/>
        </w:rPr>
        <w:t xml:space="preserve"> </w:t>
      </w:r>
      <w:r w:rsidR="00E935AD">
        <w:rPr>
          <w:rFonts w:cstheme="minorHAnsi"/>
        </w:rPr>
        <w:t xml:space="preserve">ir </w:t>
      </w:r>
      <w:r w:rsidR="00403180">
        <w:rPr>
          <w:rFonts w:cstheme="minorHAnsi"/>
        </w:rPr>
        <w:t xml:space="preserve">pridedant 6 balus pagal </w:t>
      </w:r>
      <w:r w:rsidR="00642AF5">
        <w:rPr>
          <w:rFonts w:cstheme="minorHAnsi"/>
        </w:rPr>
        <w:t>3 lentelės 3 eilutę</w:t>
      </w:r>
      <w:r w:rsidR="00DE1109" w:rsidRPr="007E468D">
        <w:rPr>
          <w:rFonts w:cstheme="minorHAnsi"/>
        </w:rPr>
        <w:t>.</w:t>
      </w:r>
    </w:p>
    <w:p w14:paraId="0A903857" w14:textId="77777777" w:rsidR="00CA1AF2" w:rsidRDefault="00CA1AF2" w:rsidP="00403180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theme="minorHAnsi"/>
        </w:rPr>
      </w:pPr>
    </w:p>
    <w:p w14:paraId="6310479B" w14:textId="5D9C9543" w:rsidR="00CA1AF2" w:rsidRPr="00A566D9" w:rsidRDefault="00CA1AF2" w:rsidP="00CA1AF2">
      <w:pPr>
        <w:pStyle w:val="ListParagraph"/>
        <w:numPr>
          <w:ilvl w:val="1"/>
          <w:numId w:val="10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jc w:val="both"/>
        <w:rPr>
          <w:rFonts w:eastAsia="Times New Roman" w:cstheme="minorHAnsi"/>
          <w:bCs/>
          <w:lang w:eastAsia="en-US"/>
        </w:rPr>
      </w:pPr>
      <w:r w:rsidRPr="00A566D9">
        <w:rPr>
          <w:rFonts w:eastAsia="Times New Roman" w:cstheme="minorHAnsi"/>
          <w:bCs/>
          <w:lang w:eastAsia="en-US"/>
        </w:rPr>
        <w:t xml:space="preserve">Kriterijaus – </w:t>
      </w:r>
      <w:r w:rsidRPr="00A566D9">
        <w:rPr>
          <w:rFonts w:eastAsia="Times New Roman" w:cstheme="minorHAnsi"/>
          <w:b/>
          <w:lang w:eastAsia="en-US"/>
        </w:rPr>
        <w:t>Kompensavimo dydis procentais ir suma</w:t>
      </w:r>
      <w:r w:rsidRPr="00A566D9">
        <w:rPr>
          <w:rFonts w:eastAsia="Times New Roman" w:cstheme="minorHAnsi"/>
          <w:bCs/>
          <w:lang w:eastAsia="en-US"/>
        </w:rPr>
        <w:t xml:space="preserve"> </w:t>
      </w:r>
      <w:r w:rsidRPr="00A566D9">
        <w:rPr>
          <w:rFonts w:eastAsia="Times New Roman" w:cstheme="minorHAnsi"/>
          <w:b/>
          <w:lang w:eastAsia="en-US"/>
        </w:rPr>
        <w:t xml:space="preserve">EUR </w:t>
      </w:r>
      <w:r w:rsidRPr="00A566D9">
        <w:rPr>
          <w:rFonts w:eastAsia="Times New Roman" w:cstheme="minorHAnsi"/>
          <w:bCs/>
          <w:lang w:eastAsia="en-US"/>
        </w:rPr>
        <w:t>(K</w:t>
      </w:r>
      <w:r>
        <w:rPr>
          <w:rFonts w:eastAsia="Times New Roman" w:cstheme="minorHAnsi"/>
          <w:bCs/>
          <w:lang w:eastAsia="en-US"/>
        </w:rPr>
        <w:t>3</w:t>
      </w:r>
      <w:r w:rsidRPr="00A566D9">
        <w:rPr>
          <w:rFonts w:eastAsia="Times New Roman" w:cstheme="minorHAnsi"/>
          <w:bCs/>
          <w:lang w:eastAsia="en-US"/>
        </w:rPr>
        <w:t>) balas</w:t>
      </w:r>
      <w:r>
        <w:rPr>
          <w:rFonts w:eastAsia="Times New Roman" w:cstheme="minorHAnsi"/>
          <w:bCs/>
          <w:lang w:eastAsia="en-US"/>
        </w:rPr>
        <w:t xml:space="preserve"> </w:t>
      </w:r>
      <w:r w:rsidRPr="00A566D9">
        <w:rPr>
          <w:rFonts w:eastAsia="Times New Roman" w:cstheme="minorHAnsi"/>
          <w:bCs/>
          <w:lang w:eastAsia="en-US"/>
        </w:rPr>
        <w:t>skiria</w:t>
      </w:r>
      <w:r>
        <w:rPr>
          <w:rFonts w:eastAsia="Times New Roman" w:cstheme="minorHAnsi"/>
          <w:bCs/>
          <w:lang w:eastAsia="en-US"/>
        </w:rPr>
        <w:t>mas</w:t>
      </w:r>
      <w:r w:rsidRPr="00A566D9">
        <w:rPr>
          <w:rFonts w:eastAsia="Times New Roman" w:cstheme="minorHAnsi"/>
          <w:bCs/>
          <w:lang w:eastAsia="en-US"/>
        </w:rPr>
        <w:t xml:space="preserve"> tiesiogini</w:t>
      </w:r>
      <w:r w:rsidR="00871C16">
        <w:rPr>
          <w:rFonts w:eastAsia="Times New Roman" w:cstheme="minorHAnsi"/>
          <w:bCs/>
          <w:lang w:eastAsia="en-US"/>
        </w:rPr>
        <w:t>ai</w:t>
      </w:r>
    </w:p>
    <w:p w14:paraId="50C9A6C9" w14:textId="77777777" w:rsidR="00CA1AF2" w:rsidRPr="007E468D" w:rsidRDefault="00CA1AF2" w:rsidP="00403180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theme="minorHAnsi"/>
        </w:rPr>
      </w:pPr>
    </w:p>
    <w:p w14:paraId="67AC1C63" w14:textId="1D23F301" w:rsidR="007A1E14" w:rsidRPr="007E468D" w:rsidRDefault="007A1E14" w:rsidP="007A1E14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i/>
          <w:iCs/>
        </w:rPr>
        <w:t>4</w:t>
      </w:r>
      <w:r w:rsidRPr="007E468D">
        <w:rPr>
          <w:rFonts w:cstheme="minorHAnsi"/>
          <w:i/>
          <w:iCs/>
        </w:rPr>
        <w:t xml:space="preserve"> lentelė. Kompensavimo dydžiai </w:t>
      </w:r>
      <w:r>
        <w:rPr>
          <w:rFonts w:cstheme="minorHAnsi"/>
          <w:i/>
          <w:iCs/>
        </w:rPr>
        <w:t>ir suma EUR</w:t>
      </w:r>
      <w:r w:rsidRPr="007E468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bei</w:t>
      </w:r>
      <w:r w:rsidRPr="007E468D">
        <w:rPr>
          <w:rFonts w:cstheme="minorHAnsi"/>
          <w:i/>
          <w:iCs/>
        </w:rPr>
        <w:t xml:space="preserve"> skiriami balai</w:t>
      </w:r>
    </w:p>
    <w:tbl>
      <w:tblPr>
        <w:tblStyle w:val="TableGrid"/>
        <w:tblW w:w="9780" w:type="dxa"/>
        <w:tblInd w:w="421" w:type="dxa"/>
        <w:tblLook w:val="04A0" w:firstRow="1" w:lastRow="0" w:firstColumn="1" w:lastColumn="0" w:noHBand="0" w:noVBand="1"/>
      </w:tblPr>
      <w:tblGrid>
        <w:gridCol w:w="850"/>
        <w:gridCol w:w="3260"/>
        <w:gridCol w:w="2835"/>
        <w:gridCol w:w="2835"/>
      </w:tblGrid>
      <w:tr w:rsidR="007A1E14" w:rsidRPr="007E468D" w14:paraId="5376D1A0" w14:textId="77777777" w:rsidTr="0083080E">
        <w:tc>
          <w:tcPr>
            <w:tcW w:w="850" w:type="dxa"/>
          </w:tcPr>
          <w:p w14:paraId="1B740571" w14:textId="77777777" w:rsidR="007A1E14" w:rsidRPr="007E468D" w:rsidRDefault="007A1E14" w:rsidP="007A1E14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260" w:type="dxa"/>
          </w:tcPr>
          <w:p w14:paraId="4D017E04" w14:textId="25951175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7E468D">
              <w:rPr>
                <w:rFonts w:asciiTheme="minorHAnsi" w:hAnsiTheme="minorHAnsi" w:cstheme="minorHAnsi"/>
                <w:b/>
                <w:sz w:val="22"/>
                <w:szCs w:val="22"/>
              </w:rPr>
              <w:t>Kompensavimo dydis procentais III variantui</w:t>
            </w:r>
          </w:p>
        </w:tc>
        <w:tc>
          <w:tcPr>
            <w:tcW w:w="2835" w:type="dxa"/>
          </w:tcPr>
          <w:p w14:paraId="67EB0875" w14:textId="39349A04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68D">
              <w:rPr>
                <w:rFonts w:asciiTheme="minorHAnsi" w:hAnsiTheme="minorHAnsi" w:cstheme="minorHAnsi"/>
                <w:b/>
                <w:sz w:val="22"/>
                <w:szCs w:val="22"/>
              </w:rPr>
              <w:t>Suma EUR</w:t>
            </w:r>
            <w:r w:rsidR="0083080E" w:rsidRPr="007E46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III variantui</w:t>
            </w:r>
          </w:p>
        </w:tc>
        <w:tc>
          <w:tcPr>
            <w:tcW w:w="2835" w:type="dxa"/>
          </w:tcPr>
          <w:p w14:paraId="017DD591" w14:textId="77777777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Skiriamas balas</w:t>
            </w:r>
          </w:p>
        </w:tc>
      </w:tr>
      <w:tr w:rsidR="007A1E14" w:rsidRPr="007E468D" w14:paraId="63C6EF0B" w14:textId="77777777" w:rsidTr="0083080E">
        <w:tc>
          <w:tcPr>
            <w:tcW w:w="850" w:type="dxa"/>
            <w:vAlign w:val="center"/>
          </w:tcPr>
          <w:p w14:paraId="1054B894" w14:textId="77777777" w:rsidR="007A1E14" w:rsidRPr="007E468D" w:rsidRDefault="007A1E14" w:rsidP="007A1E14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  <w:tab w:val="left" w:pos="851"/>
                <w:tab w:val="left" w:pos="99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1D39AF5A" w14:textId="0545F815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</w:tcPr>
          <w:p w14:paraId="5CD0F104" w14:textId="55B85B64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vAlign w:val="center"/>
          </w:tcPr>
          <w:p w14:paraId="74DD2AFC" w14:textId="21B218C9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7A1E14" w:rsidRPr="007E468D" w14:paraId="5C4C171A" w14:textId="77777777" w:rsidTr="0083080E">
        <w:tc>
          <w:tcPr>
            <w:tcW w:w="850" w:type="dxa"/>
            <w:vAlign w:val="center"/>
          </w:tcPr>
          <w:p w14:paraId="61CD6F9B" w14:textId="77777777" w:rsidR="007A1E14" w:rsidRPr="007E468D" w:rsidRDefault="007A1E14" w:rsidP="007A1E14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  <w:tab w:val="left" w:pos="851"/>
                <w:tab w:val="left" w:pos="99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13F7BC1" w14:textId="45E3930E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</w:tcPr>
          <w:p w14:paraId="292E49B6" w14:textId="6147EAD1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2835" w:type="dxa"/>
            <w:vAlign w:val="center"/>
          </w:tcPr>
          <w:p w14:paraId="68C157A4" w14:textId="486D9429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7A1E14" w:rsidRPr="007E468D" w14:paraId="6639F79D" w14:textId="77777777" w:rsidTr="0083080E">
        <w:tc>
          <w:tcPr>
            <w:tcW w:w="850" w:type="dxa"/>
            <w:vAlign w:val="center"/>
          </w:tcPr>
          <w:p w14:paraId="6E1F2931" w14:textId="77777777" w:rsidR="007A1E14" w:rsidRPr="007E468D" w:rsidRDefault="007A1E14" w:rsidP="007A1E14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  <w:tab w:val="left" w:pos="851"/>
                <w:tab w:val="left" w:pos="99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C7C3A75" w14:textId="30BB8A7C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</w:tcPr>
          <w:p w14:paraId="6976449B" w14:textId="168A11B1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2835" w:type="dxa"/>
            <w:vAlign w:val="center"/>
          </w:tcPr>
          <w:p w14:paraId="6FD1FF3F" w14:textId="2ED9CB20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7A1E14" w:rsidRPr="007E468D" w14:paraId="3558F938" w14:textId="77777777" w:rsidTr="0083080E">
        <w:tc>
          <w:tcPr>
            <w:tcW w:w="850" w:type="dxa"/>
            <w:vAlign w:val="center"/>
          </w:tcPr>
          <w:p w14:paraId="58DD393F" w14:textId="77777777" w:rsidR="007A1E14" w:rsidRPr="007E468D" w:rsidRDefault="007A1E14" w:rsidP="007A1E14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  <w:tab w:val="left" w:pos="851"/>
                <w:tab w:val="left" w:pos="99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9E9FF5A" w14:textId="26D63421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</w:tcPr>
          <w:p w14:paraId="0FFD7B3D" w14:textId="329769A7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2835" w:type="dxa"/>
            <w:vAlign w:val="center"/>
          </w:tcPr>
          <w:p w14:paraId="56C09675" w14:textId="2E26CD74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15</w:t>
            </w:r>
          </w:p>
        </w:tc>
      </w:tr>
      <w:tr w:rsidR="007A1E14" w:rsidRPr="007E468D" w14:paraId="3DD30B6A" w14:textId="77777777" w:rsidTr="0083080E">
        <w:tc>
          <w:tcPr>
            <w:tcW w:w="850" w:type="dxa"/>
            <w:vAlign w:val="center"/>
          </w:tcPr>
          <w:p w14:paraId="315DB6B5" w14:textId="77777777" w:rsidR="007A1E14" w:rsidRPr="007E468D" w:rsidRDefault="007A1E14" w:rsidP="007A1E14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  <w:tab w:val="left" w:pos="851"/>
                <w:tab w:val="left" w:pos="99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336FDAA" w14:textId="5FF147B7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</w:tcPr>
          <w:p w14:paraId="17F349E9" w14:textId="77EFE585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2835" w:type="dxa"/>
            <w:vAlign w:val="center"/>
          </w:tcPr>
          <w:p w14:paraId="7FBE2D0B" w14:textId="69B45A35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7A1E14" w:rsidRPr="007E468D" w14:paraId="1B23F3B6" w14:textId="77777777" w:rsidTr="0083080E">
        <w:tc>
          <w:tcPr>
            <w:tcW w:w="850" w:type="dxa"/>
            <w:vAlign w:val="center"/>
          </w:tcPr>
          <w:p w14:paraId="6469A444" w14:textId="77777777" w:rsidR="007A1E14" w:rsidRPr="007E468D" w:rsidRDefault="007A1E14" w:rsidP="007A1E14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  <w:tab w:val="left" w:pos="851"/>
                <w:tab w:val="left" w:pos="99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43CFBED6" w14:textId="6E956238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</w:tcPr>
          <w:p w14:paraId="40037FB5" w14:textId="3BCF6218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250 ir daugiau</w:t>
            </w:r>
          </w:p>
        </w:tc>
        <w:tc>
          <w:tcPr>
            <w:tcW w:w="2835" w:type="dxa"/>
            <w:vAlign w:val="center"/>
          </w:tcPr>
          <w:p w14:paraId="0525EDE4" w14:textId="4D0254D9" w:rsidR="007A1E14" w:rsidRPr="007E468D" w:rsidRDefault="007A1E14" w:rsidP="009131CB">
            <w:pPr>
              <w:tabs>
                <w:tab w:val="left" w:pos="851"/>
                <w:tab w:val="left" w:pos="993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E468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25</w:t>
            </w:r>
          </w:p>
        </w:tc>
      </w:tr>
    </w:tbl>
    <w:p w14:paraId="14D82948" w14:textId="77777777" w:rsidR="00DA526F" w:rsidRDefault="00DA526F" w:rsidP="003F5772">
      <w:pPr>
        <w:pStyle w:val="ListParagraph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cstheme="minorHAnsi"/>
        </w:rPr>
      </w:pPr>
    </w:p>
    <w:p w14:paraId="681B1A4C" w14:textId="5C93404F" w:rsidR="006D2546" w:rsidRDefault="006D2546" w:rsidP="006D2546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theme="minorHAnsi"/>
        </w:rPr>
      </w:pPr>
      <w:r w:rsidRPr="007E468D">
        <w:rPr>
          <w:rFonts w:cstheme="minorHAnsi"/>
        </w:rPr>
        <w:t>Pastaba. Tiekėjui sumą</w:t>
      </w:r>
      <w:r w:rsidR="002D7F9D">
        <w:rPr>
          <w:rFonts w:cstheme="minorHAnsi"/>
        </w:rPr>
        <w:t xml:space="preserve"> </w:t>
      </w:r>
      <w:r w:rsidRPr="007E468D">
        <w:rPr>
          <w:rFonts w:cstheme="minorHAnsi"/>
        </w:rPr>
        <w:t>tarpe tarp nurodytos, bus skaičiuojama kaip pasiūlyta sumos žemutinė vertė</w:t>
      </w:r>
      <w:r>
        <w:rPr>
          <w:rFonts w:cstheme="minorHAnsi"/>
        </w:rPr>
        <w:t>.</w:t>
      </w:r>
      <w:r w:rsidRPr="007E468D">
        <w:rPr>
          <w:rFonts w:cstheme="minorHAnsi"/>
        </w:rPr>
        <w:t xml:space="preserve"> </w:t>
      </w:r>
      <w:r>
        <w:rPr>
          <w:rFonts w:cstheme="minorHAnsi"/>
        </w:rPr>
        <w:t>Pvz.:</w:t>
      </w:r>
      <w:r w:rsidRPr="007E468D">
        <w:rPr>
          <w:rFonts w:cstheme="minorHAnsi"/>
        </w:rPr>
        <w:t xml:space="preserve"> Tiekėjui pasiūlius </w:t>
      </w:r>
      <w:r w:rsidR="002D7F9D">
        <w:rPr>
          <w:rFonts w:cstheme="minorHAnsi"/>
        </w:rPr>
        <w:t>1</w:t>
      </w:r>
      <w:r w:rsidR="00260666">
        <w:rPr>
          <w:rFonts w:cstheme="minorHAnsi"/>
        </w:rPr>
        <w:t xml:space="preserve">45 </w:t>
      </w:r>
      <w:r w:rsidRPr="007E468D">
        <w:rPr>
          <w:rFonts w:cstheme="minorHAnsi"/>
        </w:rPr>
        <w:t>EUR sumą, bus skiriam</w:t>
      </w:r>
      <w:r w:rsidR="00260666">
        <w:rPr>
          <w:rFonts w:cstheme="minorHAnsi"/>
        </w:rPr>
        <w:t>i 5 balai</w:t>
      </w:r>
      <w:r>
        <w:rPr>
          <w:rFonts w:cstheme="minorHAnsi"/>
        </w:rPr>
        <w:t xml:space="preserve"> pagal </w:t>
      </w:r>
      <w:r w:rsidR="00260666">
        <w:rPr>
          <w:rFonts w:cstheme="minorHAnsi"/>
        </w:rPr>
        <w:t>4</w:t>
      </w:r>
      <w:r>
        <w:rPr>
          <w:rFonts w:cstheme="minorHAnsi"/>
        </w:rPr>
        <w:t xml:space="preserve"> </w:t>
      </w:r>
      <w:r w:rsidRPr="007E468D">
        <w:rPr>
          <w:rFonts w:cstheme="minorHAnsi"/>
        </w:rPr>
        <w:t xml:space="preserve">lentelės </w:t>
      </w:r>
      <w:r>
        <w:rPr>
          <w:rFonts w:cstheme="minorHAnsi"/>
        </w:rPr>
        <w:t>2 eilutę</w:t>
      </w:r>
      <w:r w:rsidRPr="007E468D">
        <w:rPr>
          <w:rFonts w:cstheme="minorHAnsi"/>
        </w:rPr>
        <w:t>.</w:t>
      </w:r>
    </w:p>
    <w:p w14:paraId="055D51E3" w14:textId="77777777" w:rsidR="006D2546" w:rsidRPr="007E468D" w:rsidRDefault="006D2546" w:rsidP="003F5772">
      <w:pPr>
        <w:pStyle w:val="ListParagraph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cstheme="minorHAnsi"/>
        </w:rPr>
      </w:pPr>
    </w:p>
    <w:p w14:paraId="29275B7D" w14:textId="63E6FEFD" w:rsidR="00361874" w:rsidRPr="007E468D" w:rsidRDefault="00361874" w:rsidP="00506B5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theme="minorHAnsi"/>
        </w:rPr>
      </w:pPr>
      <w:r w:rsidRPr="007E468D">
        <w:rPr>
          <w:rFonts w:cstheme="minorHAnsi"/>
        </w:rPr>
        <w:t>Tais atvejais, kai kelių dalyvių pasiūlymų ekonominis naudingumas yra vienodas, nustatant pasiūlymų eilę, pirmesnis į šią eilę įrašomas dalyvis, kurio</w:t>
      </w:r>
      <w:r w:rsidR="00586A63" w:rsidRPr="007E468D">
        <w:rPr>
          <w:rFonts w:cstheme="minorHAnsi"/>
        </w:rPr>
        <w:t xml:space="preserve"> </w:t>
      </w:r>
      <w:r w:rsidRPr="007E468D">
        <w:rPr>
          <w:rFonts w:cstheme="minorHAnsi"/>
        </w:rPr>
        <w:t>pasiūlymas pateiktas anksčiausiai.</w:t>
      </w:r>
    </w:p>
    <w:p w14:paraId="64ACABFF" w14:textId="77777777" w:rsidR="00361874" w:rsidRPr="007E468D" w:rsidRDefault="00361874" w:rsidP="00506B58">
      <w:pPr>
        <w:suppressAutoHyphens/>
        <w:spacing w:after="0" w:line="240" w:lineRule="auto"/>
        <w:jc w:val="both"/>
        <w:rPr>
          <w:rFonts w:eastAsia="Times New Roman" w:cstheme="minorHAnsi"/>
          <w:lang w:eastAsia="en-US"/>
        </w:rPr>
      </w:pPr>
    </w:p>
    <w:p w14:paraId="2FBAECA2" w14:textId="049F42B4" w:rsidR="00E9054D" w:rsidRPr="007E468D" w:rsidRDefault="00C35BF9" w:rsidP="00506B58">
      <w:pPr>
        <w:pStyle w:val="ListParagraph"/>
        <w:spacing w:after="0" w:line="240" w:lineRule="auto"/>
        <w:ind w:left="567"/>
        <w:jc w:val="center"/>
        <w:rPr>
          <w:rFonts w:cstheme="minorHAnsi"/>
        </w:rPr>
      </w:pPr>
      <w:r w:rsidRPr="007E468D">
        <w:rPr>
          <w:rFonts w:cstheme="minorHAnsi"/>
        </w:rPr>
        <w:t>______________</w:t>
      </w:r>
    </w:p>
    <w:sectPr w:rsidR="00E9054D" w:rsidRPr="007E468D" w:rsidSect="0070124A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3171"/>
    <w:multiLevelType w:val="hybridMultilevel"/>
    <w:tmpl w:val="E0B04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5D8B"/>
    <w:multiLevelType w:val="hybridMultilevel"/>
    <w:tmpl w:val="35160682"/>
    <w:lvl w:ilvl="0" w:tplc="07E8C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557292"/>
    <w:multiLevelType w:val="hybridMultilevel"/>
    <w:tmpl w:val="4FC0CDF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497"/>
    <w:multiLevelType w:val="hybridMultilevel"/>
    <w:tmpl w:val="05CE2EC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6462B"/>
    <w:multiLevelType w:val="hybridMultilevel"/>
    <w:tmpl w:val="23D61BB2"/>
    <w:lvl w:ilvl="0" w:tplc="DF38195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D72F1"/>
    <w:multiLevelType w:val="hybridMultilevel"/>
    <w:tmpl w:val="D25CB6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F4312"/>
    <w:multiLevelType w:val="hybridMultilevel"/>
    <w:tmpl w:val="564ACB9E"/>
    <w:lvl w:ilvl="0" w:tplc="855CBCB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206E68"/>
    <w:multiLevelType w:val="hybridMultilevel"/>
    <w:tmpl w:val="4FC0CD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8534E"/>
    <w:multiLevelType w:val="hybridMultilevel"/>
    <w:tmpl w:val="4FC0CD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97C41"/>
    <w:multiLevelType w:val="hybridMultilevel"/>
    <w:tmpl w:val="4FC0CD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D6AB2"/>
    <w:multiLevelType w:val="multilevel"/>
    <w:tmpl w:val="1024B9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6001614">
    <w:abstractNumId w:val="4"/>
  </w:num>
  <w:num w:numId="2" w16cid:durableId="1828085602">
    <w:abstractNumId w:val="1"/>
  </w:num>
  <w:num w:numId="3" w16cid:durableId="1681807477">
    <w:abstractNumId w:val="5"/>
  </w:num>
  <w:num w:numId="4" w16cid:durableId="1867520514">
    <w:abstractNumId w:val="6"/>
  </w:num>
  <w:num w:numId="5" w16cid:durableId="1501389354">
    <w:abstractNumId w:val="0"/>
  </w:num>
  <w:num w:numId="6" w16cid:durableId="205487934">
    <w:abstractNumId w:val="2"/>
  </w:num>
  <w:num w:numId="7" w16cid:durableId="91902538">
    <w:abstractNumId w:val="7"/>
  </w:num>
  <w:num w:numId="8" w16cid:durableId="701049987">
    <w:abstractNumId w:val="8"/>
  </w:num>
  <w:num w:numId="9" w16cid:durableId="427122373">
    <w:abstractNumId w:val="9"/>
  </w:num>
  <w:num w:numId="10" w16cid:durableId="598610498">
    <w:abstractNumId w:val="10"/>
  </w:num>
  <w:num w:numId="11" w16cid:durableId="1615746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74"/>
    <w:rsid w:val="00001754"/>
    <w:rsid w:val="00022461"/>
    <w:rsid w:val="00036142"/>
    <w:rsid w:val="0004425E"/>
    <w:rsid w:val="00050BBF"/>
    <w:rsid w:val="00063962"/>
    <w:rsid w:val="000666BA"/>
    <w:rsid w:val="00083900"/>
    <w:rsid w:val="000907AE"/>
    <w:rsid w:val="000B0CE7"/>
    <w:rsid w:val="000C20D7"/>
    <w:rsid w:val="000D6D21"/>
    <w:rsid w:val="000F1BC6"/>
    <w:rsid w:val="001110B9"/>
    <w:rsid w:val="00124588"/>
    <w:rsid w:val="001251F0"/>
    <w:rsid w:val="00126E98"/>
    <w:rsid w:val="00130ED1"/>
    <w:rsid w:val="00136D13"/>
    <w:rsid w:val="00142EEC"/>
    <w:rsid w:val="00143294"/>
    <w:rsid w:val="001469DA"/>
    <w:rsid w:val="00167E4E"/>
    <w:rsid w:val="0018677A"/>
    <w:rsid w:val="001A3409"/>
    <w:rsid w:val="001B0FE0"/>
    <w:rsid w:val="001C2635"/>
    <w:rsid w:val="001D211D"/>
    <w:rsid w:val="001E27D0"/>
    <w:rsid w:val="001E7E83"/>
    <w:rsid w:val="001F37DD"/>
    <w:rsid w:val="0020067A"/>
    <w:rsid w:val="00220F8E"/>
    <w:rsid w:val="00223DFF"/>
    <w:rsid w:val="00233A53"/>
    <w:rsid w:val="002405C7"/>
    <w:rsid w:val="0025072F"/>
    <w:rsid w:val="0025524D"/>
    <w:rsid w:val="00260666"/>
    <w:rsid w:val="0026402E"/>
    <w:rsid w:val="00277118"/>
    <w:rsid w:val="00281E51"/>
    <w:rsid w:val="002A186B"/>
    <w:rsid w:val="002A6D2B"/>
    <w:rsid w:val="002D10AD"/>
    <w:rsid w:val="002D7F9D"/>
    <w:rsid w:val="002E7761"/>
    <w:rsid w:val="002F0B7F"/>
    <w:rsid w:val="002F7D70"/>
    <w:rsid w:val="0031471B"/>
    <w:rsid w:val="00332608"/>
    <w:rsid w:val="003533D8"/>
    <w:rsid w:val="00361874"/>
    <w:rsid w:val="00363B2A"/>
    <w:rsid w:val="00364A4F"/>
    <w:rsid w:val="003A36E7"/>
    <w:rsid w:val="003B18F1"/>
    <w:rsid w:val="003B46B9"/>
    <w:rsid w:val="003C4A9E"/>
    <w:rsid w:val="003C69F4"/>
    <w:rsid w:val="003E114C"/>
    <w:rsid w:val="003F5772"/>
    <w:rsid w:val="00403180"/>
    <w:rsid w:val="00445EFE"/>
    <w:rsid w:val="0045117E"/>
    <w:rsid w:val="004B37ED"/>
    <w:rsid w:val="004C2B76"/>
    <w:rsid w:val="004E76A4"/>
    <w:rsid w:val="004F3DFD"/>
    <w:rsid w:val="00503191"/>
    <w:rsid w:val="0050356D"/>
    <w:rsid w:val="00506B58"/>
    <w:rsid w:val="005231D1"/>
    <w:rsid w:val="00527EE2"/>
    <w:rsid w:val="00545396"/>
    <w:rsid w:val="0054561C"/>
    <w:rsid w:val="0055348A"/>
    <w:rsid w:val="00560C01"/>
    <w:rsid w:val="00562D8E"/>
    <w:rsid w:val="005641BB"/>
    <w:rsid w:val="0057119E"/>
    <w:rsid w:val="00571E1C"/>
    <w:rsid w:val="00574258"/>
    <w:rsid w:val="0057434C"/>
    <w:rsid w:val="00576DC7"/>
    <w:rsid w:val="00586A63"/>
    <w:rsid w:val="005973D2"/>
    <w:rsid w:val="005A6CEE"/>
    <w:rsid w:val="005C16F1"/>
    <w:rsid w:val="005D7053"/>
    <w:rsid w:val="005F3B50"/>
    <w:rsid w:val="005F7AFB"/>
    <w:rsid w:val="00616640"/>
    <w:rsid w:val="006167B2"/>
    <w:rsid w:val="006407AA"/>
    <w:rsid w:val="00642AF5"/>
    <w:rsid w:val="0064376D"/>
    <w:rsid w:val="00695E95"/>
    <w:rsid w:val="00696A24"/>
    <w:rsid w:val="006A16FB"/>
    <w:rsid w:val="006B234D"/>
    <w:rsid w:val="006D2546"/>
    <w:rsid w:val="006E0629"/>
    <w:rsid w:val="006E0885"/>
    <w:rsid w:val="006E5B99"/>
    <w:rsid w:val="006E5F15"/>
    <w:rsid w:val="0070124A"/>
    <w:rsid w:val="007244DC"/>
    <w:rsid w:val="00727FAB"/>
    <w:rsid w:val="00746145"/>
    <w:rsid w:val="007478F3"/>
    <w:rsid w:val="00766E01"/>
    <w:rsid w:val="00771E0B"/>
    <w:rsid w:val="00783A91"/>
    <w:rsid w:val="007A1284"/>
    <w:rsid w:val="007A1E14"/>
    <w:rsid w:val="007A4057"/>
    <w:rsid w:val="007B270A"/>
    <w:rsid w:val="007E12EC"/>
    <w:rsid w:val="007E468D"/>
    <w:rsid w:val="007E5D42"/>
    <w:rsid w:val="007F6628"/>
    <w:rsid w:val="008050B3"/>
    <w:rsid w:val="00811D39"/>
    <w:rsid w:val="0081313E"/>
    <w:rsid w:val="0081666E"/>
    <w:rsid w:val="00820CE6"/>
    <w:rsid w:val="00822A6C"/>
    <w:rsid w:val="00826325"/>
    <w:rsid w:val="0083080E"/>
    <w:rsid w:val="00830C12"/>
    <w:rsid w:val="0086480E"/>
    <w:rsid w:val="00871C16"/>
    <w:rsid w:val="00880D20"/>
    <w:rsid w:val="00886675"/>
    <w:rsid w:val="008958F4"/>
    <w:rsid w:val="008979B7"/>
    <w:rsid w:val="008B13A7"/>
    <w:rsid w:val="008B7497"/>
    <w:rsid w:val="008C6AC3"/>
    <w:rsid w:val="008E34B1"/>
    <w:rsid w:val="008E7BE3"/>
    <w:rsid w:val="008F0E4F"/>
    <w:rsid w:val="00904714"/>
    <w:rsid w:val="00904B6B"/>
    <w:rsid w:val="00920558"/>
    <w:rsid w:val="00927B8C"/>
    <w:rsid w:val="009373BF"/>
    <w:rsid w:val="0096143D"/>
    <w:rsid w:val="00971E57"/>
    <w:rsid w:val="00975DCE"/>
    <w:rsid w:val="00994ED5"/>
    <w:rsid w:val="009D620E"/>
    <w:rsid w:val="009F08E6"/>
    <w:rsid w:val="009F1E31"/>
    <w:rsid w:val="00A06018"/>
    <w:rsid w:val="00A24201"/>
    <w:rsid w:val="00A35F0B"/>
    <w:rsid w:val="00A50FA2"/>
    <w:rsid w:val="00A5364C"/>
    <w:rsid w:val="00A566D9"/>
    <w:rsid w:val="00A81980"/>
    <w:rsid w:val="00A84C28"/>
    <w:rsid w:val="00A87F73"/>
    <w:rsid w:val="00A95D40"/>
    <w:rsid w:val="00AA0B0D"/>
    <w:rsid w:val="00AD3C98"/>
    <w:rsid w:val="00AD42BA"/>
    <w:rsid w:val="00B006A1"/>
    <w:rsid w:val="00B03902"/>
    <w:rsid w:val="00B12A03"/>
    <w:rsid w:val="00B14EF5"/>
    <w:rsid w:val="00B201A5"/>
    <w:rsid w:val="00B23494"/>
    <w:rsid w:val="00B31E29"/>
    <w:rsid w:val="00B33A9C"/>
    <w:rsid w:val="00B35B29"/>
    <w:rsid w:val="00B533D4"/>
    <w:rsid w:val="00B54B4A"/>
    <w:rsid w:val="00B703D2"/>
    <w:rsid w:val="00B76F06"/>
    <w:rsid w:val="00B8426C"/>
    <w:rsid w:val="00BA0C0A"/>
    <w:rsid w:val="00BA27D5"/>
    <w:rsid w:val="00BA6B83"/>
    <w:rsid w:val="00BB1DD0"/>
    <w:rsid w:val="00BC69F7"/>
    <w:rsid w:val="00BC73C4"/>
    <w:rsid w:val="00C00666"/>
    <w:rsid w:val="00C23BE3"/>
    <w:rsid w:val="00C312F3"/>
    <w:rsid w:val="00C318B1"/>
    <w:rsid w:val="00C35356"/>
    <w:rsid w:val="00C35BF9"/>
    <w:rsid w:val="00C41936"/>
    <w:rsid w:val="00C4421E"/>
    <w:rsid w:val="00C45681"/>
    <w:rsid w:val="00C4641F"/>
    <w:rsid w:val="00C60E40"/>
    <w:rsid w:val="00C627C2"/>
    <w:rsid w:val="00C71B48"/>
    <w:rsid w:val="00C77804"/>
    <w:rsid w:val="00CA1AF2"/>
    <w:rsid w:val="00CB12B8"/>
    <w:rsid w:val="00CC2DBD"/>
    <w:rsid w:val="00CD22D1"/>
    <w:rsid w:val="00D15AA6"/>
    <w:rsid w:val="00D31C7C"/>
    <w:rsid w:val="00D4174A"/>
    <w:rsid w:val="00D517C4"/>
    <w:rsid w:val="00D62302"/>
    <w:rsid w:val="00D63DA5"/>
    <w:rsid w:val="00DA4687"/>
    <w:rsid w:val="00DA526F"/>
    <w:rsid w:val="00DE1109"/>
    <w:rsid w:val="00DF114C"/>
    <w:rsid w:val="00E03632"/>
    <w:rsid w:val="00E31506"/>
    <w:rsid w:val="00E476B5"/>
    <w:rsid w:val="00E9054D"/>
    <w:rsid w:val="00E92774"/>
    <w:rsid w:val="00E935AD"/>
    <w:rsid w:val="00EB0303"/>
    <w:rsid w:val="00ED4586"/>
    <w:rsid w:val="00F05B33"/>
    <w:rsid w:val="00F14F27"/>
    <w:rsid w:val="00F30406"/>
    <w:rsid w:val="00F32529"/>
    <w:rsid w:val="00F50E92"/>
    <w:rsid w:val="00F6032B"/>
    <w:rsid w:val="00F6580E"/>
    <w:rsid w:val="00F86951"/>
    <w:rsid w:val="00FD6CD3"/>
    <w:rsid w:val="00FE1FBC"/>
    <w:rsid w:val="00FF44EE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AFE1"/>
  <w15:chartTrackingRefBased/>
  <w15:docId w15:val="{1527293D-B554-4A4C-93A3-DD9B8803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rECo Standard"/>
    <w:qFormat/>
    <w:rsid w:val="00361874"/>
    <w:pPr>
      <w:spacing w:after="200" w:line="276" w:lineRule="auto"/>
    </w:pPr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6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ES_tekst-punktais,List not in Table,Numbered List,Lentele,Table of contents numbered,Numbered L,List Paragraph Red,Bullet EY,Buletai,List Paragraph21,List Paragraph1,List Paragraph2,lp1,Bullet 1,Use Case List Paragraph,Numbering"/>
    <w:basedOn w:val="Normal"/>
    <w:link w:val="ListParagraphChar"/>
    <w:uiPriority w:val="1"/>
    <w:qFormat/>
    <w:rsid w:val="00361874"/>
    <w:pPr>
      <w:ind w:left="720"/>
      <w:contextualSpacing/>
    </w:pPr>
  </w:style>
  <w:style w:type="character" w:customStyle="1" w:styleId="ListParagraphChar">
    <w:name w:val="List Paragraph Char"/>
    <w:aliases w:val="TES_tekst-punktais Char,List not in Table Char,Numbered List Char,Lentele Char,Table of contents numbered Char,Numbered L Char,List Paragraph Red Char,Bullet EY Char,Buletai Char,List Paragraph21 Char,List Paragraph1 Char,lp1 Char"/>
    <w:basedOn w:val="DefaultParagraphFont"/>
    <w:link w:val="ListParagraph"/>
    <w:uiPriority w:val="1"/>
    <w:qFormat/>
    <w:rsid w:val="00361874"/>
    <w:rPr>
      <w:rFonts w:eastAsiaTheme="minorEastAsia"/>
      <w:lang w:eastAsia="zh-CN"/>
    </w:rPr>
  </w:style>
  <w:style w:type="table" w:styleId="TableGrid">
    <w:name w:val="Table Grid"/>
    <w:basedOn w:val="TableNormal"/>
    <w:uiPriority w:val="39"/>
    <w:rsid w:val="0036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6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D2B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D2B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D2B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lentele">
    <w:name w:val="lentele"/>
    <w:basedOn w:val="Normal"/>
    <w:link w:val="lenteleChar"/>
    <w:qFormat/>
    <w:rsid w:val="00DA4687"/>
    <w:pPr>
      <w:spacing w:before="40" w:after="40" w:line="240" w:lineRule="auto"/>
      <w:ind w:left="144" w:right="14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lenteleChar">
    <w:name w:val="lentele Char"/>
    <w:basedOn w:val="DefaultParagraphFont"/>
    <w:link w:val="lentele"/>
    <w:rsid w:val="00DA4687"/>
    <w:rPr>
      <w:rFonts w:ascii="Times New Roman" w:hAnsi="Times New Roman" w:cs="Times New Roman"/>
      <w:sz w:val="24"/>
      <w:szCs w:val="24"/>
    </w:rPr>
  </w:style>
  <w:style w:type="paragraph" w:customStyle="1" w:styleId="Lentpav">
    <w:name w:val="Lent_pav"/>
    <w:basedOn w:val="Heading2"/>
    <w:link w:val="LentpavChar"/>
    <w:qFormat/>
    <w:rsid w:val="00DA4687"/>
    <w:pPr>
      <w:keepNext w:val="0"/>
      <w:keepLines w:val="0"/>
      <w:spacing w:before="60" w:after="120" w:line="259" w:lineRule="auto"/>
      <w:ind w:left="360"/>
      <w:contextualSpacing/>
      <w:jc w:val="righ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LentpavChar">
    <w:name w:val="Lent_pav Char"/>
    <w:basedOn w:val="Heading2Char"/>
    <w:link w:val="Lentpav"/>
    <w:rsid w:val="00DA4687"/>
    <w:rPr>
      <w:rFonts w:ascii="Times New Roman" w:eastAsiaTheme="majorEastAsia" w:hAnsi="Times New Roman" w:cs="Times New Roman"/>
      <w:i/>
      <w:iCs/>
      <w:color w:val="2F5496" w:themeColor="accent1" w:themeShade="BF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6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Revision">
    <w:name w:val="Revision"/>
    <w:hidden/>
    <w:uiPriority w:val="99"/>
    <w:semiHidden/>
    <w:rsid w:val="004B37ED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8" ma:contentTypeDescription="Kurkite naują dokumentą." ma:contentTypeScope="" ma:versionID="42e61bb06fb350cedd291351136a6111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8df8ce2d055e25fcbd42662060a35532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70876-8B93-4C55-84BA-7574B3702FAD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customXml/itemProps2.xml><?xml version="1.0" encoding="utf-8"?>
<ds:datastoreItem xmlns:ds="http://schemas.openxmlformats.org/officeDocument/2006/customXml" ds:itemID="{16C30205-58DD-4FAF-B921-F4E44A23D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CE070-2CB0-4FD4-A177-CFD6027C6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Kuklierius</dc:creator>
  <cp:keywords/>
  <dc:description/>
  <cp:lastModifiedBy>Mantas Kuzma</cp:lastModifiedBy>
  <cp:revision>2</cp:revision>
  <cp:lastPrinted>2025-03-10T13:17:00Z</cp:lastPrinted>
  <dcterms:created xsi:type="dcterms:W3CDTF">2025-03-25T12:25:00Z</dcterms:created>
  <dcterms:modified xsi:type="dcterms:W3CDTF">2025-03-25T12:25:00Z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</Properties>
</file>