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81A0F" w14:textId="77777777" w:rsidR="00DE0EED" w:rsidRPr="00DE0EED" w:rsidRDefault="00DE0EED" w:rsidP="00DE0EED">
      <w:pPr>
        <w:spacing w:after="0" w:line="240" w:lineRule="auto"/>
        <w:ind w:left="7230"/>
        <w:rPr>
          <w:rFonts w:asciiTheme="minorHAnsi" w:hAnsiTheme="minorHAnsi" w:cstheme="minorHAnsi"/>
          <w:color w:val="4472C4"/>
          <w:sz w:val="24"/>
          <w:szCs w:val="24"/>
        </w:rPr>
      </w:pPr>
      <w:r w:rsidRPr="00DE0EED">
        <w:rPr>
          <w:rFonts w:asciiTheme="minorHAnsi" w:hAnsiTheme="minorHAnsi" w:cstheme="minorHAnsi"/>
          <w:color w:val="4472C4"/>
          <w:sz w:val="24"/>
          <w:szCs w:val="24"/>
        </w:rPr>
        <w:t>Pirkimo sąlygų 1 priedas</w:t>
      </w:r>
    </w:p>
    <w:p w14:paraId="748C84B1" w14:textId="77777777" w:rsidR="00DE0EED" w:rsidRPr="00DE0EED" w:rsidRDefault="00DE0EED" w:rsidP="00DE0EED">
      <w:pPr>
        <w:spacing w:after="0" w:line="240" w:lineRule="auto"/>
        <w:ind w:left="7230"/>
        <w:rPr>
          <w:rFonts w:asciiTheme="minorHAnsi" w:hAnsiTheme="minorHAnsi" w:cstheme="minorHAnsi"/>
          <w:color w:val="4472C4"/>
          <w:sz w:val="24"/>
          <w:szCs w:val="24"/>
        </w:rPr>
      </w:pPr>
      <w:r w:rsidRPr="00DE0EED">
        <w:rPr>
          <w:rFonts w:asciiTheme="minorHAnsi" w:hAnsiTheme="minorHAnsi" w:cstheme="minorHAnsi"/>
          <w:color w:val="4472C4"/>
          <w:sz w:val="24"/>
          <w:szCs w:val="24"/>
        </w:rPr>
        <w:t>„Techninė specifikacija“</w:t>
      </w:r>
    </w:p>
    <w:p w14:paraId="0ADC850F" w14:textId="6B642092" w:rsidR="00DE0EED" w:rsidRDefault="003E1BF3" w:rsidP="00DE0EED">
      <w:pPr>
        <w:spacing w:after="0" w:line="240" w:lineRule="auto"/>
        <w:ind w:left="7230"/>
        <w:rPr>
          <w:rFonts w:asciiTheme="minorHAnsi" w:hAnsiTheme="minorHAnsi" w:cstheme="minorHAnsi"/>
          <w:color w:val="4472C4"/>
          <w:sz w:val="24"/>
          <w:szCs w:val="24"/>
        </w:rPr>
      </w:pPr>
      <w:r>
        <w:rPr>
          <w:rFonts w:asciiTheme="minorHAnsi" w:hAnsiTheme="minorHAnsi" w:cstheme="minorHAnsi"/>
          <w:color w:val="4472C4"/>
          <w:sz w:val="24"/>
          <w:szCs w:val="24"/>
        </w:rPr>
        <w:t>1</w:t>
      </w:r>
      <w:r w:rsidR="00DE0EED" w:rsidRPr="00DE0EED">
        <w:rPr>
          <w:rFonts w:asciiTheme="minorHAnsi" w:hAnsiTheme="minorHAnsi" w:cstheme="minorHAnsi"/>
          <w:color w:val="4472C4"/>
          <w:sz w:val="24"/>
          <w:szCs w:val="24"/>
        </w:rPr>
        <w:t xml:space="preserve"> pirkimo objekto dalis</w:t>
      </w:r>
    </w:p>
    <w:p w14:paraId="39B157D2" w14:textId="77777777" w:rsidR="00DE0EED" w:rsidRDefault="00DE0EED" w:rsidP="00DE0EED">
      <w:pPr>
        <w:spacing w:after="0" w:line="240" w:lineRule="auto"/>
        <w:jc w:val="center"/>
        <w:rPr>
          <w:rFonts w:asciiTheme="minorHAnsi" w:hAnsiTheme="minorHAnsi" w:cstheme="minorHAnsi"/>
          <w:color w:val="4472C4"/>
          <w:sz w:val="24"/>
          <w:szCs w:val="24"/>
        </w:rPr>
      </w:pPr>
    </w:p>
    <w:p w14:paraId="5E3474F7" w14:textId="48E95010" w:rsidR="00BA4CC7" w:rsidRPr="00DE0EED" w:rsidRDefault="00BA4CC7" w:rsidP="00DE0EED">
      <w:pPr>
        <w:spacing w:after="0" w:line="240" w:lineRule="auto"/>
        <w:jc w:val="center"/>
        <w:rPr>
          <w:rFonts w:asciiTheme="minorHAnsi" w:eastAsia="Times New Roman" w:hAnsiTheme="minorHAnsi" w:cstheme="minorHAnsi"/>
          <w:b/>
          <w:sz w:val="24"/>
          <w:szCs w:val="24"/>
          <w:lang w:val="en-GB"/>
        </w:rPr>
      </w:pPr>
      <w:r w:rsidRPr="00DE0EED">
        <w:rPr>
          <w:rFonts w:asciiTheme="minorHAnsi" w:eastAsia="Times New Roman" w:hAnsiTheme="minorHAnsi" w:cstheme="minorHAnsi"/>
          <w:b/>
          <w:sz w:val="24"/>
          <w:szCs w:val="24"/>
          <w:lang w:val="en-GB"/>
        </w:rPr>
        <w:t>TECHNINĖ SPECIFIKACIJA</w:t>
      </w:r>
    </w:p>
    <w:p w14:paraId="1D780C96" w14:textId="77777777" w:rsidR="00BA4CC7" w:rsidRPr="00DE0EED" w:rsidRDefault="00BA4CC7" w:rsidP="00BA4CC7">
      <w:pPr>
        <w:spacing w:after="0" w:line="240" w:lineRule="auto"/>
        <w:jc w:val="center"/>
        <w:rPr>
          <w:rFonts w:asciiTheme="minorHAnsi" w:eastAsia="Times New Roman" w:hAnsiTheme="minorHAnsi" w:cstheme="minorHAnsi"/>
          <w:b/>
          <w:sz w:val="24"/>
          <w:szCs w:val="24"/>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5925"/>
      </w:tblGrid>
      <w:tr w:rsidR="00D61FEA" w:rsidRPr="00D61FEA" w14:paraId="0CA664C9" w14:textId="77777777" w:rsidTr="00F07430">
        <w:trPr>
          <w:trHeight w:val="1021"/>
        </w:trPr>
        <w:tc>
          <w:tcPr>
            <w:tcW w:w="709" w:type="dxa"/>
            <w:vAlign w:val="center"/>
          </w:tcPr>
          <w:p w14:paraId="2B7C67F2" w14:textId="77777777" w:rsidR="00D61FEA" w:rsidRPr="00D61FEA" w:rsidRDefault="00D61FEA" w:rsidP="00F009ED">
            <w:pPr>
              <w:widowControl w:val="0"/>
              <w:autoSpaceDN w:val="0"/>
              <w:spacing w:after="0" w:line="240" w:lineRule="auto"/>
              <w:jc w:val="center"/>
              <w:textAlignment w:val="baseline"/>
              <w:rPr>
                <w:rFonts w:asciiTheme="minorHAnsi" w:eastAsia="Times New Roman" w:hAnsiTheme="minorHAnsi" w:cstheme="minorHAnsi"/>
                <w:b/>
                <w:kern w:val="3"/>
                <w:sz w:val="24"/>
                <w:szCs w:val="24"/>
                <w:lang w:bidi="en-US"/>
              </w:rPr>
            </w:pPr>
            <w:r w:rsidRPr="00D61FEA">
              <w:rPr>
                <w:rFonts w:asciiTheme="minorHAnsi" w:eastAsia="Times New Roman" w:hAnsiTheme="minorHAnsi" w:cstheme="minorHAnsi"/>
                <w:b/>
                <w:kern w:val="3"/>
                <w:sz w:val="24"/>
                <w:szCs w:val="24"/>
                <w:lang w:bidi="en-US"/>
              </w:rPr>
              <w:t>1.</w:t>
            </w:r>
          </w:p>
        </w:tc>
        <w:tc>
          <w:tcPr>
            <w:tcW w:w="2693" w:type="dxa"/>
            <w:vAlign w:val="center"/>
          </w:tcPr>
          <w:p w14:paraId="5EAC80F6" w14:textId="77777777" w:rsidR="00D61FEA" w:rsidRPr="00D61FEA" w:rsidRDefault="00D61FEA" w:rsidP="00F009ED">
            <w:pPr>
              <w:widowControl w:val="0"/>
              <w:autoSpaceDN w:val="0"/>
              <w:spacing w:after="0" w:line="240" w:lineRule="auto"/>
              <w:textAlignment w:val="baseline"/>
              <w:rPr>
                <w:rFonts w:asciiTheme="minorHAnsi" w:eastAsia="Times New Roman" w:hAnsiTheme="minorHAnsi" w:cstheme="minorHAnsi"/>
                <w:b/>
                <w:kern w:val="3"/>
                <w:sz w:val="24"/>
                <w:szCs w:val="24"/>
                <w:lang w:bidi="en-US"/>
              </w:rPr>
            </w:pPr>
            <w:r w:rsidRPr="00D61FEA">
              <w:rPr>
                <w:rFonts w:asciiTheme="minorHAnsi" w:eastAsia="Times New Roman" w:hAnsiTheme="minorHAnsi" w:cstheme="minorHAnsi"/>
                <w:b/>
                <w:kern w:val="3"/>
                <w:sz w:val="24"/>
                <w:szCs w:val="24"/>
                <w:lang w:bidi="en-US"/>
              </w:rPr>
              <w:t xml:space="preserve">Pirkimo objekto pavadinimas: </w:t>
            </w:r>
          </w:p>
        </w:tc>
        <w:tc>
          <w:tcPr>
            <w:tcW w:w="5925" w:type="dxa"/>
            <w:vAlign w:val="center"/>
          </w:tcPr>
          <w:p w14:paraId="1ADC333D" w14:textId="77777777" w:rsidR="00D61FEA" w:rsidRPr="00D61FEA" w:rsidRDefault="00D61FEA" w:rsidP="00F009ED">
            <w:pPr>
              <w:widowControl w:val="0"/>
              <w:autoSpaceDN w:val="0"/>
              <w:spacing w:after="0" w:line="240" w:lineRule="auto"/>
              <w:ind w:left="-108" w:firstLine="136"/>
              <w:textAlignment w:val="baseline"/>
              <w:rPr>
                <w:rFonts w:asciiTheme="minorHAnsi" w:eastAsia="Times New Roman" w:hAnsiTheme="minorHAnsi" w:cstheme="minorHAnsi"/>
                <w:bCs/>
                <w:kern w:val="3"/>
                <w:sz w:val="24"/>
                <w:szCs w:val="24"/>
                <w:lang w:bidi="en-US"/>
              </w:rPr>
            </w:pPr>
            <w:r w:rsidRPr="00D61FEA">
              <w:rPr>
                <w:rFonts w:asciiTheme="minorHAnsi" w:eastAsia="Times New Roman" w:hAnsiTheme="minorHAnsi" w:cstheme="minorHAnsi"/>
                <w:bCs/>
                <w:kern w:val="3"/>
                <w:sz w:val="24"/>
                <w:szCs w:val="24"/>
                <w:lang w:bidi="en-US"/>
              </w:rPr>
              <w:t>Krovininis transportas</w:t>
            </w:r>
          </w:p>
        </w:tc>
      </w:tr>
      <w:tr w:rsidR="00D61FEA" w:rsidRPr="00D61FEA" w14:paraId="7A59434B" w14:textId="77777777" w:rsidTr="00F009ED">
        <w:trPr>
          <w:trHeight w:val="2460"/>
        </w:trPr>
        <w:tc>
          <w:tcPr>
            <w:tcW w:w="709" w:type="dxa"/>
          </w:tcPr>
          <w:p w14:paraId="66751A48" w14:textId="77777777" w:rsidR="00D61FEA" w:rsidRPr="00D61FEA" w:rsidRDefault="00D61FEA" w:rsidP="00F009ED">
            <w:pPr>
              <w:widowControl w:val="0"/>
              <w:autoSpaceDN w:val="0"/>
              <w:spacing w:after="0" w:line="240" w:lineRule="auto"/>
              <w:jc w:val="center"/>
              <w:textAlignment w:val="baseline"/>
              <w:rPr>
                <w:rFonts w:asciiTheme="minorHAnsi" w:eastAsia="Times New Roman" w:hAnsiTheme="minorHAnsi" w:cstheme="minorHAnsi"/>
                <w:b/>
                <w:kern w:val="3"/>
                <w:sz w:val="24"/>
                <w:szCs w:val="24"/>
                <w:lang w:bidi="en-US"/>
              </w:rPr>
            </w:pPr>
            <w:r w:rsidRPr="00D61FEA">
              <w:rPr>
                <w:rFonts w:asciiTheme="minorHAnsi" w:eastAsia="Times New Roman" w:hAnsiTheme="minorHAnsi" w:cstheme="minorHAnsi"/>
                <w:b/>
                <w:kern w:val="3"/>
                <w:sz w:val="24"/>
                <w:szCs w:val="24"/>
                <w:lang w:bidi="en-US"/>
              </w:rPr>
              <w:t>2.</w:t>
            </w:r>
          </w:p>
        </w:tc>
        <w:tc>
          <w:tcPr>
            <w:tcW w:w="2693" w:type="dxa"/>
          </w:tcPr>
          <w:p w14:paraId="357E1CE4" w14:textId="77777777" w:rsidR="00D61FEA" w:rsidRPr="00D61FEA" w:rsidRDefault="00D61FEA" w:rsidP="00F009ED">
            <w:pPr>
              <w:widowControl w:val="0"/>
              <w:autoSpaceDN w:val="0"/>
              <w:spacing w:after="0" w:line="240" w:lineRule="auto"/>
              <w:textAlignment w:val="baseline"/>
              <w:rPr>
                <w:rFonts w:asciiTheme="minorHAnsi" w:eastAsia="Times New Roman" w:hAnsiTheme="minorHAnsi" w:cstheme="minorHAnsi"/>
                <w:b/>
                <w:kern w:val="3"/>
                <w:sz w:val="24"/>
                <w:szCs w:val="24"/>
                <w:lang w:bidi="en-US"/>
              </w:rPr>
            </w:pPr>
            <w:r w:rsidRPr="00D61FEA">
              <w:rPr>
                <w:rFonts w:asciiTheme="minorHAnsi" w:eastAsia="Times New Roman" w:hAnsiTheme="minorHAnsi" w:cstheme="minorHAnsi"/>
                <w:b/>
                <w:kern w:val="3"/>
                <w:sz w:val="24"/>
                <w:szCs w:val="24"/>
                <w:lang w:bidi="en-US"/>
              </w:rPr>
              <w:t xml:space="preserve">Techniniai reikalavimai pirkimo objektui: </w:t>
            </w:r>
          </w:p>
        </w:tc>
        <w:tc>
          <w:tcPr>
            <w:tcW w:w="5925" w:type="dxa"/>
          </w:tcPr>
          <w:p w14:paraId="42271D69" w14:textId="77777777" w:rsidR="00D61FEA" w:rsidRPr="00D61FEA" w:rsidRDefault="00D61FEA" w:rsidP="00D61FEA">
            <w:pPr>
              <w:widowControl w:val="0"/>
              <w:numPr>
                <w:ilvl w:val="0"/>
                <w:numId w:val="10"/>
              </w:numPr>
              <w:autoSpaceDN w:val="0"/>
              <w:spacing w:after="0" w:line="240" w:lineRule="auto"/>
              <w:jc w:val="both"/>
              <w:textAlignment w:val="baseline"/>
              <w:rPr>
                <w:rFonts w:asciiTheme="minorHAnsi" w:eastAsia="Times New Roman" w:hAnsiTheme="minorHAnsi" w:cstheme="minorHAnsi"/>
                <w:b/>
                <w:bCs/>
                <w:kern w:val="3"/>
                <w:sz w:val="24"/>
                <w:szCs w:val="24"/>
                <w:lang w:bidi="en-US"/>
              </w:rPr>
            </w:pPr>
            <w:r w:rsidRPr="00D61FEA">
              <w:rPr>
                <w:rFonts w:asciiTheme="minorHAnsi" w:eastAsia="Times New Roman" w:hAnsiTheme="minorHAnsi" w:cstheme="minorHAnsi"/>
                <w:b/>
                <w:bCs/>
                <w:kern w:val="3"/>
                <w:sz w:val="24"/>
                <w:szCs w:val="24"/>
                <w:lang w:bidi="en-US"/>
              </w:rPr>
              <w:t>Bendrieji reikalavimai</w:t>
            </w:r>
          </w:p>
          <w:p w14:paraId="71A02307" w14:textId="1F7E31AF" w:rsidR="00D61FEA" w:rsidRPr="00D61FEA" w:rsidRDefault="00D61FEA"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kern w:val="3"/>
                <w:sz w:val="24"/>
                <w:szCs w:val="24"/>
                <w:lang w:bidi="en-US"/>
              </w:rPr>
            </w:pPr>
            <w:r w:rsidRPr="00D61FEA">
              <w:rPr>
                <w:rFonts w:asciiTheme="minorHAnsi" w:eastAsia="Times New Roman" w:hAnsiTheme="minorHAnsi" w:cstheme="minorHAnsi"/>
                <w:kern w:val="3"/>
                <w:sz w:val="24"/>
                <w:szCs w:val="24"/>
                <w:lang w:bidi="en-US"/>
              </w:rPr>
              <w:t xml:space="preserve">Automobilių klasė: N2 klasė – transporto priemonė kroviniams vežti, kurios techniškai leistina pakrautos transporto priemonės (bendroji) masė didesnė </w:t>
            </w:r>
            <w:r w:rsidRPr="00D63DA4">
              <w:rPr>
                <w:rFonts w:asciiTheme="minorHAnsi" w:eastAsia="Times New Roman" w:hAnsiTheme="minorHAnsi" w:cstheme="minorHAnsi"/>
                <w:kern w:val="3"/>
                <w:sz w:val="24"/>
                <w:szCs w:val="24"/>
                <w:lang w:bidi="en-US"/>
              </w:rPr>
              <w:t xml:space="preserve">kaip </w:t>
            </w:r>
            <w:r w:rsidR="00D63DA4" w:rsidRPr="00D63DA4">
              <w:rPr>
                <w:rFonts w:asciiTheme="minorHAnsi" w:eastAsia="Times New Roman" w:hAnsiTheme="minorHAnsi" w:cstheme="minorHAnsi"/>
                <w:kern w:val="3"/>
                <w:sz w:val="24"/>
                <w:szCs w:val="24"/>
                <w:lang w:bidi="en-US"/>
              </w:rPr>
              <w:t>3,5</w:t>
            </w:r>
            <w:r w:rsidRPr="00D63DA4">
              <w:rPr>
                <w:rFonts w:asciiTheme="minorHAnsi" w:eastAsia="Times New Roman" w:hAnsiTheme="minorHAnsi" w:cstheme="minorHAnsi"/>
                <w:kern w:val="3"/>
                <w:sz w:val="24"/>
                <w:szCs w:val="24"/>
                <w:lang w:bidi="en-US"/>
              </w:rPr>
              <w:t xml:space="preserve"> t, </w:t>
            </w:r>
            <w:r w:rsidRPr="00D61FEA">
              <w:rPr>
                <w:rFonts w:asciiTheme="minorHAnsi" w:eastAsia="Times New Roman" w:hAnsiTheme="minorHAnsi" w:cstheme="minorHAnsi"/>
                <w:kern w:val="3"/>
                <w:sz w:val="24"/>
                <w:szCs w:val="24"/>
                <w:lang w:bidi="en-US"/>
              </w:rPr>
              <w:t>tačiau ne didesnė kaip 12 t (krovininis automobilis).</w:t>
            </w:r>
          </w:p>
          <w:p w14:paraId="276CB43D" w14:textId="347A9978" w:rsidR="00D61FEA" w:rsidRPr="004D25C0" w:rsidRDefault="004D25C0"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kern w:val="3"/>
                <w:sz w:val="24"/>
                <w:szCs w:val="24"/>
                <w:lang w:bidi="en-US"/>
              </w:rPr>
            </w:pPr>
            <w:r w:rsidRPr="004D25C0">
              <w:rPr>
                <w:rFonts w:asciiTheme="minorHAnsi" w:eastAsia="Andale Sans UI" w:hAnsiTheme="minorHAnsi" w:cstheme="minorHAnsi"/>
                <w:kern w:val="3"/>
                <w:sz w:val="24"/>
                <w:szCs w:val="24"/>
                <w:lang w:bidi="en-US"/>
              </w:rPr>
              <w:t>Turi būti parengtas automobilio N2 tipo atitikties sertifikatas registracijai pagal Lietuvos transporto saugos administracijos direktoriaus 2008 m. gruodžio 2 d. įsakymą Nr. 2B-479 „Dėl Motorinių transporto priemonių ir jų priekabų kategorijų ir klasių pagal konstrukciją reikalavimų patvirtinimo“: N2 klasė – transporto priemonė kroviniams vežti, kurios techniškai leistina pakrautos transporto priemonės (bendroji) masė didesnė kaip 3,5 t, tačiau ne didesnė kaip 12 t (krovininis automobilis).</w:t>
            </w:r>
          </w:p>
          <w:p w14:paraId="104B42D5" w14:textId="77777777" w:rsidR="00D61FEA" w:rsidRPr="00D61FEA" w:rsidRDefault="00D61FEA"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bCs/>
                <w:kern w:val="3"/>
                <w:sz w:val="24"/>
                <w:szCs w:val="24"/>
                <w:lang w:bidi="en-US"/>
              </w:rPr>
            </w:pPr>
            <w:r w:rsidRPr="00D61FEA">
              <w:rPr>
                <w:rFonts w:asciiTheme="minorHAnsi" w:eastAsia="Times New Roman" w:hAnsiTheme="minorHAnsi" w:cstheme="minorHAnsi"/>
                <w:bCs/>
                <w:kern w:val="3"/>
                <w:sz w:val="24"/>
                <w:szCs w:val="24"/>
                <w:lang w:bidi="en-US"/>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kiti teisės aktais nustatyti prietaisai, įrengimai ir priemonės.</w:t>
            </w:r>
          </w:p>
          <w:p w14:paraId="324FA179" w14:textId="77777777" w:rsidR="00D61FEA" w:rsidRPr="00D61FEA" w:rsidRDefault="00D61FEA"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bCs/>
                <w:kern w:val="3"/>
                <w:sz w:val="24"/>
                <w:szCs w:val="24"/>
                <w:lang w:bidi="en-US"/>
              </w:rPr>
            </w:pPr>
            <w:r w:rsidRPr="00D61FEA">
              <w:rPr>
                <w:rFonts w:asciiTheme="minorHAnsi" w:eastAsia="Times New Roman" w:hAnsiTheme="minorHAnsi" w:cstheme="minorHAnsi"/>
                <w:bCs/>
                <w:kern w:val="3"/>
                <w:sz w:val="24"/>
                <w:szCs w:val="24"/>
                <w:lang w:bidi="en-US"/>
              </w:rPr>
              <w:t>Automobiliai privalo būti nauji, neeksploatuoti.</w:t>
            </w:r>
          </w:p>
          <w:p w14:paraId="33F26C5C" w14:textId="77777777" w:rsidR="00D61FEA" w:rsidRPr="00D61FEA" w:rsidRDefault="00D61FEA"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bCs/>
                <w:kern w:val="3"/>
                <w:sz w:val="24"/>
                <w:szCs w:val="24"/>
                <w:lang w:bidi="en-US"/>
              </w:rPr>
            </w:pPr>
            <w:r w:rsidRPr="00D61FEA">
              <w:rPr>
                <w:rFonts w:asciiTheme="minorHAnsi" w:eastAsia="Times New Roman" w:hAnsiTheme="minorHAnsi" w:cstheme="minorHAnsi"/>
                <w:bCs/>
                <w:kern w:val="3"/>
                <w:sz w:val="24"/>
                <w:szCs w:val="24"/>
                <w:lang w:bidi="en-US"/>
              </w:rPr>
              <w:t>Automobiliai privalo būti pritaikyti važiuoti dešiniąja kelio puse (vairas kairėje pusėje).</w:t>
            </w:r>
          </w:p>
          <w:p w14:paraId="7633D13F" w14:textId="67135F14" w:rsidR="00D61FEA" w:rsidRPr="00D61FEA" w:rsidRDefault="00D61FEA"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b/>
                <w:bCs/>
                <w:kern w:val="3"/>
                <w:sz w:val="24"/>
                <w:szCs w:val="24"/>
                <w:lang w:bidi="en-US"/>
              </w:rPr>
            </w:pPr>
            <w:r w:rsidRPr="00D61FEA">
              <w:rPr>
                <w:rFonts w:asciiTheme="minorHAnsi" w:eastAsia="Times New Roman" w:hAnsiTheme="minorHAnsi" w:cstheme="minorHAnsi"/>
                <w:bCs/>
                <w:kern w:val="3"/>
                <w:sz w:val="24"/>
                <w:szCs w:val="24"/>
                <w:lang w:bidi="en-US"/>
              </w:rPr>
              <w:t>Automobiliai parengti eksploatacijai žiemos periodui, esant iki -25</w:t>
            </w:r>
            <w:r w:rsidR="001579A0">
              <w:rPr>
                <w:rFonts w:asciiTheme="minorHAnsi" w:eastAsia="Times New Roman" w:hAnsiTheme="minorHAnsi" w:cstheme="minorHAnsi"/>
                <w:bCs/>
                <w:kern w:val="3"/>
                <w:sz w:val="24"/>
                <w:szCs w:val="24"/>
                <w:lang w:bidi="en-US"/>
              </w:rPr>
              <w:t xml:space="preserve">° </w:t>
            </w:r>
            <w:r w:rsidRPr="00D61FEA">
              <w:rPr>
                <w:rFonts w:asciiTheme="minorHAnsi" w:eastAsia="Times New Roman" w:hAnsiTheme="minorHAnsi" w:cstheme="minorHAnsi"/>
                <w:bCs/>
                <w:kern w:val="3"/>
                <w:sz w:val="24"/>
                <w:szCs w:val="24"/>
                <w:lang w:bidi="en-US"/>
              </w:rPr>
              <w:t>C temperatūrai.</w:t>
            </w:r>
          </w:p>
          <w:p w14:paraId="3CEF5732" w14:textId="77777777" w:rsidR="00D61FEA" w:rsidRPr="00D61FEA" w:rsidRDefault="00D61FEA" w:rsidP="00D61FEA">
            <w:pPr>
              <w:widowControl w:val="0"/>
              <w:numPr>
                <w:ilvl w:val="0"/>
                <w:numId w:val="10"/>
              </w:numPr>
              <w:autoSpaceDN w:val="0"/>
              <w:spacing w:after="0" w:line="240" w:lineRule="auto"/>
              <w:jc w:val="both"/>
              <w:textAlignment w:val="baseline"/>
              <w:rPr>
                <w:rFonts w:asciiTheme="minorHAnsi" w:eastAsia="Times New Roman" w:hAnsiTheme="minorHAnsi" w:cstheme="minorHAnsi"/>
                <w:b/>
                <w:bCs/>
                <w:kern w:val="3"/>
                <w:sz w:val="24"/>
                <w:szCs w:val="24"/>
                <w:lang w:bidi="en-US"/>
              </w:rPr>
            </w:pPr>
            <w:r w:rsidRPr="00D61FEA">
              <w:rPr>
                <w:rFonts w:asciiTheme="minorHAnsi" w:eastAsia="Times New Roman" w:hAnsiTheme="minorHAnsi" w:cstheme="minorHAnsi"/>
                <w:b/>
                <w:bCs/>
                <w:kern w:val="3"/>
                <w:sz w:val="24"/>
                <w:szCs w:val="24"/>
                <w:lang w:bidi="en-US"/>
              </w:rPr>
              <w:t>Garantija</w:t>
            </w:r>
          </w:p>
          <w:p w14:paraId="44F0F600" w14:textId="77777777" w:rsidR="00D61FEA" w:rsidRPr="00D61FEA" w:rsidRDefault="00D61FEA"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bCs/>
                <w:kern w:val="3"/>
                <w:sz w:val="24"/>
                <w:szCs w:val="24"/>
                <w:lang w:bidi="en-US"/>
              </w:rPr>
            </w:pPr>
            <w:r w:rsidRPr="00D61FEA">
              <w:rPr>
                <w:rFonts w:asciiTheme="minorHAnsi" w:eastAsia="Times New Roman" w:hAnsiTheme="minorHAnsi" w:cstheme="minorHAnsi"/>
                <w:bCs/>
                <w:kern w:val="3"/>
                <w:sz w:val="24"/>
                <w:szCs w:val="24"/>
                <w:lang w:bidi="en-US"/>
              </w:rPr>
              <w:t>Automobilių garantija – ne trumpesnė kaip 3 metai, ir ne mažiau kaip 200 000 km ridos.</w:t>
            </w:r>
          </w:p>
          <w:p w14:paraId="6B1A39DC" w14:textId="77777777" w:rsidR="00D61FEA" w:rsidRPr="00D61FEA" w:rsidRDefault="00D61FEA"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b/>
                <w:bCs/>
                <w:kern w:val="3"/>
                <w:sz w:val="24"/>
                <w:szCs w:val="24"/>
                <w:lang w:bidi="en-US"/>
              </w:rPr>
            </w:pPr>
            <w:r w:rsidRPr="00D61FEA">
              <w:rPr>
                <w:rFonts w:asciiTheme="minorHAnsi" w:eastAsia="Times New Roman" w:hAnsiTheme="minorHAnsi" w:cstheme="minorHAnsi"/>
                <w:bCs/>
                <w:kern w:val="3"/>
                <w:sz w:val="24"/>
                <w:szCs w:val="24"/>
                <w:lang w:bidi="en-US"/>
              </w:rPr>
              <w:t>Garantija apima ir paviršiaus rūdis ir dažų defektus, atsiradusius ant dažytų kėbulo dalių gamybos broko per trejų metų laikotarpį, neatsižvelgiant į ridą bei kartu su automobiliu komplektuojamus aksesuarus ir priedus.</w:t>
            </w:r>
          </w:p>
          <w:p w14:paraId="682AA149" w14:textId="77777777" w:rsidR="00D61FEA" w:rsidRPr="00D61FEA" w:rsidRDefault="00D61FEA" w:rsidP="00D61FEA">
            <w:pPr>
              <w:widowControl w:val="0"/>
              <w:numPr>
                <w:ilvl w:val="0"/>
                <w:numId w:val="10"/>
              </w:numPr>
              <w:autoSpaceDN w:val="0"/>
              <w:spacing w:after="0" w:line="240" w:lineRule="auto"/>
              <w:jc w:val="both"/>
              <w:textAlignment w:val="baseline"/>
              <w:rPr>
                <w:rFonts w:asciiTheme="minorHAnsi" w:eastAsia="Times New Roman" w:hAnsiTheme="minorHAnsi" w:cstheme="minorHAnsi"/>
                <w:b/>
                <w:bCs/>
                <w:kern w:val="3"/>
                <w:sz w:val="24"/>
                <w:szCs w:val="24"/>
                <w:lang w:bidi="en-US"/>
              </w:rPr>
            </w:pPr>
            <w:r w:rsidRPr="00D61FEA">
              <w:rPr>
                <w:rFonts w:asciiTheme="minorHAnsi" w:eastAsia="Times New Roman" w:hAnsiTheme="minorHAnsi" w:cstheme="minorHAnsi"/>
                <w:b/>
                <w:bCs/>
                <w:kern w:val="3"/>
                <w:sz w:val="24"/>
                <w:szCs w:val="24"/>
                <w:lang w:bidi="en-US"/>
              </w:rPr>
              <w:t>Kabina</w:t>
            </w:r>
          </w:p>
          <w:p w14:paraId="467A4ACE" w14:textId="77777777" w:rsidR="00D61FEA" w:rsidRPr="00D61FEA" w:rsidRDefault="00D61FEA"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kern w:val="3"/>
                <w:sz w:val="24"/>
                <w:szCs w:val="24"/>
                <w:lang w:bidi="en-US"/>
              </w:rPr>
            </w:pPr>
            <w:r w:rsidRPr="00D61FEA">
              <w:rPr>
                <w:rFonts w:asciiTheme="minorHAnsi" w:eastAsia="Times New Roman" w:hAnsiTheme="minorHAnsi" w:cstheme="minorHAnsi"/>
                <w:kern w:val="3"/>
                <w:sz w:val="24"/>
                <w:szCs w:val="24"/>
                <w:lang w:bidi="en-US"/>
              </w:rPr>
              <w:t>Veidrodžiai: pagrindiniai veidrodžiai ir plataus kampo veidrodžiai valdomi elektra, šildomi.</w:t>
            </w:r>
          </w:p>
          <w:p w14:paraId="5C94A025" w14:textId="77777777" w:rsidR="00D61FEA" w:rsidRPr="00D61FEA" w:rsidRDefault="00D61FEA"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kern w:val="3"/>
                <w:sz w:val="24"/>
                <w:szCs w:val="24"/>
                <w:lang w:bidi="en-US"/>
              </w:rPr>
            </w:pPr>
            <w:r w:rsidRPr="00D61FEA">
              <w:rPr>
                <w:rFonts w:asciiTheme="minorHAnsi" w:eastAsia="Times New Roman" w:hAnsiTheme="minorHAnsi" w:cstheme="minorHAnsi"/>
                <w:kern w:val="3"/>
                <w:sz w:val="24"/>
                <w:szCs w:val="24"/>
                <w:lang w:bidi="en-US"/>
              </w:rPr>
              <w:t>Šoniniai langai valdomi elektra.</w:t>
            </w:r>
          </w:p>
          <w:p w14:paraId="4CD08714" w14:textId="77777777" w:rsidR="00D61FEA" w:rsidRPr="00D61FEA" w:rsidRDefault="00D61FEA"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kern w:val="3"/>
                <w:sz w:val="24"/>
                <w:szCs w:val="24"/>
                <w:lang w:bidi="en-US"/>
              </w:rPr>
            </w:pPr>
            <w:r w:rsidRPr="00D61FEA">
              <w:rPr>
                <w:rFonts w:asciiTheme="minorHAnsi" w:eastAsia="Times New Roman" w:hAnsiTheme="minorHAnsi" w:cstheme="minorHAnsi"/>
                <w:kern w:val="3"/>
                <w:sz w:val="24"/>
                <w:szCs w:val="24"/>
                <w:lang w:bidi="en-US"/>
              </w:rPr>
              <w:t>Vairuotojo sėdynė pneumatine pakaba, reguliuojamu amortizatoriumi ir pneumatine juosmens atrama, integruota galvos atrama, porankiu.</w:t>
            </w:r>
          </w:p>
          <w:p w14:paraId="76DAE9B9" w14:textId="053D1819" w:rsidR="00D61FEA" w:rsidRPr="00D61FEA" w:rsidRDefault="00D61FEA"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kern w:val="3"/>
                <w:sz w:val="24"/>
                <w:szCs w:val="24"/>
                <w:lang w:bidi="en-US"/>
              </w:rPr>
            </w:pPr>
            <w:r w:rsidRPr="00D61FEA">
              <w:rPr>
                <w:rFonts w:asciiTheme="minorHAnsi" w:eastAsia="Times New Roman" w:hAnsiTheme="minorHAnsi" w:cstheme="minorHAnsi"/>
                <w:kern w:val="3"/>
                <w:sz w:val="24"/>
                <w:szCs w:val="24"/>
                <w:lang w:bidi="en-US"/>
              </w:rPr>
              <w:lastRenderedPageBreak/>
              <w:t>Keleivio sėdynė su integruota galvos atrama.</w:t>
            </w:r>
          </w:p>
          <w:p w14:paraId="474547C8" w14:textId="77777777" w:rsidR="00D61FEA" w:rsidRPr="00D61FEA" w:rsidRDefault="00D61FEA"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kern w:val="3"/>
                <w:sz w:val="24"/>
                <w:szCs w:val="24"/>
                <w:lang w:bidi="en-US"/>
              </w:rPr>
            </w:pPr>
            <w:r w:rsidRPr="00D61FEA">
              <w:rPr>
                <w:rFonts w:asciiTheme="minorHAnsi" w:eastAsia="Times New Roman" w:hAnsiTheme="minorHAnsi" w:cstheme="minorHAnsi"/>
                <w:kern w:val="3"/>
                <w:sz w:val="24"/>
                <w:szCs w:val="24"/>
                <w:lang w:bidi="en-US"/>
              </w:rPr>
              <w:t>Šildymo sistemos ir oro kondicionierius valdymas rankiniu būdu arba klimato kontrolės sistema.</w:t>
            </w:r>
          </w:p>
          <w:p w14:paraId="47DF9AF3" w14:textId="77777777" w:rsidR="00D61FEA" w:rsidRPr="00D61FEA" w:rsidRDefault="00D61FEA"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kern w:val="3"/>
                <w:sz w:val="24"/>
                <w:szCs w:val="24"/>
                <w:lang w:bidi="en-US"/>
              </w:rPr>
            </w:pPr>
            <w:r w:rsidRPr="00D61FEA">
              <w:rPr>
                <w:rFonts w:asciiTheme="minorHAnsi" w:eastAsia="Times New Roman" w:hAnsiTheme="minorHAnsi" w:cstheme="minorHAnsi"/>
                <w:kern w:val="3"/>
                <w:sz w:val="24"/>
                <w:szCs w:val="24"/>
                <w:lang w:bidi="en-US"/>
              </w:rPr>
              <w:t>Vairo reguliavimas mechaniniu ar elektriniu būdu.</w:t>
            </w:r>
          </w:p>
          <w:p w14:paraId="68482734" w14:textId="77777777" w:rsidR="00D61FEA" w:rsidRPr="00D61FEA" w:rsidRDefault="00D61FEA"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kern w:val="3"/>
                <w:sz w:val="24"/>
                <w:szCs w:val="24"/>
                <w:lang w:bidi="en-US"/>
              </w:rPr>
            </w:pPr>
            <w:r w:rsidRPr="00D61FEA">
              <w:rPr>
                <w:rFonts w:asciiTheme="minorHAnsi" w:eastAsia="Times New Roman" w:hAnsiTheme="minorHAnsi" w:cstheme="minorHAnsi"/>
                <w:kern w:val="3"/>
                <w:sz w:val="24"/>
                <w:szCs w:val="24"/>
                <w:lang w:bidi="en-US"/>
              </w:rPr>
              <w:t>Elektros įtampos keitiklis 24 V į 12 V.</w:t>
            </w:r>
          </w:p>
          <w:p w14:paraId="3314E84F" w14:textId="77777777" w:rsidR="00D61FEA" w:rsidRPr="00D61FEA" w:rsidRDefault="00D61FEA" w:rsidP="00D61FEA">
            <w:pPr>
              <w:widowControl w:val="0"/>
              <w:numPr>
                <w:ilvl w:val="0"/>
                <w:numId w:val="10"/>
              </w:numPr>
              <w:autoSpaceDN w:val="0"/>
              <w:spacing w:after="0" w:line="240" w:lineRule="auto"/>
              <w:jc w:val="both"/>
              <w:textAlignment w:val="baseline"/>
              <w:rPr>
                <w:rFonts w:asciiTheme="minorHAnsi" w:eastAsia="Times New Roman" w:hAnsiTheme="minorHAnsi" w:cstheme="minorHAnsi"/>
                <w:b/>
                <w:bCs/>
                <w:kern w:val="3"/>
                <w:sz w:val="24"/>
                <w:szCs w:val="24"/>
                <w:lang w:bidi="en-US"/>
              </w:rPr>
            </w:pPr>
            <w:r w:rsidRPr="00D61FEA">
              <w:rPr>
                <w:rFonts w:asciiTheme="minorHAnsi" w:eastAsia="Times New Roman" w:hAnsiTheme="minorHAnsi" w:cstheme="minorHAnsi"/>
                <w:b/>
                <w:bCs/>
                <w:kern w:val="3"/>
                <w:sz w:val="24"/>
                <w:szCs w:val="24"/>
                <w:lang w:bidi="en-US"/>
              </w:rPr>
              <w:t>Prietaisai</w:t>
            </w:r>
          </w:p>
          <w:p w14:paraId="4420E030" w14:textId="6DC94BA6" w:rsidR="00D61FEA" w:rsidRPr="00D61FEA" w:rsidRDefault="00FD3A2B"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kern w:val="3"/>
                <w:sz w:val="24"/>
                <w:szCs w:val="24"/>
                <w:lang w:bidi="en-US"/>
              </w:rPr>
            </w:pPr>
            <w:r>
              <w:rPr>
                <w:rFonts w:asciiTheme="minorHAnsi" w:eastAsia="Times New Roman" w:hAnsiTheme="minorHAnsi" w:cstheme="minorHAnsi"/>
                <w:kern w:val="3"/>
                <w:sz w:val="24"/>
                <w:szCs w:val="24"/>
                <w:lang w:bidi="en-US"/>
              </w:rPr>
              <w:t>T</w:t>
            </w:r>
            <w:r w:rsidR="00D61FEA" w:rsidRPr="00D61FEA">
              <w:rPr>
                <w:rFonts w:asciiTheme="minorHAnsi" w:eastAsia="Times New Roman" w:hAnsiTheme="minorHAnsi" w:cstheme="minorHAnsi"/>
                <w:kern w:val="3"/>
                <w:sz w:val="24"/>
                <w:szCs w:val="24"/>
                <w:lang w:bidi="en-US"/>
              </w:rPr>
              <w:t>achografas.</w:t>
            </w:r>
          </w:p>
          <w:p w14:paraId="3C4561D6" w14:textId="77777777" w:rsidR="00D61FEA" w:rsidRPr="00D61FEA" w:rsidRDefault="00D61FEA"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kern w:val="3"/>
                <w:sz w:val="24"/>
                <w:szCs w:val="24"/>
                <w:lang w:bidi="en-US"/>
              </w:rPr>
            </w:pPr>
            <w:r w:rsidRPr="00D61FEA">
              <w:rPr>
                <w:rFonts w:asciiTheme="minorHAnsi" w:eastAsia="Times New Roman" w:hAnsiTheme="minorHAnsi" w:cstheme="minorHAnsi"/>
                <w:kern w:val="3"/>
                <w:sz w:val="24"/>
                <w:szCs w:val="24"/>
                <w:lang w:bidi="en-US"/>
              </w:rPr>
              <w:t>Universali FMS (Fleet Management System) jungtis su laidais, skirta informacijai nuskaityti, kaip apibrėžta sunkvežimio gamintojų FMS standarte.</w:t>
            </w:r>
          </w:p>
          <w:p w14:paraId="4CC724C2" w14:textId="77777777" w:rsidR="00D61FEA" w:rsidRPr="00D61FEA" w:rsidRDefault="00D61FEA"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kern w:val="3"/>
                <w:sz w:val="24"/>
                <w:szCs w:val="24"/>
                <w:lang w:bidi="en-US"/>
              </w:rPr>
            </w:pPr>
            <w:r w:rsidRPr="00D61FEA">
              <w:rPr>
                <w:rFonts w:asciiTheme="minorHAnsi" w:eastAsia="Times New Roman" w:hAnsiTheme="minorHAnsi" w:cstheme="minorHAnsi"/>
                <w:kern w:val="3"/>
                <w:sz w:val="24"/>
                <w:szCs w:val="24"/>
                <w:lang w:bidi="en-US"/>
              </w:rPr>
              <w:t>Greičio ribotuvo nustatymas 85 km/h. Tolerancija leidžia važiuoti iki 90 km/val.</w:t>
            </w:r>
          </w:p>
          <w:p w14:paraId="0EDA1466" w14:textId="77777777" w:rsidR="00D61FEA" w:rsidRPr="00D61FEA" w:rsidRDefault="00D61FEA"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kern w:val="3"/>
                <w:sz w:val="24"/>
                <w:szCs w:val="24"/>
                <w:lang w:bidi="en-US"/>
              </w:rPr>
            </w:pPr>
            <w:r w:rsidRPr="00D61FEA">
              <w:rPr>
                <w:rFonts w:asciiTheme="minorHAnsi" w:eastAsia="Times New Roman" w:hAnsiTheme="minorHAnsi" w:cstheme="minorHAnsi"/>
                <w:kern w:val="3"/>
                <w:sz w:val="24"/>
                <w:szCs w:val="24"/>
                <w:lang w:bidi="en-US"/>
              </w:rPr>
              <w:t>Monitoringo sistema, gedimų informavimo sistema.</w:t>
            </w:r>
          </w:p>
          <w:p w14:paraId="5F4D5270" w14:textId="77777777" w:rsidR="00D61FEA" w:rsidRPr="00D61FEA" w:rsidRDefault="00D61FEA"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kern w:val="3"/>
                <w:sz w:val="24"/>
                <w:szCs w:val="24"/>
                <w:lang w:bidi="en-US"/>
              </w:rPr>
            </w:pPr>
            <w:r w:rsidRPr="00D61FEA">
              <w:rPr>
                <w:rFonts w:asciiTheme="minorHAnsi" w:eastAsia="Times New Roman" w:hAnsiTheme="minorHAnsi" w:cstheme="minorHAnsi"/>
                <w:kern w:val="3"/>
                <w:sz w:val="24"/>
                <w:szCs w:val="24"/>
                <w:lang w:bidi="en-US"/>
              </w:rPr>
              <w:t>Automobilių skydelio informaciniai, įspėjamieji ar avariniai prietaisų parodymai turi būti metrinėje matavimo sistemoje, informacija pateikiama lietuvių arba anglų kalbomis.</w:t>
            </w:r>
          </w:p>
          <w:p w14:paraId="3460742C" w14:textId="795BD398" w:rsidR="00D61FEA" w:rsidRPr="00D61FEA" w:rsidRDefault="00D61FEA"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kern w:val="3"/>
                <w:sz w:val="24"/>
                <w:szCs w:val="24"/>
                <w:lang w:bidi="en-US"/>
              </w:rPr>
            </w:pPr>
            <w:r w:rsidRPr="00D61FEA">
              <w:rPr>
                <w:rFonts w:asciiTheme="minorHAnsi" w:eastAsia="Times New Roman" w:hAnsiTheme="minorHAnsi" w:cstheme="minorHAnsi"/>
                <w:kern w:val="3"/>
                <w:sz w:val="24"/>
                <w:szCs w:val="24"/>
                <w:lang w:bidi="en-US"/>
              </w:rPr>
              <w:t xml:space="preserve">Multimedijos įrangos komplektas su daugiafunkciniu spalvotu ekranu, palaikantis sąsają Android ir iOS sistemomis, turintis </w:t>
            </w:r>
            <w:r w:rsidR="004F4CDB">
              <w:rPr>
                <w:rFonts w:asciiTheme="minorHAnsi" w:eastAsia="Times New Roman" w:hAnsiTheme="minorHAnsi" w:cstheme="minorHAnsi"/>
                <w:kern w:val="3"/>
                <w:sz w:val="24"/>
                <w:szCs w:val="24"/>
                <w:lang w:bidi="en-US"/>
              </w:rPr>
              <w:t>bent 1 (vien</w:t>
            </w:r>
            <w:r w:rsidR="00C13823">
              <w:rPr>
                <w:rFonts w:asciiTheme="minorHAnsi" w:eastAsia="Times New Roman" w:hAnsiTheme="minorHAnsi" w:cstheme="minorHAnsi"/>
                <w:kern w:val="3"/>
                <w:sz w:val="24"/>
                <w:szCs w:val="24"/>
                <w:lang w:bidi="en-US"/>
              </w:rPr>
              <w:t>ą</w:t>
            </w:r>
            <w:r w:rsidR="004F4CDB">
              <w:rPr>
                <w:rFonts w:asciiTheme="minorHAnsi" w:eastAsia="Times New Roman" w:hAnsiTheme="minorHAnsi" w:cstheme="minorHAnsi"/>
                <w:kern w:val="3"/>
                <w:sz w:val="24"/>
                <w:szCs w:val="24"/>
                <w:lang w:bidi="en-US"/>
              </w:rPr>
              <w:t xml:space="preserve">) vnt. </w:t>
            </w:r>
            <w:r w:rsidRPr="00D61FEA">
              <w:rPr>
                <w:rFonts w:asciiTheme="minorHAnsi" w:eastAsia="Times New Roman" w:hAnsiTheme="minorHAnsi" w:cstheme="minorHAnsi"/>
                <w:kern w:val="3"/>
                <w:sz w:val="24"/>
                <w:szCs w:val="24"/>
                <w:lang w:bidi="en-US"/>
              </w:rPr>
              <w:t>USB A</w:t>
            </w:r>
            <w:r w:rsidR="004F4CDB">
              <w:rPr>
                <w:rFonts w:asciiTheme="minorHAnsi" w:eastAsia="Times New Roman" w:hAnsiTheme="minorHAnsi" w:cstheme="minorHAnsi"/>
                <w:kern w:val="3"/>
                <w:sz w:val="24"/>
                <w:szCs w:val="24"/>
                <w:lang w:bidi="en-US"/>
              </w:rPr>
              <w:t xml:space="preserve"> ir/</w:t>
            </w:r>
            <w:r w:rsidRPr="00D61FEA">
              <w:rPr>
                <w:rFonts w:asciiTheme="minorHAnsi" w:eastAsia="Times New Roman" w:hAnsiTheme="minorHAnsi" w:cstheme="minorHAnsi"/>
                <w:kern w:val="3"/>
                <w:sz w:val="24"/>
                <w:szCs w:val="24"/>
                <w:lang w:bidi="en-US"/>
              </w:rPr>
              <w:t>arba USB C lizdą, leidžianti prijungti mobilų telefoną ar planšetinį kompiuterį ir naudoti vidines įrenginio programas.</w:t>
            </w:r>
          </w:p>
          <w:p w14:paraId="73557B85" w14:textId="77777777" w:rsidR="00D61FEA" w:rsidRPr="00D61FEA" w:rsidRDefault="00D61FEA"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kern w:val="3"/>
                <w:sz w:val="24"/>
                <w:szCs w:val="24"/>
                <w:lang w:bidi="en-US"/>
              </w:rPr>
            </w:pPr>
            <w:r w:rsidRPr="00D61FEA">
              <w:rPr>
                <w:rFonts w:asciiTheme="minorHAnsi" w:eastAsia="Times New Roman" w:hAnsiTheme="minorHAnsi" w:cstheme="minorHAnsi"/>
                <w:kern w:val="3"/>
                <w:sz w:val="24"/>
                <w:szCs w:val="24"/>
                <w:lang w:bidi="en-US"/>
              </w:rPr>
              <w:t>Laisvų rankų įranga, siekiant užtikrinti saugų vairavimą.</w:t>
            </w:r>
          </w:p>
          <w:p w14:paraId="31709EB8" w14:textId="77777777" w:rsidR="00D61FEA" w:rsidRPr="00D61FEA" w:rsidRDefault="00D61FEA"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kern w:val="3"/>
                <w:sz w:val="24"/>
                <w:szCs w:val="24"/>
                <w:lang w:bidi="en-US"/>
              </w:rPr>
            </w:pPr>
            <w:r w:rsidRPr="00D61FEA">
              <w:rPr>
                <w:rFonts w:asciiTheme="minorHAnsi" w:eastAsia="Times New Roman" w:hAnsiTheme="minorHAnsi" w:cstheme="minorHAnsi"/>
                <w:kern w:val="3"/>
                <w:sz w:val="24"/>
                <w:szCs w:val="24"/>
                <w:lang w:bidi="en-US"/>
              </w:rPr>
              <w:t>Centrinis užraktas.</w:t>
            </w:r>
          </w:p>
          <w:p w14:paraId="4885C6FE" w14:textId="77777777" w:rsidR="00D61FEA" w:rsidRPr="00D61FEA" w:rsidRDefault="00D61FEA" w:rsidP="00D61FEA">
            <w:pPr>
              <w:widowControl w:val="0"/>
              <w:numPr>
                <w:ilvl w:val="1"/>
                <w:numId w:val="10"/>
              </w:numPr>
              <w:autoSpaceDN w:val="0"/>
              <w:spacing w:after="0" w:line="240" w:lineRule="auto"/>
              <w:jc w:val="both"/>
              <w:textAlignment w:val="baseline"/>
              <w:rPr>
                <w:rFonts w:asciiTheme="minorHAnsi" w:eastAsia="Times New Roman" w:hAnsiTheme="minorHAnsi" w:cstheme="minorHAnsi"/>
                <w:kern w:val="3"/>
                <w:sz w:val="24"/>
                <w:szCs w:val="24"/>
                <w:lang w:bidi="en-US"/>
              </w:rPr>
            </w:pPr>
            <w:r w:rsidRPr="00D61FEA">
              <w:rPr>
                <w:rFonts w:asciiTheme="minorHAnsi" w:eastAsia="Times New Roman" w:hAnsiTheme="minorHAnsi" w:cstheme="minorHAnsi"/>
                <w:kern w:val="3"/>
                <w:sz w:val="24"/>
                <w:szCs w:val="24"/>
                <w:lang w:bidi="en-US"/>
              </w:rPr>
              <w:t>Pastovaus greičio palaikymo sistema.</w:t>
            </w:r>
          </w:p>
          <w:p w14:paraId="4F2FE96C" w14:textId="77777777"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t>Nukrypimo iš važiuojamosios juostos įspėjimo sistema.</w:t>
            </w:r>
          </w:p>
          <w:p w14:paraId="7C1AA454" w14:textId="32FAA986" w:rsidR="00D61FEA" w:rsidRPr="00D61FEA" w:rsidRDefault="00C23D58"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C23D58">
              <w:rPr>
                <w:rFonts w:asciiTheme="minorHAnsi" w:eastAsia="Times New Roman" w:hAnsiTheme="minorHAnsi" w:cstheme="minorHAnsi"/>
                <w:sz w:val="24"/>
                <w:szCs w:val="24"/>
                <w:lang w:eastAsia="lt-LT"/>
              </w:rPr>
              <w:t>Turi būti mechaninis akumuliatoriaus srovės atjungimo mechanizmas.</w:t>
            </w:r>
          </w:p>
          <w:p w14:paraId="251F3163" w14:textId="77777777" w:rsidR="00D61FEA" w:rsidRPr="00680DB0" w:rsidRDefault="00D61FEA" w:rsidP="00D61FEA">
            <w:pPr>
              <w:widowControl w:val="0"/>
              <w:numPr>
                <w:ilvl w:val="0"/>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b/>
                <w:bCs/>
                <w:sz w:val="24"/>
                <w:szCs w:val="24"/>
                <w:lang w:eastAsia="lt-LT"/>
              </w:rPr>
              <w:t>Pakaba</w:t>
            </w:r>
          </w:p>
          <w:p w14:paraId="38B67B02" w14:textId="6B988688" w:rsidR="00D61FEA" w:rsidRPr="00680DB0"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680DB0">
              <w:rPr>
                <w:rFonts w:asciiTheme="minorHAnsi" w:eastAsia="Times New Roman" w:hAnsiTheme="minorHAnsi" w:cstheme="minorHAnsi"/>
                <w:sz w:val="24"/>
                <w:szCs w:val="24"/>
                <w:lang w:eastAsia="lt-LT"/>
              </w:rPr>
              <w:t xml:space="preserve">Priekinė ašis parabolinė linginė pakaba su amortizatoriais ir stabilizatoriais, apkrova </w:t>
            </w:r>
            <w:r w:rsidR="00680DB0" w:rsidRPr="00680DB0">
              <w:rPr>
                <w:rFonts w:asciiTheme="minorHAnsi" w:eastAsia="Times New Roman" w:hAnsiTheme="minorHAnsi" w:cstheme="minorHAnsi"/>
                <w:sz w:val="24"/>
                <w:szCs w:val="24"/>
                <w:lang w:eastAsia="lt-LT"/>
              </w:rPr>
              <w:t xml:space="preserve">ne mažiau 3,5 </w:t>
            </w:r>
            <w:r w:rsidRPr="00680DB0">
              <w:rPr>
                <w:rFonts w:asciiTheme="minorHAnsi" w:eastAsia="Times New Roman" w:hAnsiTheme="minorHAnsi" w:cstheme="minorHAnsi"/>
                <w:sz w:val="24"/>
                <w:szCs w:val="24"/>
                <w:lang w:eastAsia="lt-LT"/>
              </w:rPr>
              <w:t>tonos.</w:t>
            </w:r>
          </w:p>
          <w:p w14:paraId="4B99BF9C" w14:textId="7D7410B1" w:rsidR="00D61FEA" w:rsidRPr="00680DB0"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680DB0">
              <w:rPr>
                <w:rFonts w:asciiTheme="minorHAnsi" w:eastAsia="Times New Roman" w:hAnsiTheme="minorHAnsi" w:cstheme="minorHAnsi"/>
                <w:sz w:val="24"/>
                <w:szCs w:val="24"/>
                <w:lang w:eastAsia="lt-LT"/>
              </w:rPr>
              <w:t xml:space="preserve">Galinė varančioji ašis su elektronikos reguliuojama orine pakaba (2 oro pagalvės), su amortizatoriais ir stabilizatoriais. </w:t>
            </w:r>
            <w:r w:rsidR="00680DB0" w:rsidRPr="00680DB0">
              <w:rPr>
                <w:rFonts w:asciiTheme="minorHAnsi" w:eastAsia="Times New Roman" w:hAnsiTheme="minorHAnsi" w:cstheme="minorHAnsi"/>
                <w:sz w:val="24"/>
                <w:szCs w:val="24"/>
                <w:lang w:eastAsia="lt-LT"/>
              </w:rPr>
              <w:t xml:space="preserve">Apkrova </w:t>
            </w:r>
            <w:r w:rsidR="00680DB0" w:rsidRPr="00680DB0">
              <w:rPr>
                <w:rFonts w:asciiTheme="minorHAnsi" w:hAnsiTheme="minorHAnsi" w:cstheme="minorHAnsi"/>
                <w:sz w:val="24"/>
                <w:szCs w:val="24"/>
              </w:rPr>
              <w:t>ne mažiau 7,5</w:t>
            </w:r>
            <w:r w:rsidR="00680DB0">
              <w:rPr>
                <w:rFonts w:asciiTheme="minorHAnsi" w:hAnsiTheme="minorHAnsi" w:cstheme="minorHAnsi"/>
                <w:sz w:val="24"/>
                <w:szCs w:val="24"/>
              </w:rPr>
              <w:t xml:space="preserve"> tonos.</w:t>
            </w:r>
          </w:p>
          <w:p w14:paraId="6458B33D" w14:textId="35B005DC" w:rsidR="00D61FEA" w:rsidRPr="00680DB0"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680DB0">
              <w:rPr>
                <w:rFonts w:asciiTheme="minorHAnsi" w:eastAsia="Times New Roman" w:hAnsiTheme="minorHAnsi" w:cstheme="minorHAnsi"/>
                <w:sz w:val="24"/>
                <w:szCs w:val="24"/>
                <w:lang w:eastAsia="lt-LT"/>
              </w:rPr>
              <w:t>Priekinė ašis: ratlankiai plieniniai ne mažesni nei 17.5 x 6.75</w:t>
            </w:r>
            <w:r w:rsidR="00680DB0">
              <w:rPr>
                <w:rFonts w:asciiTheme="minorHAnsi" w:eastAsia="Times New Roman" w:hAnsiTheme="minorHAnsi" w:cstheme="minorHAnsi"/>
                <w:sz w:val="24"/>
                <w:szCs w:val="24"/>
                <w:lang w:eastAsia="lt-LT"/>
              </w:rPr>
              <w:t xml:space="preserve"> col</w:t>
            </w:r>
          </w:p>
          <w:p w14:paraId="39E116C2" w14:textId="7C5D6D0E"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t>Varančioji ašis: ratlankiai plieniniai ne mažesni nei 17.5 x 6.75</w:t>
            </w:r>
            <w:r w:rsidR="00680DB0">
              <w:rPr>
                <w:rFonts w:asciiTheme="minorHAnsi" w:eastAsia="Times New Roman" w:hAnsiTheme="minorHAnsi" w:cstheme="minorHAnsi"/>
                <w:sz w:val="24"/>
                <w:szCs w:val="24"/>
                <w:lang w:eastAsia="lt-LT"/>
              </w:rPr>
              <w:t xml:space="preserve"> col.</w:t>
            </w:r>
          </w:p>
          <w:p w14:paraId="0B32E406" w14:textId="69D37F4F"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t>Atsarginis ratas: ratlankis plieninis ne mažesnis nei 17.5 x 6.75</w:t>
            </w:r>
            <w:r w:rsidR="00680DB0">
              <w:rPr>
                <w:rFonts w:asciiTheme="minorHAnsi" w:eastAsia="Times New Roman" w:hAnsiTheme="minorHAnsi" w:cstheme="minorHAnsi"/>
                <w:sz w:val="24"/>
                <w:szCs w:val="24"/>
                <w:lang w:eastAsia="lt-LT"/>
              </w:rPr>
              <w:t xml:space="preserve"> col.</w:t>
            </w:r>
          </w:p>
          <w:p w14:paraId="3A6281F6" w14:textId="77777777"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t>Temperatūros ir slėgio davikliai sumontuoti ratlankiuose, informacija pateikiama per monitoringo sistemą.</w:t>
            </w:r>
          </w:p>
          <w:p w14:paraId="702094A7" w14:textId="77777777"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t>Plastikinis kuro bakas ne mažesnis kaip 150 litrų.</w:t>
            </w:r>
          </w:p>
          <w:p w14:paraId="2CF3C627" w14:textId="77777777"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t>AdBlue bakas ne mažesnis kaip 25 litrų.</w:t>
            </w:r>
          </w:p>
          <w:p w14:paraId="1F0586D5" w14:textId="77777777" w:rsidR="00D61FEA" w:rsidRPr="00D61FEA" w:rsidRDefault="00D61FEA" w:rsidP="00D61FEA">
            <w:pPr>
              <w:widowControl w:val="0"/>
              <w:numPr>
                <w:ilvl w:val="0"/>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b/>
                <w:bCs/>
                <w:sz w:val="24"/>
                <w:szCs w:val="24"/>
                <w:lang w:eastAsia="lt-LT"/>
              </w:rPr>
              <w:t>Transmisija</w:t>
            </w:r>
          </w:p>
          <w:p w14:paraId="321269DA" w14:textId="77777777"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lastRenderedPageBreak/>
              <w:t xml:space="preserve">Kuro rūšis – dyzelinas., </w:t>
            </w:r>
          </w:p>
          <w:p w14:paraId="0773AD2F" w14:textId="746EA87C" w:rsidR="00D61FEA" w:rsidRPr="0069085C" w:rsidRDefault="0054709E"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69085C">
              <w:rPr>
                <w:rFonts w:asciiTheme="minorHAnsi" w:eastAsia="Times New Roman" w:hAnsiTheme="minorHAnsi" w:cstheme="minorHAnsi"/>
                <w:sz w:val="24"/>
                <w:szCs w:val="24"/>
                <w:lang w:eastAsia="lt-LT"/>
              </w:rPr>
              <w:t>Variklis - ne mažiau 6 cilindrų, darbinis tūris ne mažiau 6 litrų</w:t>
            </w:r>
            <w:r w:rsidR="00D61FEA" w:rsidRPr="0069085C">
              <w:rPr>
                <w:rFonts w:asciiTheme="minorHAnsi" w:eastAsia="Times New Roman" w:hAnsiTheme="minorHAnsi" w:cstheme="minorHAnsi"/>
                <w:sz w:val="24"/>
                <w:szCs w:val="24"/>
                <w:lang w:eastAsia="lt-LT"/>
              </w:rPr>
              <w:t>.</w:t>
            </w:r>
          </w:p>
          <w:p w14:paraId="7BC7A782" w14:textId="77777777" w:rsidR="00D61FEA" w:rsidRPr="0069085C"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69085C">
              <w:rPr>
                <w:rFonts w:asciiTheme="minorHAnsi" w:eastAsia="Times New Roman" w:hAnsiTheme="minorHAnsi" w:cstheme="minorHAnsi"/>
                <w:sz w:val="24"/>
                <w:szCs w:val="24"/>
                <w:lang w:eastAsia="lt-LT"/>
              </w:rPr>
              <w:t>Galia ne mažiau 160 kW (227 AG).</w:t>
            </w:r>
          </w:p>
          <w:p w14:paraId="35721259" w14:textId="2AD36FE5" w:rsidR="00D61FEA" w:rsidRPr="0069085C"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69085C">
              <w:rPr>
                <w:rFonts w:asciiTheme="minorHAnsi" w:eastAsia="Times New Roman" w:hAnsiTheme="minorHAnsi" w:cstheme="minorHAnsi"/>
                <w:sz w:val="24"/>
                <w:szCs w:val="24"/>
                <w:lang w:eastAsia="lt-LT"/>
              </w:rPr>
              <w:t xml:space="preserve">Išmetamųjų dujų emisija </w:t>
            </w:r>
            <w:r w:rsidR="0069085C">
              <w:rPr>
                <w:rFonts w:asciiTheme="minorHAnsi" w:eastAsia="Times New Roman" w:hAnsiTheme="minorHAnsi" w:cstheme="minorHAnsi"/>
                <w:sz w:val="24"/>
                <w:szCs w:val="24"/>
                <w:lang w:eastAsia="lt-LT"/>
              </w:rPr>
              <w:t xml:space="preserve">atitinka </w:t>
            </w:r>
            <w:r w:rsidRPr="0069085C">
              <w:rPr>
                <w:rFonts w:asciiTheme="minorHAnsi" w:eastAsia="Times New Roman" w:hAnsiTheme="minorHAnsi" w:cstheme="minorHAnsi"/>
                <w:sz w:val="24"/>
                <w:szCs w:val="24"/>
                <w:lang w:eastAsia="lt-LT"/>
              </w:rPr>
              <w:t>Euro 6.</w:t>
            </w:r>
          </w:p>
          <w:p w14:paraId="7436BE5D" w14:textId="77777777"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t>Automatinė pavarų dėžė.</w:t>
            </w:r>
          </w:p>
          <w:p w14:paraId="7331F469" w14:textId="5E56A389"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t xml:space="preserve">Galinės ašies </w:t>
            </w:r>
            <w:r w:rsidRPr="00F07430">
              <w:rPr>
                <w:rFonts w:asciiTheme="minorHAnsi" w:eastAsia="Times New Roman" w:hAnsiTheme="minorHAnsi" w:cstheme="minorHAnsi"/>
                <w:sz w:val="24"/>
                <w:szCs w:val="24"/>
                <w:lang w:eastAsia="lt-LT"/>
              </w:rPr>
              <w:t>santykis 3.</w:t>
            </w:r>
            <w:r w:rsidR="00460045" w:rsidRPr="00F07430">
              <w:rPr>
                <w:rFonts w:asciiTheme="minorHAnsi" w:eastAsia="Times New Roman" w:hAnsiTheme="minorHAnsi" w:cstheme="minorHAnsi"/>
                <w:sz w:val="24"/>
                <w:szCs w:val="24"/>
                <w:lang w:eastAsia="lt-LT"/>
              </w:rPr>
              <w:t>73</w:t>
            </w:r>
            <w:r w:rsidRPr="00F07430">
              <w:rPr>
                <w:rFonts w:asciiTheme="minorHAnsi" w:eastAsia="Times New Roman" w:hAnsiTheme="minorHAnsi" w:cstheme="minorHAnsi"/>
                <w:sz w:val="24"/>
                <w:szCs w:val="24"/>
                <w:lang w:eastAsia="lt-LT"/>
              </w:rPr>
              <w:t xml:space="preserve"> </w:t>
            </w:r>
            <w:r w:rsidR="00460045" w:rsidRPr="00F07430">
              <w:rPr>
                <w:rFonts w:asciiTheme="minorHAnsi" w:eastAsia="Times New Roman" w:hAnsiTheme="minorHAnsi" w:cstheme="minorHAnsi"/>
                <w:sz w:val="24"/>
                <w:szCs w:val="24"/>
                <w:lang w:eastAsia="lt-LT"/>
              </w:rPr>
              <w:t>-</w:t>
            </w:r>
            <w:r w:rsidRPr="00F07430">
              <w:rPr>
                <w:rFonts w:asciiTheme="minorHAnsi" w:eastAsia="Times New Roman" w:hAnsiTheme="minorHAnsi" w:cstheme="minorHAnsi"/>
                <w:sz w:val="24"/>
                <w:szCs w:val="24"/>
                <w:lang w:eastAsia="lt-LT"/>
              </w:rPr>
              <w:t xml:space="preserve"> 3.</w:t>
            </w:r>
            <w:r w:rsidR="00460045" w:rsidRPr="00F07430">
              <w:rPr>
                <w:rFonts w:asciiTheme="minorHAnsi" w:eastAsia="Times New Roman" w:hAnsiTheme="minorHAnsi" w:cstheme="minorHAnsi"/>
                <w:sz w:val="24"/>
                <w:szCs w:val="24"/>
                <w:lang w:eastAsia="lt-LT"/>
              </w:rPr>
              <w:t>8</w:t>
            </w:r>
            <w:r w:rsidRPr="00F07430">
              <w:rPr>
                <w:rFonts w:asciiTheme="minorHAnsi" w:eastAsia="Times New Roman" w:hAnsiTheme="minorHAnsi" w:cstheme="minorHAnsi"/>
                <w:sz w:val="24"/>
                <w:szCs w:val="24"/>
                <w:lang w:eastAsia="lt-LT"/>
              </w:rPr>
              <w:t>0.</w:t>
            </w:r>
          </w:p>
          <w:p w14:paraId="5E7A5F72" w14:textId="77777777"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t>Varomoji galinė ašis su mechaniniu diferencialo užraktu.</w:t>
            </w:r>
          </w:p>
          <w:p w14:paraId="17AC89A2" w14:textId="50F6E043" w:rsidR="00D61FEA" w:rsidRPr="00D61FEA" w:rsidRDefault="00B47E2C"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B47E2C">
              <w:rPr>
                <w:rFonts w:asciiTheme="minorHAnsi" w:eastAsia="Times New Roman" w:hAnsiTheme="minorHAnsi" w:cstheme="minorHAnsi"/>
                <w:sz w:val="24"/>
                <w:szCs w:val="24"/>
                <w:lang w:eastAsia="lt-LT"/>
              </w:rPr>
              <w:t xml:space="preserve">Turi būti apsaugos nuo slydimo reguliavimo sistema (ASR - anti-slip Regulation arba kita lygiavertė). </w:t>
            </w:r>
          </w:p>
          <w:p w14:paraId="5128D0EF" w14:textId="77777777" w:rsidR="00D61FEA" w:rsidRPr="00D61FEA" w:rsidRDefault="00D61FEA" w:rsidP="00D61FEA">
            <w:pPr>
              <w:widowControl w:val="0"/>
              <w:numPr>
                <w:ilvl w:val="0"/>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b/>
                <w:bCs/>
                <w:sz w:val="24"/>
                <w:szCs w:val="24"/>
                <w:lang w:eastAsia="lt-LT"/>
              </w:rPr>
              <w:t>Važiuoklė</w:t>
            </w:r>
          </w:p>
          <w:p w14:paraId="25E44CCC" w14:textId="77777777"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t>Priekinė apsauga nuo palindimo (FUP), pagal ES direktyvą 2000/40/EEB.</w:t>
            </w:r>
          </w:p>
          <w:p w14:paraId="4262FE22" w14:textId="77777777"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t>Purvasaugių purslų slopinimas pagal direktyvą 91/226/EEB.</w:t>
            </w:r>
          </w:p>
          <w:p w14:paraId="6ABC37E3" w14:textId="77777777" w:rsidR="00D61FEA" w:rsidRPr="00D61FEA" w:rsidRDefault="00D61FEA" w:rsidP="00D61FEA">
            <w:pPr>
              <w:widowControl w:val="0"/>
              <w:numPr>
                <w:ilvl w:val="0"/>
                <w:numId w:val="10"/>
              </w:numPr>
              <w:autoSpaceDN w:val="0"/>
              <w:spacing w:after="0" w:line="240" w:lineRule="auto"/>
              <w:contextualSpacing/>
              <w:jc w:val="both"/>
              <w:textAlignment w:val="baseline"/>
              <w:rPr>
                <w:rFonts w:asciiTheme="minorHAnsi" w:eastAsia="Times New Roman" w:hAnsiTheme="minorHAnsi" w:cstheme="minorHAnsi"/>
                <w:b/>
                <w:bCs/>
                <w:sz w:val="24"/>
                <w:szCs w:val="24"/>
                <w:lang w:eastAsia="lt-LT"/>
              </w:rPr>
            </w:pPr>
            <w:r w:rsidRPr="00D61FEA">
              <w:rPr>
                <w:rFonts w:asciiTheme="minorHAnsi" w:eastAsia="Times New Roman" w:hAnsiTheme="minorHAnsi" w:cstheme="minorHAnsi"/>
                <w:b/>
                <w:bCs/>
                <w:sz w:val="24"/>
                <w:szCs w:val="24"/>
                <w:lang w:eastAsia="lt-LT"/>
              </w:rPr>
              <w:t>Užuolaidinis kėbulas</w:t>
            </w:r>
          </w:p>
          <w:p w14:paraId="51B901FD" w14:textId="77777777"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t>Vidiniai matmenys: ilgis 5000 mm, plotis 2460 mm, aukštis 2200 mm, paklaida ±10 mm.</w:t>
            </w:r>
          </w:p>
          <w:p w14:paraId="418E30C9" w14:textId="77777777"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t>Porėmis sustiprintas, pagamintas iš aukštos kokybės šaltai formuoto profilio, plieno markė ne prastesnė nei ST 52-2 pagal DIN.</w:t>
            </w:r>
          </w:p>
          <w:p w14:paraId="06F25BC0" w14:textId="77777777"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t xml:space="preserve">Porėmis cinkuotas, cinko storis </w:t>
            </w:r>
            <w:r w:rsidRPr="00644BE5">
              <w:rPr>
                <w:rFonts w:asciiTheme="minorHAnsi" w:eastAsia="Times New Roman" w:hAnsiTheme="minorHAnsi" w:cstheme="minorHAnsi"/>
                <w:sz w:val="24"/>
                <w:szCs w:val="24"/>
                <w:lang w:eastAsia="lt-LT"/>
              </w:rPr>
              <w:t xml:space="preserve">140-160 </w:t>
            </w:r>
            <w:r w:rsidRPr="00D61FEA">
              <w:rPr>
                <w:rFonts w:asciiTheme="minorHAnsi" w:eastAsia="Times New Roman" w:hAnsiTheme="minorHAnsi" w:cstheme="minorHAnsi"/>
                <w:sz w:val="24"/>
                <w:szCs w:val="24"/>
                <w:lang w:eastAsia="lt-LT"/>
              </w:rPr>
              <w:t>µm.</w:t>
            </w:r>
          </w:p>
          <w:p w14:paraId="47798761" w14:textId="77777777" w:rsidR="00360933" w:rsidRDefault="00360933"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360933">
              <w:rPr>
                <w:rFonts w:asciiTheme="minorHAnsi" w:eastAsia="Times New Roman" w:hAnsiTheme="minorHAnsi" w:cstheme="minorHAnsi"/>
                <w:sz w:val="24"/>
                <w:szCs w:val="24"/>
                <w:lang w:eastAsia="lt-LT"/>
              </w:rPr>
              <w:t>Kėbulo grindys turi būti pagamintos iš impregnuotos, vandeniui atsparios plokštės su neslystančiu paviršiumi, ne mažiau nei 18 mm storio, pritaikytos naudoti šakinį krautuvą.</w:t>
            </w:r>
          </w:p>
          <w:p w14:paraId="6794EABD" w14:textId="53ADC65B" w:rsidR="00D61FEA" w:rsidRPr="00D61FEA" w:rsidRDefault="00546C88"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546C88">
              <w:rPr>
                <w:rFonts w:asciiTheme="minorHAnsi" w:eastAsia="Times New Roman" w:hAnsiTheme="minorHAnsi" w:cstheme="minorHAnsi"/>
                <w:sz w:val="24"/>
                <w:szCs w:val="24"/>
                <w:lang w:eastAsia="lt-LT"/>
              </w:rPr>
              <w:t>Kėbulo viduje turi būti integruotos krovinio tvirtinimo kilpos</w:t>
            </w:r>
            <w:r w:rsidR="00D61FEA" w:rsidRPr="00D61FEA">
              <w:rPr>
                <w:rFonts w:asciiTheme="minorHAnsi" w:eastAsia="Times New Roman" w:hAnsiTheme="minorHAnsi" w:cstheme="minorHAnsi"/>
                <w:sz w:val="24"/>
                <w:szCs w:val="24"/>
                <w:lang w:eastAsia="lt-LT"/>
              </w:rPr>
              <w:t>.</w:t>
            </w:r>
          </w:p>
          <w:p w14:paraId="56FE5469" w14:textId="77777777"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t>Sustiprinta priekinė siena.</w:t>
            </w:r>
          </w:p>
          <w:p w14:paraId="75CEAAC6" w14:textId="4BFCF22C" w:rsidR="00D61FEA" w:rsidRPr="00D61FEA" w:rsidRDefault="00097053" w:rsidP="00097053">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097053">
              <w:rPr>
                <w:rFonts w:asciiTheme="minorHAnsi" w:eastAsia="Times New Roman" w:hAnsiTheme="minorHAnsi" w:cstheme="minorHAnsi"/>
                <w:sz w:val="24"/>
                <w:szCs w:val="24"/>
                <w:lang w:eastAsia="lt-LT"/>
              </w:rPr>
              <w:t>Tento rėmo konstrukcija turi būti surenkama</w:t>
            </w:r>
            <w:r>
              <w:rPr>
                <w:rFonts w:asciiTheme="minorHAnsi" w:eastAsia="Times New Roman" w:hAnsiTheme="minorHAnsi" w:cstheme="minorHAnsi"/>
                <w:sz w:val="24"/>
                <w:szCs w:val="24"/>
                <w:lang w:eastAsia="lt-LT"/>
              </w:rPr>
              <w:t xml:space="preserve">: </w:t>
            </w:r>
            <w:r w:rsidRPr="00097053">
              <w:rPr>
                <w:rFonts w:asciiTheme="minorHAnsi" w:eastAsia="Times New Roman" w:hAnsiTheme="minorHAnsi" w:cstheme="minorHAnsi"/>
                <w:sz w:val="24"/>
                <w:szCs w:val="24"/>
                <w:lang w:eastAsia="lt-LT"/>
              </w:rPr>
              <w:t>2 (du) priekiniai statramsčiai, 2 (du) galiniai statramsčiai.</w:t>
            </w:r>
          </w:p>
          <w:p w14:paraId="147A55DC" w14:textId="77777777"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t>Stogo konstrukcija – nestumdoma.</w:t>
            </w:r>
          </w:p>
          <w:p w14:paraId="343C8A00" w14:textId="77777777"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t>Šoninių tentų konstrukcijos – stumdomos.</w:t>
            </w:r>
          </w:p>
          <w:p w14:paraId="1186FADE" w14:textId="51D4C8EA" w:rsidR="00D61FEA" w:rsidRPr="00D61FEA" w:rsidRDefault="00795F4C"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B934A4">
              <w:rPr>
                <w:rFonts w:asciiTheme="minorHAnsi" w:hAnsiTheme="minorHAnsi" w:cstheme="minorHAnsi"/>
              </w:rPr>
              <w:t>Tentas turi turėti medines palaikymo lenteles.</w:t>
            </w:r>
          </w:p>
          <w:p w14:paraId="0252DA76" w14:textId="0CBC3E20" w:rsidR="00D61FEA" w:rsidRPr="00D61FEA" w:rsidRDefault="004F6F23"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4F6F23">
              <w:rPr>
                <w:rFonts w:asciiTheme="minorHAnsi" w:eastAsia="Times New Roman" w:hAnsiTheme="minorHAnsi" w:cstheme="minorHAnsi"/>
                <w:sz w:val="24"/>
                <w:szCs w:val="24"/>
                <w:lang w:eastAsia="lt-LT"/>
              </w:rPr>
              <w:t>Tentas turi turėti bent dvi eiles apatinių lentelių, kurios pagamintos iš aliuminio.</w:t>
            </w:r>
          </w:p>
          <w:p w14:paraId="3F93A31B" w14:textId="1B8F67D9" w:rsidR="00D61FEA" w:rsidRPr="00D61FEA" w:rsidRDefault="007B463E"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B934A4">
              <w:rPr>
                <w:rFonts w:asciiTheme="minorHAnsi" w:hAnsiTheme="minorHAnsi" w:cstheme="minorHAnsi"/>
              </w:rPr>
              <w:t>Tentas turi būti atsparus drėgmei.</w:t>
            </w:r>
          </w:p>
          <w:p w14:paraId="1DE50C2B" w14:textId="0B7302E0" w:rsidR="00D61FEA" w:rsidRPr="00D61FEA" w:rsidRDefault="007B1780"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7B1780">
              <w:rPr>
                <w:rFonts w:asciiTheme="minorHAnsi" w:eastAsia="Times New Roman" w:hAnsiTheme="minorHAnsi" w:cstheme="minorHAnsi"/>
                <w:sz w:val="24"/>
                <w:szCs w:val="24"/>
                <w:lang w:eastAsia="lt-LT"/>
              </w:rPr>
              <w:t>Tentas turi būti su tvirtinimo sagtimis</w:t>
            </w:r>
            <w:r w:rsidR="00D61FEA" w:rsidRPr="00D61FEA">
              <w:rPr>
                <w:rFonts w:asciiTheme="minorHAnsi" w:eastAsia="Times New Roman" w:hAnsiTheme="minorHAnsi" w:cstheme="minorHAnsi"/>
                <w:sz w:val="24"/>
                <w:szCs w:val="24"/>
                <w:lang w:eastAsia="lt-LT"/>
              </w:rPr>
              <w:t>.</w:t>
            </w:r>
          </w:p>
          <w:p w14:paraId="7710916E" w14:textId="727BAC8F" w:rsidR="00D61FEA" w:rsidRPr="00D61FEA" w:rsidRDefault="00E53446"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E53446">
              <w:rPr>
                <w:rFonts w:asciiTheme="minorHAnsi" w:eastAsia="Times New Roman" w:hAnsiTheme="minorHAnsi" w:cstheme="minorHAnsi"/>
                <w:sz w:val="24"/>
                <w:szCs w:val="24"/>
                <w:lang w:eastAsia="lt-LT"/>
              </w:rPr>
              <w:t>Turi būti plastikiniai galinių ratų posparniai su purslų gaudytu</w:t>
            </w:r>
            <w:r>
              <w:rPr>
                <w:rFonts w:asciiTheme="minorHAnsi" w:eastAsia="Times New Roman" w:hAnsiTheme="minorHAnsi" w:cstheme="minorHAnsi"/>
                <w:sz w:val="24"/>
                <w:szCs w:val="24"/>
                <w:lang w:eastAsia="lt-LT"/>
              </w:rPr>
              <w:t>vais</w:t>
            </w:r>
            <w:r w:rsidR="00D61FEA" w:rsidRPr="00D61FEA">
              <w:rPr>
                <w:rFonts w:asciiTheme="minorHAnsi" w:eastAsia="Times New Roman" w:hAnsiTheme="minorHAnsi" w:cstheme="minorHAnsi"/>
                <w:sz w:val="24"/>
                <w:szCs w:val="24"/>
                <w:lang w:eastAsia="lt-LT"/>
              </w:rPr>
              <w:t>.</w:t>
            </w:r>
          </w:p>
          <w:p w14:paraId="51A8118F" w14:textId="3FCE4523" w:rsidR="00D61FEA" w:rsidRPr="00D61FEA" w:rsidRDefault="00E53446"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Pr>
                <w:rFonts w:asciiTheme="minorHAnsi" w:eastAsia="Times New Roman" w:hAnsiTheme="minorHAnsi" w:cstheme="minorHAnsi"/>
                <w:sz w:val="24"/>
                <w:szCs w:val="24"/>
                <w:lang w:eastAsia="lt-LT"/>
              </w:rPr>
              <w:t>Turi būti š</w:t>
            </w:r>
            <w:r w:rsidR="00D61FEA" w:rsidRPr="00D61FEA">
              <w:rPr>
                <w:rFonts w:asciiTheme="minorHAnsi" w:eastAsia="Times New Roman" w:hAnsiTheme="minorHAnsi" w:cstheme="minorHAnsi"/>
                <w:sz w:val="24"/>
                <w:szCs w:val="24"/>
                <w:lang w:eastAsia="lt-LT"/>
              </w:rPr>
              <w:t>oninės apsaugos nuo palindimo po kėbulu.</w:t>
            </w:r>
          </w:p>
          <w:p w14:paraId="37B68AAB" w14:textId="77777777"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t>Kėbulo kontūrų žymėjimas šviesą atspindinčiomis juostomis.</w:t>
            </w:r>
          </w:p>
          <w:p w14:paraId="70F2954A" w14:textId="77777777"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t>Plastikinė įrankių dėžė 1vnt.</w:t>
            </w:r>
          </w:p>
          <w:p w14:paraId="2556298D" w14:textId="02BF3801" w:rsidR="00D61FEA" w:rsidRPr="00D61FEA" w:rsidRDefault="00B729FB"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B729FB">
              <w:rPr>
                <w:rFonts w:asciiTheme="minorHAnsi" w:eastAsia="Times New Roman" w:hAnsiTheme="minorHAnsi" w:cstheme="minorHAnsi"/>
                <w:sz w:val="24"/>
                <w:szCs w:val="24"/>
                <w:lang w:eastAsia="lt-LT"/>
              </w:rPr>
              <w:t>Kėbulas turi būti pritaikytas lifto – keltuvo montavimui</w:t>
            </w:r>
            <w:r w:rsidR="00D61FEA" w:rsidRPr="00D61FEA">
              <w:rPr>
                <w:rFonts w:asciiTheme="minorHAnsi" w:eastAsia="Times New Roman" w:hAnsiTheme="minorHAnsi" w:cstheme="minorHAnsi"/>
                <w:sz w:val="24"/>
                <w:szCs w:val="24"/>
                <w:lang w:eastAsia="lt-LT"/>
              </w:rPr>
              <w:t>.</w:t>
            </w:r>
          </w:p>
          <w:p w14:paraId="02FF753C" w14:textId="77777777" w:rsidR="00D61FEA" w:rsidRPr="00D61FEA" w:rsidRDefault="00D61FEA" w:rsidP="00D61FEA">
            <w:pPr>
              <w:widowControl w:val="0"/>
              <w:numPr>
                <w:ilvl w:val="0"/>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b/>
                <w:bCs/>
                <w:sz w:val="24"/>
                <w:szCs w:val="24"/>
                <w:lang w:eastAsia="lt-LT"/>
              </w:rPr>
              <w:t>Liftas keltuvas</w:t>
            </w:r>
          </w:p>
          <w:p w14:paraId="1D412696" w14:textId="7681DD31"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lastRenderedPageBreak/>
              <w:t xml:space="preserve">Keliamo galia </w:t>
            </w:r>
            <w:r w:rsidR="00487B4D" w:rsidRPr="00487B4D">
              <w:rPr>
                <w:rFonts w:asciiTheme="minorHAnsi" w:eastAsia="Times New Roman" w:hAnsiTheme="minorHAnsi" w:cstheme="minorHAnsi"/>
                <w:sz w:val="24"/>
                <w:szCs w:val="24"/>
                <w:lang w:eastAsia="lt-LT"/>
              </w:rPr>
              <w:t>ne mažiau 1500 kg</w:t>
            </w:r>
            <w:r w:rsidRPr="00D61FEA">
              <w:rPr>
                <w:rFonts w:asciiTheme="minorHAnsi" w:eastAsia="Times New Roman" w:hAnsiTheme="minorHAnsi" w:cstheme="minorHAnsi"/>
                <w:sz w:val="24"/>
                <w:szCs w:val="24"/>
                <w:lang w:eastAsia="lt-LT"/>
              </w:rPr>
              <w:t>.</w:t>
            </w:r>
          </w:p>
          <w:p w14:paraId="67720D47" w14:textId="77777777"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t>3-jų dalių galinė apsauga nuo palindimo.</w:t>
            </w:r>
          </w:p>
          <w:p w14:paraId="1D7443E6" w14:textId="2596298A" w:rsidR="00D61FEA" w:rsidRPr="00D61FEA" w:rsidRDefault="00C975F8"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C975F8">
              <w:rPr>
                <w:rFonts w:asciiTheme="minorHAnsi" w:eastAsia="Times New Roman" w:hAnsiTheme="minorHAnsi" w:cstheme="minorHAnsi"/>
                <w:sz w:val="24"/>
                <w:szCs w:val="24"/>
                <w:lang w:eastAsia="lt-LT"/>
              </w:rPr>
              <w:t>Platforma turi būti reguliuojama, reguliavimas ne mažiau nei 4 cilindrais</w:t>
            </w:r>
            <w:r w:rsidR="00D61FEA" w:rsidRPr="00D61FEA">
              <w:rPr>
                <w:rFonts w:asciiTheme="minorHAnsi" w:eastAsia="Times New Roman" w:hAnsiTheme="minorHAnsi" w:cstheme="minorHAnsi"/>
                <w:sz w:val="24"/>
                <w:szCs w:val="24"/>
                <w:lang w:eastAsia="lt-LT"/>
              </w:rPr>
              <w:t>.</w:t>
            </w:r>
          </w:p>
          <w:p w14:paraId="105D7FA3" w14:textId="77777777" w:rsidR="00D61FEA" w:rsidRPr="00D61FEA" w:rsidRDefault="00D61FEA"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61FEA">
              <w:rPr>
                <w:rFonts w:asciiTheme="minorHAnsi" w:eastAsia="Times New Roman" w:hAnsiTheme="minorHAnsi" w:cstheme="minorHAnsi"/>
                <w:sz w:val="24"/>
                <w:szCs w:val="24"/>
                <w:lang w:eastAsia="lt-LT"/>
              </w:rPr>
              <w:t>Aliumininė platforma 2550 x 1600mm, paklaida ± 10 mm.</w:t>
            </w:r>
          </w:p>
          <w:p w14:paraId="6DF642B7" w14:textId="0EC9FF27" w:rsidR="00D61FEA" w:rsidRPr="00D61FEA" w:rsidRDefault="00325790"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325790">
              <w:rPr>
                <w:rFonts w:asciiTheme="minorHAnsi" w:eastAsia="Times New Roman" w:hAnsiTheme="minorHAnsi" w:cstheme="minorHAnsi"/>
                <w:sz w:val="24"/>
                <w:szCs w:val="24"/>
                <w:lang w:eastAsia="lt-LT"/>
              </w:rPr>
              <w:t>Turi būti stacionaraus valdymo pultas</w:t>
            </w:r>
            <w:r w:rsidR="00D61FEA" w:rsidRPr="00D61FEA">
              <w:rPr>
                <w:rFonts w:asciiTheme="minorHAnsi" w:eastAsia="Times New Roman" w:hAnsiTheme="minorHAnsi" w:cstheme="minorHAnsi"/>
                <w:sz w:val="24"/>
                <w:szCs w:val="24"/>
                <w:lang w:eastAsia="lt-LT"/>
              </w:rPr>
              <w:t>.</w:t>
            </w:r>
          </w:p>
          <w:p w14:paraId="1B6A50A8" w14:textId="6ECB975D" w:rsidR="00D61FEA" w:rsidRPr="00D61FEA" w:rsidRDefault="002F3DD4"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2F3DD4">
              <w:rPr>
                <w:rFonts w:asciiTheme="minorHAnsi" w:eastAsia="Times New Roman" w:hAnsiTheme="minorHAnsi" w:cstheme="minorHAnsi"/>
                <w:sz w:val="24"/>
                <w:szCs w:val="24"/>
                <w:lang w:eastAsia="lt-LT"/>
              </w:rPr>
              <w:t>Turi būti distancinis valdymas ant spiralinio kabelio</w:t>
            </w:r>
            <w:r w:rsidR="00D61FEA" w:rsidRPr="00D61FEA">
              <w:rPr>
                <w:rFonts w:asciiTheme="minorHAnsi" w:eastAsia="Times New Roman" w:hAnsiTheme="minorHAnsi" w:cstheme="minorHAnsi"/>
                <w:sz w:val="24"/>
                <w:szCs w:val="24"/>
                <w:lang w:eastAsia="lt-LT"/>
              </w:rPr>
              <w:t>.</w:t>
            </w:r>
          </w:p>
          <w:p w14:paraId="58A4FF57" w14:textId="4C90043A" w:rsidR="00D61FEA" w:rsidRPr="00D61FEA" w:rsidRDefault="00DD7E90"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D7E90">
              <w:rPr>
                <w:rFonts w:asciiTheme="minorHAnsi" w:eastAsia="Times New Roman" w:hAnsiTheme="minorHAnsi" w:cstheme="minorHAnsi"/>
                <w:sz w:val="24"/>
                <w:szCs w:val="24"/>
                <w:lang w:eastAsia="lt-LT"/>
              </w:rPr>
              <w:t xml:space="preserve">Komplektacijoje turi būti </w:t>
            </w:r>
            <w:r>
              <w:rPr>
                <w:rFonts w:asciiTheme="minorHAnsi" w:eastAsia="Times New Roman" w:hAnsiTheme="minorHAnsi" w:cstheme="minorHAnsi"/>
                <w:sz w:val="24"/>
                <w:szCs w:val="24"/>
                <w:lang w:eastAsia="lt-LT"/>
              </w:rPr>
              <w:t>m</w:t>
            </w:r>
            <w:r w:rsidR="00D61FEA" w:rsidRPr="00D61FEA">
              <w:rPr>
                <w:rFonts w:asciiTheme="minorHAnsi" w:eastAsia="Times New Roman" w:hAnsiTheme="minorHAnsi" w:cstheme="minorHAnsi"/>
                <w:sz w:val="24"/>
                <w:szCs w:val="24"/>
                <w:lang w:eastAsia="lt-LT"/>
              </w:rPr>
              <w:t>ontavimo komplektas.</w:t>
            </w:r>
          </w:p>
          <w:p w14:paraId="4CE4A34B" w14:textId="10C75B9F" w:rsidR="00D61FEA" w:rsidRPr="00D61FEA" w:rsidRDefault="00DD7E90" w:rsidP="00D61FEA">
            <w:pPr>
              <w:widowControl w:val="0"/>
              <w:numPr>
                <w:ilvl w:val="1"/>
                <w:numId w:val="10"/>
              </w:numPr>
              <w:autoSpaceDN w:val="0"/>
              <w:spacing w:after="0" w:line="240" w:lineRule="auto"/>
              <w:contextualSpacing/>
              <w:jc w:val="both"/>
              <w:textAlignment w:val="baseline"/>
              <w:rPr>
                <w:rFonts w:asciiTheme="minorHAnsi" w:eastAsia="Times New Roman" w:hAnsiTheme="minorHAnsi" w:cstheme="minorHAnsi"/>
                <w:sz w:val="24"/>
                <w:szCs w:val="24"/>
                <w:lang w:eastAsia="lt-LT"/>
              </w:rPr>
            </w:pPr>
            <w:r w:rsidRPr="00DD7E90">
              <w:rPr>
                <w:rFonts w:asciiTheme="minorHAnsi" w:eastAsia="Times New Roman" w:hAnsiTheme="minorHAnsi" w:cstheme="minorHAnsi"/>
                <w:sz w:val="24"/>
                <w:szCs w:val="24"/>
                <w:lang w:eastAsia="lt-LT"/>
              </w:rPr>
              <w:t xml:space="preserve">Komplektacijoje turi būti </w:t>
            </w:r>
            <w:r>
              <w:rPr>
                <w:rFonts w:asciiTheme="minorHAnsi" w:eastAsia="Times New Roman" w:hAnsiTheme="minorHAnsi" w:cstheme="minorHAnsi"/>
                <w:sz w:val="24"/>
                <w:szCs w:val="24"/>
                <w:lang w:eastAsia="lt-LT"/>
              </w:rPr>
              <w:t>s</w:t>
            </w:r>
            <w:r w:rsidR="00D61FEA" w:rsidRPr="00D61FEA">
              <w:rPr>
                <w:rFonts w:asciiTheme="minorHAnsi" w:eastAsia="Times New Roman" w:hAnsiTheme="minorHAnsi" w:cstheme="minorHAnsi"/>
                <w:sz w:val="24"/>
                <w:szCs w:val="24"/>
                <w:lang w:eastAsia="lt-LT"/>
              </w:rPr>
              <w:t>andariklių komplektas.</w:t>
            </w:r>
          </w:p>
        </w:tc>
      </w:tr>
      <w:tr w:rsidR="00AF47C7" w:rsidRPr="00D61FEA" w14:paraId="758DF4D2" w14:textId="77777777" w:rsidTr="007160AA">
        <w:trPr>
          <w:trHeight w:hRule="exact" w:val="1879"/>
        </w:trPr>
        <w:tc>
          <w:tcPr>
            <w:tcW w:w="709" w:type="dxa"/>
            <w:vMerge w:val="restart"/>
          </w:tcPr>
          <w:p w14:paraId="4D778649" w14:textId="77777777" w:rsidR="00AF47C7" w:rsidRPr="00D61FEA" w:rsidRDefault="00AF47C7" w:rsidP="00F009ED">
            <w:pPr>
              <w:widowControl w:val="0"/>
              <w:autoSpaceDN w:val="0"/>
              <w:spacing w:after="0" w:line="240" w:lineRule="auto"/>
              <w:jc w:val="center"/>
              <w:textAlignment w:val="baseline"/>
              <w:rPr>
                <w:rFonts w:asciiTheme="minorHAnsi" w:eastAsia="Times New Roman" w:hAnsiTheme="minorHAnsi" w:cstheme="minorHAnsi"/>
                <w:b/>
                <w:kern w:val="3"/>
                <w:sz w:val="24"/>
                <w:szCs w:val="24"/>
                <w:lang w:bidi="en-US"/>
              </w:rPr>
            </w:pPr>
            <w:r w:rsidRPr="00D61FEA">
              <w:rPr>
                <w:rFonts w:asciiTheme="minorHAnsi" w:eastAsia="Times New Roman" w:hAnsiTheme="minorHAnsi" w:cstheme="minorHAnsi"/>
                <w:b/>
                <w:kern w:val="3"/>
                <w:sz w:val="24"/>
                <w:szCs w:val="24"/>
                <w:lang w:bidi="en-US"/>
              </w:rPr>
              <w:lastRenderedPageBreak/>
              <w:t>3.</w:t>
            </w:r>
          </w:p>
        </w:tc>
        <w:tc>
          <w:tcPr>
            <w:tcW w:w="2693" w:type="dxa"/>
            <w:vMerge w:val="restart"/>
          </w:tcPr>
          <w:p w14:paraId="7D678A0A" w14:textId="77777777" w:rsidR="00AF47C7" w:rsidRPr="00D61FEA" w:rsidRDefault="00AF47C7" w:rsidP="00F009ED">
            <w:pPr>
              <w:widowControl w:val="0"/>
              <w:autoSpaceDN w:val="0"/>
              <w:spacing w:after="0" w:line="240" w:lineRule="auto"/>
              <w:textAlignment w:val="baseline"/>
              <w:rPr>
                <w:rFonts w:asciiTheme="minorHAnsi" w:eastAsia="Times New Roman" w:hAnsiTheme="minorHAnsi" w:cstheme="minorHAnsi"/>
                <w:b/>
                <w:kern w:val="3"/>
                <w:sz w:val="24"/>
                <w:szCs w:val="24"/>
                <w:lang w:bidi="en-US"/>
              </w:rPr>
            </w:pPr>
            <w:r w:rsidRPr="00D61FEA">
              <w:rPr>
                <w:rFonts w:asciiTheme="minorHAnsi" w:eastAsia="Times New Roman" w:hAnsiTheme="minorHAnsi" w:cstheme="minorHAnsi"/>
                <w:b/>
                <w:kern w:val="3"/>
                <w:sz w:val="24"/>
                <w:szCs w:val="24"/>
                <w:lang w:bidi="en-US"/>
              </w:rPr>
              <w:t>Kiti reikalavimai:</w:t>
            </w:r>
          </w:p>
        </w:tc>
        <w:tc>
          <w:tcPr>
            <w:tcW w:w="5925" w:type="dxa"/>
          </w:tcPr>
          <w:p w14:paraId="08279494" w14:textId="77777777" w:rsidR="00AF47C7" w:rsidRPr="00D61FEA" w:rsidRDefault="00AF47C7" w:rsidP="00D61FEA">
            <w:pPr>
              <w:widowControl w:val="0"/>
              <w:numPr>
                <w:ilvl w:val="0"/>
                <w:numId w:val="14"/>
              </w:numPr>
              <w:autoSpaceDN w:val="0"/>
              <w:spacing w:after="0" w:line="240" w:lineRule="auto"/>
              <w:ind w:left="28"/>
              <w:contextualSpacing/>
              <w:jc w:val="both"/>
              <w:textAlignment w:val="baseline"/>
              <w:rPr>
                <w:rFonts w:asciiTheme="minorHAnsi" w:eastAsia="Times New Roman" w:hAnsiTheme="minorHAnsi" w:cstheme="minorHAnsi"/>
                <w:b/>
                <w:sz w:val="24"/>
                <w:szCs w:val="24"/>
                <w:lang w:eastAsia="lt-LT"/>
              </w:rPr>
            </w:pPr>
            <w:r w:rsidRPr="00D61FEA">
              <w:rPr>
                <w:rFonts w:asciiTheme="minorHAnsi" w:eastAsia="Times New Roman" w:hAnsiTheme="minorHAnsi" w:cstheme="minorHAnsi"/>
                <w:b/>
                <w:sz w:val="24"/>
                <w:szCs w:val="24"/>
                <w:lang w:eastAsia="lt-LT"/>
              </w:rPr>
              <w:t>Draudimas ir registracija</w:t>
            </w:r>
          </w:p>
          <w:p w14:paraId="2B1188E9" w14:textId="55AFDDE2" w:rsidR="00AF47C7" w:rsidRDefault="00AF47C7" w:rsidP="00D61FEA">
            <w:pPr>
              <w:widowControl w:val="0"/>
              <w:numPr>
                <w:ilvl w:val="1"/>
                <w:numId w:val="14"/>
              </w:numPr>
              <w:autoSpaceDN w:val="0"/>
              <w:spacing w:after="0" w:line="240" w:lineRule="auto"/>
              <w:contextualSpacing/>
              <w:jc w:val="both"/>
              <w:textAlignment w:val="baseline"/>
              <w:rPr>
                <w:rFonts w:asciiTheme="minorHAnsi" w:eastAsia="Times New Roman" w:hAnsiTheme="minorHAnsi" w:cstheme="minorHAnsi"/>
                <w:bCs/>
                <w:sz w:val="24"/>
                <w:szCs w:val="24"/>
                <w:lang w:eastAsia="lt-LT"/>
              </w:rPr>
            </w:pPr>
            <w:r w:rsidRPr="009D502B">
              <w:rPr>
                <w:rFonts w:asciiTheme="minorHAnsi" w:eastAsia="Times New Roman" w:hAnsiTheme="minorHAnsi" w:cstheme="minorHAnsi"/>
                <w:bCs/>
                <w:sz w:val="24"/>
                <w:szCs w:val="24"/>
                <w:lang w:eastAsia="lt-LT"/>
              </w:rPr>
              <w:t>Automobiliai turi turėti galiojantį automobilio civilinės atsakomybės draudimą.</w:t>
            </w:r>
          </w:p>
          <w:p w14:paraId="2D6E24FE" w14:textId="2C6910A2" w:rsidR="00AF47C7" w:rsidRPr="00D61FEA" w:rsidRDefault="00AF47C7" w:rsidP="00D61FEA">
            <w:pPr>
              <w:widowControl w:val="0"/>
              <w:numPr>
                <w:ilvl w:val="1"/>
                <w:numId w:val="14"/>
              </w:numPr>
              <w:autoSpaceDN w:val="0"/>
              <w:spacing w:after="0" w:line="240" w:lineRule="auto"/>
              <w:contextualSpacing/>
              <w:jc w:val="both"/>
              <w:textAlignment w:val="baseline"/>
              <w:rPr>
                <w:rFonts w:asciiTheme="minorHAnsi" w:eastAsia="Times New Roman" w:hAnsiTheme="minorHAnsi" w:cstheme="minorHAnsi"/>
                <w:bCs/>
                <w:sz w:val="24"/>
                <w:szCs w:val="24"/>
                <w:lang w:eastAsia="lt-LT"/>
              </w:rPr>
            </w:pPr>
            <w:r w:rsidRPr="007160AA">
              <w:rPr>
                <w:rFonts w:asciiTheme="minorHAnsi" w:eastAsia="Times New Roman" w:hAnsiTheme="minorHAnsi" w:cstheme="minorHAnsi"/>
                <w:bCs/>
                <w:sz w:val="24"/>
                <w:szCs w:val="24"/>
                <w:lang w:eastAsia="lt-LT"/>
              </w:rPr>
              <w:t>Automobiliai turi būti užregistruoti Lietuvos Respublikos kelių transporto priemonių registre perkančiosios organizacijos vardu.</w:t>
            </w:r>
          </w:p>
        </w:tc>
      </w:tr>
      <w:tr w:rsidR="00AF47C7" w:rsidRPr="00D61FEA" w14:paraId="4415B039" w14:textId="77777777" w:rsidTr="002F70CA">
        <w:trPr>
          <w:trHeight w:hRule="exact" w:val="7944"/>
        </w:trPr>
        <w:tc>
          <w:tcPr>
            <w:tcW w:w="709" w:type="dxa"/>
            <w:vMerge/>
          </w:tcPr>
          <w:p w14:paraId="22FB8E6F" w14:textId="77777777" w:rsidR="00AF47C7" w:rsidRPr="00D61FEA" w:rsidRDefault="00AF47C7" w:rsidP="00F009ED">
            <w:pPr>
              <w:widowControl w:val="0"/>
              <w:autoSpaceDN w:val="0"/>
              <w:spacing w:after="0" w:line="240" w:lineRule="auto"/>
              <w:jc w:val="center"/>
              <w:textAlignment w:val="baseline"/>
              <w:rPr>
                <w:rFonts w:asciiTheme="minorHAnsi" w:eastAsia="Times New Roman" w:hAnsiTheme="minorHAnsi" w:cstheme="minorHAnsi"/>
                <w:b/>
                <w:kern w:val="3"/>
                <w:sz w:val="24"/>
                <w:szCs w:val="24"/>
                <w:lang w:bidi="en-US"/>
              </w:rPr>
            </w:pPr>
          </w:p>
        </w:tc>
        <w:tc>
          <w:tcPr>
            <w:tcW w:w="2693" w:type="dxa"/>
            <w:vMerge/>
          </w:tcPr>
          <w:p w14:paraId="2793EE46" w14:textId="77777777" w:rsidR="00AF47C7" w:rsidRPr="00D61FEA" w:rsidRDefault="00AF47C7" w:rsidP="00F009ED">
            <w:pPr>
              <w:widowControl w:val="0"/>
              <w:autoSpaceDN w:val="0"/>
              <w:spacing w:after="0" w:line="240" w:lineRule="auto"/>
              <w:textAlignment w:val="baseline"/>
              <w:rPr>
                <w:rFonts w:asciiTheme="minorHAnsi" w:eastAsia="Times New Roman" w:hAnsiTheme="minorHAnsi" w:cstheme="minorHAnsi"/>
                <w:b/>
                <w:kern w:val="3"/>
                <w:sz w:val="24"/>
                <w:szCs w:val="24"/>
                <w:lang w:bidi="en-US"/>
              </w:rPr>
            </w:pPr>
          </w:p>
        </w:tc>
        <w:tc>
          <w:tcPr>
            <w:tcW w:w="5925" w:type="dxa"/>
          </w:tcPr>
          <w:p w14:paraId="23019D8D" w14:textId="77777777" w:rsidR="00AF47C7" w:rsidRPr="00AF47C7" w:rsidRDefault="00AF47C7" w:rsidP="00B860DA">
            <w:pPr>
              <w:widowControl w:val="0"/>
              <w:autoSpaceDN w:val="0"/>
              <w:spacing w:after="0" w:line="240" w:lineRule="auto"/>
              <w:ind w:left="28"/>
              <w:contextualSpacing/>
              <w:jc w:val="both"/>
              <w:textAlignment w:val="baseline"/>
              <w:rPr>
                <w:rFonts w:asciiTheme="minorHAnsi" w:eastAsia="Times New Roman" w:hAnsiTheme="minorHAnsi" w:cstheme="minorHAnsi"/>
                <w:b/>
                <w:bCs/>
                <w:color w:val="000000"/>
                <w:sz w:val="24"/>
                <w:szCs w:val="24"/>
                <w:bdr w:val="none" w:sz="0" w:space="0" w:color="auto" w:frame="1"/>
                <w:shd w:val="clear" w:color="auto" w:fill="FFFFFF"/>
                <w:lang w:eastAsia="lt-LT"/>
              </w:rPr>
            </w:pPr>
            <w:r w:rsidRPr="00AF47C7">
              <w:rPr>
                <w:rFonts w:asciiTheme="minorHAnsi" w:eastAsia="Times New Roman" w:hAnsiTheme="minorHAnsi" w:cstheme="minorHAnsi"/>
                <w:b/>
                <w:bCs/>
                <w:color w:val="000000"/>
                <w:sz w:val="24"/>
                <w:szCs w:val="24"/>
                <w:bdr w:val="none" w:sz="0" w:space="0" w:color="auto" w:frame="1"/>
                <w:shd w:val="clear" w:color="auto" w:fill="FFFFFF"/>
                <w:lang w:eastAsia="lt-LT"/>
              </w:rPr>
              <w:t>3.2. Aplinkosauginiai reikalavimai</w:t>
            </w:r>
          </w:p>
          <w:p w14:paraId="59E79D15" w14:textId="78D2F2DE" w:rsidR="002F70CA" w:rsidRDefault="00AF47C7" w:rsidP="002F70CA">
            <w:pPr>
              <w:widowControl w:val="0"/>
              <w:tabs>
                <w:tab w:val="left" w:pos="595"/>
              </w:tabs>
              <w:autoSpaceDN w:val="0"/>
              <w:spacing w:after="0" w:line="240" w:lineRule="auto"/>
              <w:contextualSpacing/>
              <w:jc w:val="both"/>
              <w:textAlignment w:val="baseline"/>
              <w:rPr>
                <w:rFonts w:asciiTheme="minorHAnsi" w:eastAsia="Times New Roman" w:hAnsiTheme="minorHAnsi" w:cstheme="minorHAnsi"/>
                <w:color w:val="000000"/>
                <w:sz w:val="24"/>
                <w:szCs w:val="24"/>
                <w:bdr w:val="none" w:sz="0" w:space="0" w:color="auto" w:frame="1"/>
                <w:shd w:val="clear" w:color="auto" w:fill="FFFFFF"/>
                <w:lang w:eastAsia="lt-LT"/>
              </w:rPr>
            </w:pPr>
            <w:r w:rsidRPr="00EA49EC">
              <w:rPr>
                <w:rFonts w:asciiTheme="minorHAnsi" w:eastAsia="Times New Roman" w:hAnsiTheme="minorHAnsi" w:cstheme="minorHAnsi"/>
                <w:color w:val="000000"/>
                <w:sz w:val="24"/>
                <w:szCs w:val="24"/>
                <w:bdr w:val="none" w:sz="0" w:space="0" w:color="auto" w:frame="1"/>
                <w:shd w:val="clear" w:color="auto" w:fill="FFFFFF"/>
                <w:lang w:eastAsia="lt-LT"/>
              </w:rPr>
              <w:t>Automobili</w:t>
            </w:r>
            <w:r w:rsidR="003977C7">
              <w:rPr>
                <w:rFonts w:asciiTheme="minorHAnsi" w:eastAsia="Times New Roman" w:hAnsiTheme="minorHAnsi" w:cstheme="minorHAnsi"/>
                <w:color w:val="000000"/>
                <w:sz w:val="24"/>
                <w:szCs w:val="24"/>
                <w:bdr w:val="none" w:sz="0" w:space="0" w:color="auto" w:frame="1"/>
                <w:shd w:val="clear" w:color="auto" w:fill="FFFFFF"/>
                <w:lang w:eastAsia="lt-LT"/>
              </w:rPr>
              <w:t>ams</w:t>
            </w:r>
            <w:r w:rsidRPr="00EA49EC">
              <w:rPr>
                <w:rFonts w:asciiTheme="minorHAnsi" w:eastAsia="Times New Roman" w:hAnsiTheme="minorHAnsi" w:cstheme="minorHAnsi"/>
                <w:color w:val="000000"/>
                <w:sz w:val="24"/>
                <w:szCs w:val="24"/>
                <w:bdr w:val="none" w:sz="0" w:space="0" w:color="auto" w:frame="1"/>
                <w:shd w:val="clear" w:color="auto" w:fill="FFFFFF"/>
                <w:lang w:eastAsia="lt-LT"/>
              </w:rPr>
              <w:t xml:space="preserve"> t</w:t>
            </w:r>
            <w:r>
              <w:rPr>
                <w:rFonts w:asciiTheme="minorHAnsi" w:eastAsia="Times New Roman" w:hAnsiTheme="minorHAnsi" w:cstheme="minorHAnsi"/>
                <w:color w:val="000000"/>
                <w:sz w:val="24"/>
                <w:szCs w:val="24"/>
                <w:bdr w:val="none" w:sz="0" w:space="0" w:color="auto" w:frame="1"/>
                <w:shd w:val="clear" w:color="auto" w:fill="FFFFFF"/>
                <w:lang w:eastAsia="lt-LT"/>
              </w:rPr>
              <w:t>aikoma</w:t>
            </w:r>
            <w:r w:rsidRPr="00EA49EC">
              <w:rPr>
                <w:rFonts w:asciiTheme="minorHAnsi" w:eastAsia="Times New Roman" w:hAnsiTheme="minorHAnsi" w:cstheme="minorHAnsi"/>
                <w:color w:val="000000"/>
                <w:sz w:val="24"/>
                <w:szCs w:val="24"/>
                <w:bdr w:val="none" w:sz="0" w:space="0" w:color="auto" w:frame="1"/>
                <w:shd w:val="clear" w:color="auto" w:fill="FFFFFF"/>
                <w:lang w:eastAsia="lt-LT"/>
              </w:rPr>
              <w:t xml:space="preserve"> Lietuvos Respublikos aplinkos ministro 2011 m. birželio 28 d. įsakymu Nr. D1-508 „Dėl Aplinkos apsaugos kriterijų taikymo, vykdant žaliuosius pirkimus, tvarkos aprašo patvirtinimo“ patvirtinto Aplinkos apsaugos kriterijų taikymo, vykdant žaliuosius pirkimus, tvarkos aprašo 2 priedo 10.1.2 punkte nurodyt</w:t>
            </w:r>
            <w:r>
              <w:rPr>
                <w:rFonts w:asciiTheme="minorHAnsi" w:eastAsia="Times New Roman" w:hAnsiTheme="minorHAnsi" w:cstheme="minorHAnsi"/>
                <w:color w:val="000000"/>
                <w:sz w:val="24"/>
                <w:szCs w:val="24"/>
                <w:bdr w:val="none" w:sz="0" w:space="0" w:color="auto" w:frame="1"/>
                <w:shd w:val="clear" w:color="auto" w:fill="FFFFFF"/>
                <w:lang w:eastAsia="lt-LT"/>
              </w:rPr>
              <w:t>a</w:t>
            </w:r>
            <w:r w:rsidRPr="00EA49EC">
              <w:rPr>
                <w:rFonts w:asciiTheme="minorHAnsi" w:eastAsia="Times New Roman" w:hAnsiTheme="minorHAnsi" w:cstheme="minorHAnsi"/>
                <w:color w:val="000000"/>
                <w:sz w:val="24"/>
                <w:szCs w:val="24"/>
                <w:bdr w:val="none" w:sz="0" w:space="0" w:color="auto" w:frame="1"/>
                <w:shd w:val="clear" w:color="auto" w:fill="FFFFFF"/>
                <w:lang w:eastAsia="lt-LT"/>
              </w:rPr>
              <w:t xml:space="preserve"> </w:t>
            </w:r>
            <w:r>
              <w:rPr>
                <w:rFonts w:asciiTheme="minorHAnsi" w:eastAsia="Times New Roman" w:hAnsiTheme="minorHAnsi" w:cstheme="minorHAnsi"/>
                <w:color w:val="000000"/>
                <w:sz w:val="24"/>
                <w:szCs w:val="24"/>
                <w:bdr w:val="none" w:sz="0" w:space="0" w:color="auto" w:frame="1"/>
                <w:shd w:val="clear" w:color="auto" w:fill="FFFFFF"/>
                <w:lang w:eastAsia="lt-LT"/>
              </w:rPr>
              <w:t>išimtis pagal A</w:t>
            </w:r>
            <w:r w:rsidRPr="00E67EBE">
              <w:rPr>
                <w:rFonts w:asciiTheme="minorHAnsi" w:eastAsia="Times New Roman" w:hAnsiTheme="minorHAnsi" w:cstheme="minorHAnsi"/>
                <w:color w:val="000000"/>
                <w:sz w:val="24"/>
                <w:szCs w:val="24"/>
                <w:bdr w:val="none" w:sz="0" w:space="0" w:color="auto" w:frame="1"/>
                <w:shd w:val="clear" w:color="auto" w:fill="FFFFFF"/>
                <w:lang w:eastAsia="lt-LT"/>
              </w:rPr>
              <w:t>lternatyviųjų degalų įstatymo 15 straipsnio 7 dal</w:t>
            </w:r>
            <w:r>
              <w:rPr>
                <w:rFonts w:asciiTheme="minorHAnsi" w:eastAsia="Times New Roman" w:hAnsiTheme="minorHAnsi" w:cstheme="minorHAnsi"/>
                <w:color w:val="000000"/>
                <w:sz w:val="24"/>
                <w:szCs w:val="24"/>
                <w:bdr w:val="none" w:sz="0" w:space="0" w:color="auto" w:frame="1"/>
                <w:shd w:val="clear" w:color="auto" w:fill="FFFFFF"/>
                <w:lang w:eastAsia="lt-LT"/>
              </w:rPr>
              <w:t xml:space="preserve">ies </w:t>
            </w:r>
            <w:r w:rsidRPr="00E67EBE">
              <w:rPr>
                <w:rFonts w:asciiTheme="minorHAnsi" w:eastAsia="Times New Roman" w:hAnsiTheme="minorHAnsi" w:cstheme="minorHAnsi"/>
                <w:color w:val="000000"/>
                <w:sz w:val="24"/>
                <w:szCs w:val="24"/>
                <w:bdr w:val="none" w:sz="0" w:space="0" w:color="auto" w:frame="1"/>
                <w:shd w:val="clear" w:color="auto" w:fill="FFFFFF"/>
                <w:lang w:eastAsia="lt-LT"/>
              </w:rPr>
              <w:t xml:space="preserve"> </w:t>
            </w:r>
            <w:r>
              <w:rPr>
                <w:rFonts w:asciiTheme="minorHAnsi" w:eastAsia="Times New Roman" w:hAnsiTheme="minorHAnsi" w:cstheme="minorHAnsi"/>
                <w:color w:val="000000"/>
                <w:sz w:val="24"/>
                <w:szCs w:val="24"/>
                <w:bdr w:val="none" w:sz="0" w:space="0" w:color="auto" w:frame="1"/>
                <w:shd w:val="clear" w:color="auto" w:fill="FFFFFF"/>
                <w:lang w:eastAsia="lt-LT"/>
              </w:rPr>
              <w:t xml:space="preserve">16 papunktį ir, vadovaujantis </w:t>
            </w:r>
            <w:r w:rsidRPr="00EA49EC">
              <w:rPr>
                <w:rFonts w:asciiTheme="minorHAnsi" w:eastAsia="Times New Roman" w:hAnsiTheme="minorHAnsi" w:cstheme="minorHAnsi"/>
                <w:color w:val="000000"/>
                <w:sz w:val="24"/>
                <w:szCs w:val="24"/>
                <w:bdr w:val="none" w:sz="0" w:space="0" w:color="auto" w:frame="1"/>
                <w:shd w:val="clear" w:color="auto" w:fill="FFFFFF"/>
                <w:lang w:eastAsia="lt-LT"/>
              </w:rPr>
              <w:t xml:space="preserve">Lietuvos Respublikos </w:t>
            </w:r>
            <w:r>
              <w:rPr>
                <w:rFonts w:asciiTheme="minorHAnsi" w:eastAsia="Times New Roman" w:hAnsiTheme="minorHAnsi" w:cstheme="minorHAnsi"/>
                <w:color w:val="000000"/>
                <w:sz w:val="24"/>
                <w:szCs w:val="24"/>
                <w:bdr w:val="none" w:sz="0" w:space="0" w:color="auto" w:frame="1"/>
                <w:shd w:val="clear" w:color="auto" w:fill="FFFFFF"/>
                <w:lang w:eastAsia="lt-LT"/>
              </w:rPr>
              <w:t>susisiekimo</w:t>
            </w:r>
            <w:r w:rsidRPr="00EA49EC">
              <w:rPr>
                <w:rFonts w:asciiTheme="minorHAnsi" w:eastAsia="Times New Roman" w:hAnsiTheme="minorHAnsi" w:cstheme="minorHAnsi"/>
                <w:color w:val="000000"/>
                <w:sz w:val="24"/>
                <w:szCs w:val="24"/>
                <w:bdr w:val="none" w:sz="0" w:space="0" w:color="auto" w:frame="1"/>
                <w:shd w:val="clear" w:color="auto" w:fill="FFFFFF"/>
                <w:lang w:eastAsia="lt-LT"/>
              </w:rPr>
              <w:t xml:space="preserve"> ministro 2011 m. </w:t>
            </w:r>
            <w:r>
              <w:rPr>
                <w:rFonts w:asciiTheme="minorHAnsi" w:eastAsia="Times New Roman" w:hAnsiTheme="minorHAnsi" w:cstheme="minorHAnsi"/>
                <w:color w:val="000000"/>
                <w:sz w:val="24"/>
                <w:szCs w:val="24"/>
                <w:bdr w:val="none" w:sz="0" w:space="0" w:color="auto" w:frame="1"/>
                <w:shd w:val="clear" w:color="auto" w:fill="FFFFFF"/>
                <w:lang w:eastAsia="lt-LT"/>
              </w:rPr>
              <w:t>vasario</w:t>
            </w:r>
            <w:r w:rsidRPr="00EA49EC">
              <w:rPr>
                <w:rFonts w:asciiTheme="minorHAnsi" w:eastAsia="Times New Roman" w:hAnsiTheme="minorHAnsi" w:cstheme="minorHAnsi"/>
                <w:color w:val="000000"/>
                <w:sz w:val="24"/>
                <w:szCs w:val="24"/>
                <w:bdr w:val="none" w:sz="0" w:space="0" w:color="auto" w:frame="1"/>
                <w:shd w:val="clear" w:color="auto" w:fill="FFFFFF"/>
                <w:lang w:eastAsia="lt-LT"/>
              </w:rPr>
              <w:t xml:space="preserve"> 2</w:t>
            </w:r>
            <w:r>
              <w:rPr>
                <w:rFonts w:asciiTheme="minorHAnsi" w:eastAsia="Times New Roman" w:hAnsiTheme="minorHAnsi" w:cstheme="minorHAnsi"/>
                <w:color w:val="000000"/>
                <w:sz w:val="24"/>
                <w:szCs w:val="24"/>
                <w:bdr w:val="none" w:sz="0" w:space="0" w:color="auto" w:frame="1"/>
                <w:shd w:val="clear" w:color="auto" w:fill="FFFFFF"/>
                <w:lang w:eastAsia="lt-LT"/>
              </w:rPr>
              <w:t>1</w:t>
            </w:r>
            <w:r w:rsidRPr="00EA49EC">
              <w:rPr>
                <w:rFonts w:asciiTheme="minorHAnsi" w:eastAsia="Times New Roman" w:hAnsiTheme="minorHAnsi" w:cstheme="minorHAnsi"/>
                <w:color w:val="000000"/>
                <w:sz w:val="24"/>
                <w:szCs w:val="24"/>
                <w:bdr w:val="none" w:sz="0" w:space="0" w:color="auto" w:frame="1"/>
                <w:shd w:val="clear" w:color="auto" w:fill="FFFFFF"/>
                <w:lang w:eastAsia="lt-LT"/>
              </w:rPr>
              <w:t xml:space="preserve"> d. įsakym</w:t>
            </w:r>
            <w:r>
              <w:rPr>
                <w:rFonts w:asciiTheme="minorHAnsi" w:eastAsia="Times New Roman" w:hAnsiTheme="minorHAnsi" w:cstheme="minorHAnsi"/>
                <w:color w:val="000000"/>
                <w:sz w:val="24"/>
                <w:szCs w:val="24"/>
                <w:bdr w:val="none" w:sz="0" w:space="0" w:color="auto" w:frame="1"/>
                <w:shd w:val="clear" w:color="auto" w:fill="FFFFFF"/>
                <w:lang w:eastAsia="lt-LT"/>
              </w:rPr>
              <w:t>o</w:t>
            </w:r>
            <w:r w:rsidRPr="00EA49EC">
              <w:rPr>
                <w:rFonts w:asciiTheme="minorHAnsi" w:eastAsia="Times New Roman" w:hAnsiTheme="minorHAnsi" w:cstheme="minorHAnsi"/>
                <w:color w:val="000000"/>
                <w:sz w:val="24"/>
                <w:szCs w:val="24"/>
                <w:bdr w:val="none" w:sz="0" w:space="0" w:color="auto" w:frame="1"/>
                <w:shd w:val="clear" w:color="auto" w:fill="FFFFFF"/>
                <w:lang w:eastAsia="lt-LT"/>
              </w:rPr>
              <w:t xml:space="preserve"> Nr. </w:t>
            </w:r>
            <w:r>
              <w:rPr>
                <w:rFonts w:asciiTheme="minorHAnsi" w:eastAsia="Times New Roman" w:hAnsiTheme="minorHAnsi" w:cstheme="minorHAnsi"/>
                <w:color w:val="000000"/>
                <w:sz w:val="24"/>
                <w:szCs w:val="24"/>
                <w:bdr w:val="none" w:sz="0" w:space="0" w:color="auto" w:frame="1"/>
                <w:shd w:val="clear" w:color="auto" w:fill="FFFFFF"/>
                <w:lang w:eastAsia="lt-LT"/>
              </w:rPr>
              <w:t>3</w:t>
            </w:r>
            <w:r w:rsidRPr="00EA49EC">
              <w:rPr>
                <w:rFonts w:asciiTheme="minorHAnsi" w:eastAsia="Times New Roman" w:hAnsiTheme="minorHAnsi" w:cstheme="minorHAnsi"/>
                <w:color w:val="000000"/>
                <w:sz w:val="24"/>
                <w:szCs w:val="24"/>
                <w:bdr w:val="none" w:sz="0" w:space="0" w:color="auto" w:frame="1"/>
                <w:shd w:val="clear" w:color="auto" w:fill="FFFFFF"/>
                <w:lang w:eastAsia="lt-LT"/>
              </w:rPr>
              <w:t>-</w:t>
            </w:r>
            <w:r>
              <w:rPr>
                <w:rFonts w:asciiTheme="minorHAnsi" w:eastAsia="Times New Roman" w:hAnsiTheme="minorHAnsi" w:cstheme="minorHAnsi"/>
                <w:color w:val="000000"/>
                <w:sz w:val="24"/>
                <w:szCs w:val="24"/>
                <w:bdr w:val="none" w:sz="0" w:space="0" w:color="auto" w:frame="1"/>
                <w:shd w:val="clear" w:color="auto" w:fill="FFFFFF"/>
                <w:lang w:eastAsia="lt-LT"/>
              </w:rPr>
              <w:t>100 „D</w:t>
            </w:r>
            <w:r w:rsidRPr="00E8141B">
              <w:rPr>
                <w:rFonts w:asciiTheme="minorHAnsi" w:eastAsia="Times New Roman" w:hAnsiTheme="minorHAnsi" w:cstheme="minorHAnsi"/>
                <w:color w:val="000000"/>
                <w:sz w:val="24"/>
                <w:szCs w:val="24"/>
                <w:bdr w:val="none" w:sz="0" w:space="0" w:color="auto" w:frame="1"/>
                <w:shd w:val="clear" w:color="auto" w:fill="FFFFFF"/>
                <w:lang w:eastAsia="lt-LT"/>
              </w:rPr>
              <w:t>ėl energijos vartojimo efektyvumo ir aplinkos apsaugos reikalavimų, taikomų įsigyjant kelių transporto priemones, nustatymo ir atvejų, kada juos privaloma taikyti, tvarkos aprašo patvirtinimo</w:t>
            </w:r>
            <w:r>
              <w:rPr>
                <w:rFonts w:asciiTheme="minorHAnsi" w:eastAsia="Times New Roman" w:hAnsiTheme="minorHAnsi" w:cstheme="minorHAnsi"/>
                <w:color w:val="000000"/>
                <w:sz w:val="24"/>
                <w:szCs w:val="24"/>
                <w:bdr w:val="none" w:sz="0" w:space="0" w:color="auto" w:frame="1"/>
                <w:shd w:val="clear" w:color="auto" w:fill="FFFFFF"/>
                <w:lang w:eastAsia="lt-LT"/>
              </w:rPr>
              <w:t>“ patvirtinto E</w:t>
            </w:r>
            <w:r w:rsidRPr="00B17FD7">
              <w:rPr>
                <w:rFonts w:asciiTheme="minorHAnsi" w:eastAsia="Times New Roman" w:hAnsiTheme="minorHAnsi" w:cstheme="minorHAnsi"/>
                <w:color w:val="000000"/>
                <w:sz w:val="24"/>
                <w:szCs w:val="24"/>
                <w:bdr w:val="none" w:sz="0" w:space="0" w:color="auto" w:frame="1"/>
                <w:shd w:val="clear" w:color="auto" w:fill="FFFFFF"/>
                <w:lang w:eastAsia="lt-LT"/>
              </w:rPr>
              <w:t>nergijos vartojimo efektyvumo ir aplinkos apsaugos reikalavimų, taikomų įsigyjant kelių transporto priemones, nustatymo ir atvejų, kada juos privaloma taikyti, tvarkos apraš</w:t>
            </w:r>
            <w:r>
              <w:rPr>
                <w:rFonts w:asciiTheme="minorHAnsi" w:eastAsia="Times New Roman" w:hAnsiTheme="minorHAnsi" w:cstheme="minorHAnsi"/>
                <w:color w:val="000000"/>
                <w:sz w:val="24"/>
                <w:szCs w:val="24"/>
                <w:bdr w:val="none" w:sz="0" w:space="0" w:color="auto" w:frame="1"/>
                <w:shd w:val="clear" w:color="auto" w:fill="FFFFFF"/>
                <w:lang w:eastAsia="lt-LT"/>
              </w:rPr>
              <w:t>o 5</w:t>
            </w:r>
            <w:r w:rsidR="002F70CA">
              <w:rPr>
                <w:rFonts w:asciiTheme="minorHAnsi" w:eastAsia="Times New Roman" w:hAnsiTheme="minorHAnsi" w:cstheme="minorHAnsi"/>
                <w:color w:val="000000"/>
                <w:sz w:val="24"/>
                <w:szCs w:val="24"/>
                <w:bdr w:val="none" w:sz="0" w:space="0" w:color="auto" w:frame="1"/>
                <w:shd w:val="clear" w:color="auto" w:fill="FFFFFF"/>
                <w:lang w:eastAsia="lt-LT"/>
              </w:rPr>
              <w:t xml:space="preserve"> punktu, nustatomi aplinkosauginiai reikalavimai:</w:t>
            </w:r>
          </w:p>
          <w:p w14:paraId="25820C37" w14:textId="5EF4CF41" w:rsidR="002F70CA" w:rsidRPr="00A47B4B" w:rsidRDefault="002F70CA" w:rsidP="002F70CA">
            <w:pPr>
              <w:spacing w:after="0" w:line="240" w:lineRule="auto"/>
              <w:jc w:val="both"/>
              <w:rPr>
                <w:rFonts w:eastAsia="Times New Roman" w:cs="Calibri"/>
                <w:color w:val="000000"/>
                <w:sz w:val="24"/>
                <w:szCs w:val="24"/>
                <w:bdr w:val="none" w:sz="0" w:space="0" w:color="auto" w:frame="1"/>
                <w:shd w:val="clear" w:color="auto" w:fill="FFFFFF"/>
              </w:rPr>
            </w:pPr>
            <w:r w:rsidRPr="00A47B4B">
              <w:rPr>
                <w:rFonts w:cs="Calibri"/>
                <w:sz w:val="24"/>
                <w:szCs w:val="24"/>
              </w:rPr>
              <w:t>3.</w:t>
            </w:r>
            <w:r>
              <w:rPr>
                <w:rFonts w:cs="Calibri"/>
                <w:sz w:val="24"/>
                <w:szCs w:val="24"/>
              </w:rPr>
              <w:t>2</w:t>
            </w:r>
            <w:r w:rsidRPr="00A47B4B">
              <w:rPr>
                <w:rFonts w:cs="Calibri"/>
                <w:sz w:val="24"/>
                <w:szCs w:val="24"/>
              </w:rPr>
              <w:t>.1.</w:t>
            </w:r>
            <w:r w:rsidRPr="00A47B4B">
              <w:rPr>
                <w:rFonts w:cs="Calibri"/>
                <w:b/>
                <w:bCs/>
                <w:sz w:val="24"/>
                <w:szCs w:val="24"/>
              </w:rPr>
              <w:t xml:space="preserve"> </w:t>
            </w:r>
            <w:r w:rsidRPr="00A47B4B">
              <w:rPr>
                <w:rFonts w:eastAsia="Times New Roman" w:cs="Calibri"/>
                <w:color w:val="000000"/>
                <w:sz w:val="24"/>
                <w:szCs w:val="24"/>
                <w:bdr w:val="none" w:sz="0" w:space="0" w:color="auto" w:frame="1"/>
                <w:shd w:val="clear" w:color="auto" w:fill="FFFFFF"/>
              </w:rPr>
              <w:t>Automobiliai turi atitikti ne žemesnę nei Euro 6 klasę.</w:t>
            </w:r>
          </w:p>
          <w:p w14:paraId="7128C4E0" w14:textId="08B276B9" w:rsidR="00AF47C7" w:rsidRPr="00D61FEA" w:rsidRDefault="002F70CA" w:rsidP="002F70CA">
            <w:pPr>
              <w:widowControl w:val="0"/>
              <w:autoSpaceDN w:val="0"/>
              <w:spacing w:after="0" w:line="240" w:lineRule="auto"/>
              <w:ind w:left="28"/>
              <w:contextualSpacing/>
              <w:jc w:val="both"/>
              <w:textAlignment w:val="baseline"/>
              <w:rPr>
                <w:rFonts w:asciiTheme="minorHAnsi" w:eastAsia="Times New Roman" w:hAnsiTheme="minorHAnsi" w:cstheme="minorHAnsi"/>
                <w:b/>
                <w:sz w:val="24"/>
                <w:szCs w:val="24"/>
                <w:lang w:eastAsia="lt-LT"/>
              </w:rPr>
            </w:pPr>
            <w:r w:rsidRPr="00A47B4B">
              <w:rPr>
                <w:rFonts w:eastAsia="Times New Roman" w:cs="Calibri"/>
                <w:color w:val="000000"/>
                <w:sz w:val="24"/>
                <w:szCs w:val="24"/>
                <w:bdr w:val="none" w:sz="0" w:space="0" w:color="auto" w:frame="1"/>
                <w:shd w:val="clear" w:color="auto" w:fill="FFFFFF"/>
              </w:rPr>
              <w:t>3.</w:t>
            </w:r>
            <w:r>
              <w:rPr>
                <w:rFonts w:eastAsia="Times New Roman" w:cs="Calibri"/>
                <w:color w:val="000000"/>
                <w:sz w:val="24"/>
                <w:szCs w:val="24"/>
                <w:bdr w:val="none" w:sz="0" w:space="0" w:color="auto" w:frame="1"/>
                <w:shd w:val="clear" w:color="auto" w:fill="FFFFFF"/>
              </w:rPr>
              <w:t>2</w:t>
            </w:r>
            <w:r w:rsidRPr="00A47B4B">
              <w:rPr>
                <w:rFonts w:eastAsia="Times New Roman" w:cs="Calibri"/>
                <w:color w:val="000000"/>
                <w:sz w:val="24"/>
                <w:szCs w:val="24"/>
                <w:bdr w:val="none" w:sz="0" w:space="0" w:color="auto" w:frame="1"/>
                <w:shd w:val="clear" w:color="auto" w:fill="FFFFFF"/>
              </w:rPr>
              <w:t xml:space="preserve">.2. </w:t>
            </w:r>
            <w:r>
              <w:rPr>
                <w:rFonts w:eastAsia="Times New Roman" w:cs="Calibri"/>
                <w:color w:val="000000"/>
                <w:sz w:val="24"/>
                <w:szCs w:val="24"/>
                <w:bdr w:val="none" w:sz="0" w:space="0" w:color="auto" w:frame="1"/>
                <w:shd w:val="clear" w:color="auto" w:fill="FFFFFF"/>
              </w:rPr>
              <w:t xml:space="preserve">Kartu su įsigyjamu </w:t>
            </w:r>
            <w:r w:rsidRPr="00A47B4B">
              <w:rPr>
                <w:rFonts w:eastAsia="Times New Roman" w:cs="Calibri"/>
                <w:color w:val="000000"/>
                <w:sz w:val="24"/>
                <w:szCs w:val="24"/>
                <w:bdr w:val="none" w:sz="0" w:space="0" w:color="auto" w:frame="1"/>
                <w:shd w:val="clear" w:color="auto" w:fill="FFFFFF"/>
              </w:rPr>
              <w:t>automobiliu komplektuojam</w:t>
            </w:r>
            <w:r>
              <w:rPr>
                <w:rFonts w:eastAsia="Times New Roman" w:cs="Calibri"/>
                <w:color w:val="000000"/>
                <w:sz w:val="24"/>
                <w:szCs w:val="24"/>
                <w:bdr w:val="none" w:sz="0" w:space="0" w:color="auto" w:frame="1"/>
                <w:shd w:val="clear" w:color="auto" w:fill="FFFFFF"/>
              </w:rPr>
              <w:t>os</w:t>
            </w:r>
            <w:r w:rsidRPr="00A47B4B">
              <w:rPr>
                <w:rFonts w:eastAsia="Times New Roman" w:cs="Calibri"/>
                <w:bCs/>
                <w:sz w:val="24"/>
                <w:szCs w:val="24"/>
              </w:rPr>
              <w:t xml:space="preserve"> padang</w:t>
            </w:r>
            <w:r>
              <w:rPr>
                <w:rFonts w:eastAsia="Times New Roman" w:cs="Calibri"/>
                <w:bCs/>
                <w:sz w:val="24"/>
                <w:szCs w:val="24"/>
              </w:rPr>
              <w:t>os</w:t>
            </w:r>
            <w:r w:rsidRPr="00A47B4B">
              <w:rPr>
                <w:rFonts w:eastAsia="Times New Roman" w:cs="Calibri"/>
                <w:bCs/>
                <w:sz w:val="24"/>
                <w:szCs w:val="24"/>
              </w:rPr>
              <w:t xml:space="preserve"> turi atitikti 2020 m. gegužės 25 d. Europos Parlamento ir Tarybos reglamento (ES) 2020/740 (toliau – Reglamentas (ES) 2020/740) dėl padangų ženklinimo pagal degalų naudojimo efektyvumą ir kitus parametrus, kuriuo iš dalies keičiamas Reglamentas (ES) 2017/1369 ir panaikinamas Reglamentas (EB) Nr. 1222/2009, nustatytus reikalavimus</w:t>
            </w:r>
            <w:r w:rsidRPr="00967FF7">
              <w:rPr>
                <w:rFonts w:ascii="Times New Roman" w:eastAsia="Times New Roman" w:hAnsi="Times New Roman"/>
                <w:bCs/>
                <w:sz w:val="24"/>
                <w:szCs w:val="24"/>
              </w:rPr>
              <w:t>.</w:t>
            </w:r>
          </w:p>
        </w:tc>
      </w:tr>
    </w:tbl>
    <w:p w14:paraId="327F865C" w14:textId="77777777" w:rsidR="00BA4CC7" w:rsidRPr="00DE0EED" w:rsidRDefault="00BA4CC7" w:rsidP="00BA4CC7">
      <w:pPr>
        <w:spacing w:after="0" w:line="240" w:lineRule="auto"/>
        <w:rPr>
          <w:rFonts w:asciiTheme="minorHAnsi" w:eastAsia="Times New Roman" w:hAnsiTheme="minorHAnsi" w:cstheme="minorHAnsi"/>
          <w:sz w:val="24"/>
          <w:szCs w:val="24"/>
        </w:rPr>
      </w:pPr>
    </w:p>
    <w:p w14:paraId="3BE223BA" w14:textId="70A9D617" w:rsidR="000A74C2" w:rsidRPr="00DE0EED" w:rsidRDefault="00DE0EED" w:rsidP="00DE0EED">
      <w:pPr>
        <w:jc w:val="center"/>
        <w:rPr>
          <w:rFonts w:asciiTheme="minorHAnsi" w:hAnsiTheme="minorHAnsi" w:cstheme="minorHAnsi"/>
        </w:rPr>
      </w:pPr>
      <w:r>
        <w:rPr>
          <w:rFonts w:asciiTheme="minorHAnsi" w:eastAsia="Times New Roman" w:hAnsiTheme="minorHAnsi" w:cstheme="minorHAnsi"/>
          <w:sz w:val="24"/>
          <w:szCs w:val="24"/>
        </w:rPr>
        <w:t>____________________</w:t>
      </w:r>
    </w:p>
    <w:sectPr w:rsidR="000A74C2" w:rsidRPr="00DE0EED" w:rsidSect="00CC131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322"/>
    <w:multiLevelType w:val="hybridMultilevel"/>
    <w:tmpl w:val="E05E0B86"/>
    <w:lvl w:ilvl="0" w:tplc="AE4AFC62">
      <w:start w:val="1"/>
      <w:numFmt w:val="decimal"/>
      <w:lvlText w:val="3.1.%1."/>
      <w:lvlJc w:val="left"/>
      <w:pPr>
        <w:ind w:left="748" w:hanging="360"/>
      </w:pPr>
      <w:rPr>
        <w:rFonts w:hint="default"/>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1" w15:restartNumberingAfterBreak="0">
    <w:nsid w:val="02935E1B"/>
    <w:multiLevelType w:val="hybridMultilevel"/>
    <w:tmpl w:val="7744F6B8"/>
    <w:lvl w:ilvl="0" w:tplc="3328E592">
      <w:start w:val="1"/>
      <w:numFmt w:val="decimal"/>
      <w:lvlText w:val="2.2.%1."/>
      <w:lvlJc w:val="left"/>
      <w:pPr>
        <w:ind w:left="7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106E6F"/>
    <w:multiLevelType w:val="multilevel"/>
    <w:tmpl w:val="C7A49B4E"/>
    <w:lvl w:ilvl="0">
      <w:start w:val="1"/>
      <w:numFmt w:val="decimal"/>
      <w:suff w:val="space"/>
      <w:lvlText w:val="2.%1."/>
      <w:lvlJc w:val="left"/>
      <w:pPr>
        <w:ind w:left="0" w:firstLine="0"/>
      </w:pPr>
      <w:rPr>
        <w:rFonts w:hint="default"/>
        <w:b/>
        <w:bCs/>
      </w:rPr>
    </w:lvl>
    <w:lvl w:ilvl="1">
      <w:start w:val="1"/>
      <w:numFmt w:val="decimal"/>
      <w:suff w:val="space"/>
      <w:lvlText w:val="2.%1.%2."/>
      <w:lvlJc w:val="left"/>
      <w:pPr>
        <w:ind w:left="0" w:firstLine="0"/>
      </w:pPr>
      <w:rPr>
        <w:rFonts w:hint="default"/>
        <w:b w:val="0"/>
        <w:bCs/>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8F5820"/>
    <w:multiLevelType w:val="multilevel"/>
    <w:tmpl w:val="E2E05A6E"/>
    <w:lvl w:ilvl="0">
      <w:start w:val="1"/>
      <w:numFmt w:val="decimal"/>
      <w:lvlText w:val="1.%1."/>
      <w:lvlJc w:val="left"/>
      <w:pPr>
        <w:ind w:left="748" w:hanging="360"/>
      </w:pPr>
      <w:rPr>
        <w:rFonts w:hint="default"/>
      </w:rPr>
    </w:lvl>
    <w:lvl w:ilvl="1">
      <w:start w:val="1"/>
      <w:numFmt w:val="lowerLetter"/>
      <w:lvlText w:val="%2."/>
      <w:lvlJc w:val="left"/>
      <w:pPr>
        <w:ind w:left="1468" w:hanging="360"/>
      </w:pPr>
    </w:lvl>
    <w:lvl w:ilvl="2">
      <w:start w:val="1"/>
      <w:numFmt w:val="lowerRoman"/>
      <w:lvlText w:val="%3."/>
      <w:lvlJc w:val="right"/>
      <w:pPr>
        <w:ind w:left="2188" w:hanging="180"/>
      </w:pPr>
    </w:lvl>
    <w:lvl w:ilvl="3">
      <w:start w:val="1"/>
      <w:numFmt w:val="decimal"/>
      <w:lvlText w:val="%4."/>
      <w:lvlJc w:val="left"/>
      <w:pPr>
        <w:ind w:left="2908" w:hanging="360"/>
      </w:pPr>
    </w:lvl>
    <w:lvl w:ilvl="4">
      <w:start w:val="1"/>
      <w:numFmt w:val="lowerLetter"/>
      <w:lvlText w:val="%5."/>
      <w:lvlJc w:val="left"/>
      <w:pPr>
        <w:ind w:left="3628" w:hanging="360"/>
      </w:pPr>
    </w:lvl>
    <w:lvl w:ilvl="5">
      <w:start w:val="1"/>
      <w:numFmt w:val="lowerRoman"/>
      <w:lvlText w:val="%6."/>
      <w:lvlJc w:val="right"/>
      <w:pPr>
        <w:ind w:left="4348" w:hanging="180"/>
      </w:pPr>
    </w:lvl>
    <w:lvl w:ilvl="6">
      <w:start w:val="1"/>
      <w:numFmt w:val="decimal"/>
      <w:lvlText w:val="%7."/>
      <w:lvlJc w:val="left"/>
      <w:pPr>
        <w:ind w:left="5068" w:hanging="360"/>
      </w:pPr>
    </w:lvl>
    <w:lvl w:ilvl="7">
      <w:start w:val="1"/>
      <w:numFmt w:val="lowerLetter"/>
      <w:lvlText w:val="%8."/>
      <w:lvlJc w:val="left"/>
      <w:pPr>
        <w:ind w:left="5788" w:hanging="360"/>
      </w:pPr>
    </w:lvl>
    <w:lvl w:ilvl="8">
      <w:start w:val="1"/>
      <w:numFmt w:val="lowerRoman"/>
      <w:lvlText w:val="%9."/>
      <w:lvlJc w:val="right"/>
      <w:pPr>
        <w:ind w:left="6508" w:hanging="180"/>
      </w:pPr>
    </w:lvl>
  </w:abstractNum>
  <w:abstractNum w:abstractNumId="4" w15:restartNumberingAfterBreak="0">
    <w:nsid w:val="29747383"/>
    <w:multiLevelType w:val="multilevel"/>
    <w:tmpl w:val="B13E04DC"/>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rPr>
    </w:lvl>
    <w:lvl w:ilvl="2">
      <w:start w:val="1"/>
      <w:numFmt w:val="decimal"/>
      <w:lvlText w:val="3.%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37A564DC"/>
    <w:multiLevelType w:val="multilevel"/>
    <w:tmpl w:val="97D0944E"/>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b w:val="0"/>
        <w:bCs w:val="0"/>
      </w:rPr>
    </w:lvl>
    <w:lvl w:ilvl="2">
      <w:start w:val="1"/>
      <w:numFmt w:val="decimal"/>
      <w:suff w:val="space"/>
      <w:lvlText w:val="3.%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3CB062E6"/>
    <w:multiLevelType w:val="hybridMultilevel"/>
    <w:tmpl w:val="D19AACBC"/>
    <w:lvl w:ilvl="0" w:tplc="8AEC1B2A">
      <w:start w:val="1"/>
      <w:numFmt w:val="decimal"/>
      <w:lvlText w:val="2.6.%1."/>
      <w:lvlJc w:val="left"/>
      <w:pPr>
        <w:ind w:left="748" w:hanging="360"/>
      </w:pPr>
      <w:rPr>
        <w:rFonts w:hint="default"/>
        <w:b w:val="0"/>
        <w:i w:val="0"/>
        <w:iCs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7" w15:restartNumberingAfterBreak="0">
    <w:nsid w:val="521819D3"/>
    <w:multiLevelType w:val="hybridMultilevel"/>
    <w:tmpl w:val="E2E05A6E"/>
    <w:lvl w:ilvl="0" w:tplc="DD9A07F2">
      <w:start w:val="1"/>
      <w:numFmt w:val="decimal"/>
      <w:lvlText w:val="1.%1."/>
      <w:lvlJc w:val="left"/>
      <w:pPr>
        <w:ind w:left="748" w:hanging="360"/>
      </w:pPr>
      <w:rPr>
        <w:rFonts w:hint="default"/>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8" w15:restartNumberingAfterBreak="0">
    <w:nsid w:val="70967BD0"/>
    <w:multiLevelType w:val="hybridMultilevel"/>
    <w:tmpl w:val="82765E0C"/>
    <w:lvl w:ilvl="0" w:tplc="59A8151E">
      <w:start w:val="1"/>
      <w:numFmt w:val="decimal"/>
      <w:lvlText w:val="2.4.%1."/>
      <w:lvlJc w:val="left"/>
      <w:pPr>
        <w:ind w:left="83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B115CB"/>
    <w:multiLevelType w:val="multilevel"/>
    <w:tmpl w:val="178A88BC"/>
    <w:lvl w:ilvl="0">
      <w:start w:val="1"/>
      <w:numFmt w:val="decimal"/>
      <w:suff w:val="space"/>
      <w:lvlText w:val="3.%1."/>
      <w:lvlJc w:val="left"/>
      <w:pPr>
        <w:ind w:left="0" w:firstLine="0"/>
      </w:pPr>
      <w:rPr>
        <w:rFonts w:hint="default"/>
      </w:rPr>
    </w:lvl>
    <w:lvl w:ilvl="1">
      <w:start w:val="1"/>
      <w:numFmt w:val="decimal"/>
      <w:suff w:val="space"/>
      <w:lvlText w:val="3.%1.%2."/>
      <w:lvlJc w:val="left"/>
      <w:pPr>
        <w:ind w:left="0" w:firstLine="0"/>
      </w:pPr>
      <w:rPr>
        <w:rFonts w:hint="default"/>
        <w:b w:val="0"/>
        <w:bCs/>
      </w:rPr>
    </w:lvl>
    <w:lvl w:ilvl="2">
      <w:start w:val="1"/>
      <w:numFmt w:val="decimal"/>
      <w:suff w:val="space"/>
      <w:lvlText w:val="3.%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311208F"/>
    <w:multiLevelType w:val="hybridMultilevel"/>
    <w:tmpl w:val="CF28AFCC"/>
    <w:lvl w:ilvl="0" w:tplc="C7EC2E60">
      <w:start w:val="1"/>
      <w:numFmt w:val="decimal"/>
      <w:lvlText w:val="2.3.%1."/>
      <w:lvlJc w:val="left"/>
      <w:pPr>
        <w:ind w:left="8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A11D27"/>
    <w:multiLevelType w:val="hybridMultilevel"/>
    <w:tmpl w:val="576A13C2"/>
    <w:lvl w:ilvl="0" w:tplc="FFBA1AF6">
      <w:start w:val="1"/>
      <w:numFmt w:val="decimal"/>
      <w:lvlText w:val="2.5.%1."/>
      <w:lvlJc w:val="left"/>
      <w:pPr>
        <w:ind w:left="748" w:hanging="360"/>
      </w:pPr>
      <w:rPr>
        <w:rFonts w:hint="default"/>
        <w:b w:val="0"/>
        <w:u w:val="none"/>
      </w:rPr>
    </w:lvl>
    <w:lvl w:ilvl="1" w:tplc="04270019" w:tentative="1">
      <w:start w:val="1"/>
      <w:numFmt w:val="lowerLetter"/>
      <w:lvlText w:val="%2."/>
      <w:lvlJc w:val="left"/>
      <w:pPr>
        <w:ind w:left="1468" w:hanging="360"/>
      </w:pPr>
    </w:lvl>
    <w:lvl w:ilvl="2" w:tplc="0427001B" w:tentative="1">
      <w:start w:val="1"/>
      <w:numFmt w:val="lowerRoman"/>
      <w:lvlText w:val="%3."/>
      <w:lvlJc w:val="right"/>
      <w:pPr>
        <w:ind w:left="2188" w:hanging="180"/>
      </w:pPr>
    </w:lvl>
    <w:lvl w:ilvl="3" w:tplc="0427000F" w:tentative="1">
      <w:start w:val="1"/>
      <w:numFmt w:val="decimal"/>
      <w:lvlText w:val="%4."/>
      <w:lvlJc w:val="left"/>
      <w:pPr>
        <w:ind w:left="2908" w:hanging="360"/>
      </w:pPr>
    </w:lvl>
    <w:lvl w:ilvl="4" w:tplc="04270019" w:tentative="1">
      <w:start w:val="1"/>
      <w:numFmt w:val="lowerLetter"/>
      <w:lvlText w:val="%5."/>
      <w:lvlJc w:val="left"/>
      <w:pPr>
        <w:ind w:left="3628" w:hanging="360"/>
      </w:pPr>
    </w:lvl>
    <w:lvl w:ilvl="5" w:tplc="0427001B" w:tentative="1">
      <w:start w:val="1"/>
      <w:numFmt w:val="lowerRoman"/>
      <w:lvlText w:val="%6."/>
      <w:lvlJc w:val="right"/>
      <w:pPr>
        <w:ind w:left="4348" w:hanging="180"/>
      </w:pPr>
    </w:lvl>
    <w:lvl w:ilvl="6" w:tplc="0427000F" w:tentative="1">
      <w:start w:val="1"/>
      <w:numFmt w:val="decimal"/>
      <w:lvlText w:val="%7."/>
      <w:lvlJc w:val="left"/>
      <w:pPr>
        <w:ind w:left="5068" w:hanging="360"/>
      </w:pPr>
    </w:lvl>
    <w:lvl w:ilvl="7" w:tplc="04270019" w:tentative="1">
      <w:start w:val="1"/>
      <w:numFmt w:val="lowerLetter"/>
      <w:lvlText w:val="%8."/>
      <w:lvlJc w:val="left"/>
      <w:pPr>
        <w:ind w:left="5788" w:hanging="360"/>
      </w:pPr>
    </w:lvl>
    <w:lvl w:ilvl="8" w:tplc="0427001B" w:tentative="1">
      <w:start w:val="1"/>
      <w:numFmt w:val="lowerRoman"/>
      <w:lvlText w:val="%9."/>
      <w:lvlJc w:val="right"/>
      <w:pPr>
        <w:ind w:left="6508" w:hanging="180"/>
      </w:pPr>
    </w:lvl>
  </w:abstractNum>
  <w:abstractNum w:abstractNumId="12" w15:restartNumberingAfterBreak="0">
    <w:nsid w:val="7ACB1625"/>
    <w:multiLevelType w:val="multilevel"/>
    <w:tmpl w:val="A4749218"/>
    <w:lvl w:ilvl="0">
      <w:start w:val="1"/>
      <w:numFmt w:val="decimal"/>
      <w:lvlText w:val="%1."/>
      <w:lvlJc w:val="left"/>
      <w:pPr>
        <w:ind w:left="360" w:hanging="360"/>
      </w:pPr>
    </w:lvl>
    <w:lvl w:ilvl="1">
      <w:start w:val="1"/>
      <w:numFmt w:val="decimal"/>
      <w:lvlText w:val="2.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6430786">
    <w:abstractNumId w:val="12"/>
  </w:num>
  <w:num w:numId="2" w16cid:durableId="1222253351">
    <w:abstractNumId w:val="7"/>
  </w:num>
  <w:num w:numId="3" w16cid:durableId="1521317923">
    <w:abstractNumId w:val="3"/>
  </w:num>
  <w:num w:numId="4" w16cid:durableId="1624116274">
    <w:abstractNumId w:val="1"/>
  </w:num>
  <w:num w:numId="5" w16cid:durableId="1701323533">
    <w:abstractNumId w:val="10"/>
  </w:num>
  <w:num w:numId="6" w16cid:durableId="738480316">
    <w:abstractNumId w:val="8"/>
  </w:num>
  <w:num w:numId="7" w16cid:durableId="1303580598">
    <w:abstractNumId w:val="11"/>
  </w:num>
  <w:num w:numId="8" w16cid:durableId="151526799">
    <w:abstractNumId w:val="6"/>
  </w:num>
  <w:num w:numId="9" w16cid:durableId="377441745">
    <w:abstractNumId w:val="0"/>
  </w:num>
  <w:num w:numId="10" w16cid:durableId="470707073">
    <w:abstractNumId w:val="2"/>
  </w:num>
  <w:num w:numId="11" w16cid:durableId="1603368813">
    <w:abstractNumId w:val="9"/>
  </w:num>
  <w:num w:numId="12" w16cid:durableId="1815370630">
    <w:abstractNumId w:val="9"/>
    <w:lvlOverride w:ilvl="0">
      <w:lvl w:ilvl="0">
        <w:start w:val="1"/>
        <w:numFmt w:val="decimal"/>
        <w:suff w:val="space"/>
        <w:lvlText w:val="3.%1."/>
        <w:lvlJc w:val="left"/>
        <w:pPr>
          <w:ind w:left="0" w:firstLine="0"/>
        </w:pPr>
        <w:rPr>
          <w:rFonts w:hint="default"/>
        </w:rPr>
      </w:lvl>
    </w:lvlOverride>
    <w:lvlOverride w:ilvl="1">
      <w:lvl w:ilvl="1">
        <w:start w:val="1"/>
        <w:numFmt w:val="decimal"/>
        <w:suff w:val="space"/>
        <w:lvlText w:val="3.%1.%2."/>
        <w:lvlJc w:val="left"/>
        <w:pPr>
          <w:ind w:left="0" w:firstLine="0"/>
        </w:pPr>
        <w:rPr>
          <w:rFonts w:hint="default"/>
          <w:b w:val="0"/>
          <w:bCs/>
        </w:rPr>
      </w:lvl>
    </w:lvlOverride>
    <w:lvlOverride w:ilvl="2">
      <w:lvl w:ilvl="2">
        <w:start w:val="1"/>
        <w:numFmt w:val="decimal"/>
        <w:suff w:val="space"/>
        <w:lvlText w:val="3.%1.%2.%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90482564">
    <w:abstractNumId w:val="5"/>
  </w:num>
  <w:num w:numId="14" w16cid:durableId="830950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CC7"/>
    <w:rsid w:val="000030FF"/>
    <w:rsid w:val="00005E35"/>
    <w:rsid w:val="00021094"/>
    <w:rsid w:val="00031640"/>
    <w:rsid w:val="0003297C"/>
    <w:rsid w:val="00034989"/>
    <w:rsid w:val="000349B9"/>
    <w:rsid w:val="000352F3"/>
    <w:rsid w:val="00035709"/>
    <w:rsid w:val="000411A2"/>
    <w:rsid w:val="00041212"/>
    <w:rsid w:val="00042CB2"/>
    <w:rsid w:val="00044DF9"/>
    <w:rsid w:val="00045641"/>
    <w:rsid w:val="000535D6"/>
    <w:rsid w:val="00056326"/>
    <w:rsid w:val="000612D6"/>
    <w:rsid w:val="00062F37"/>
    <w:rsid w:val="000632DA"/>
    <w:rsid w:val="00097053"/>
    <w:rsid w:val="000A74C2"/>
    <w:rsid w:val="000B02EA"/>
    <w:rsid w:val="000B3758"/>
    <w:rsid w:val="000B6F43"/>
    <w:rsid w:val="000C4FEA"/>
    <w:rsid w:val="000D4603"/>
    <w:rsid w:val="000E181A"/>
    <w:rsid w:val="000E3CDE"/>
    <w:rsid w:val="000E781A"/>
    <w:rsid w:val="000F1524"/>
    <w:rsid w:val="000F18B9"/>
    <w:rsid w:val="000F28AC"/>
    <w:rsid w:val="000F6C07"/>
    <w:rsid w:val="0010500F"/>
    <w:rsid w:val="00107FA9"/>
    <w:rsid w:val="00114F24"/>
    <w:rsid w:val="00121AA6"/>
    <w:rsid w:val="00122A76"/>
    <w:rsid w:val="00136FEF"/>
    <w:rsid w:val="00140AFA"/>
    <w:rsid w:val="00143FEF"/>
    <w:rsid w:val="00154ABA"/>
    <w:rsid w:val="001579A0"/>
    <w:rsid w:val="00170B0B"/>
    <w:rsid w:val="001771B4"/>
    <w:rsid w:val="00187322"/>
    <w:rsid w:val="001937E0"/>
    <w:rsid w:val="001B3F22"/>
    <w:rsid w:val="001E0DA9"/>
    <w:rsid w:val="001E52A4"/>
    <w:rsid w:val="001F2273"/>
    <w:rsid w:val="002151E8"/>
    <w:rsid w:val="00222E2F"/>
    <w:rsid w:val="00231964"/>
    <w:rsid w:val="0023651F"/>
    <w:rsid w:val="00240D5B"/>
    <w:rsid w:val="00241D20"/>
    <w:rsid w:val="00250399"/>
    <w:rsid w:val="00251CF9"/>
    <w:rsid w:val="00254946"/>
    <w:rsid w:val="00263543"/>
    <w:rsid w:val="00266FBB"/>
    <w:rsid w:val="002731CC"/>
    <w:rsid w:val="00275329"/>
    <w:rsid w:val="00287D3B"/>
    <w:rsid w:val="00292F2D"/>
    <w:rsid w:val="002B2412"/>
    <w:rsid w:val="002B4209"/>
    <w:rsid w:val="002C0751"/>
    <w:rsid w:val="002C363C"/>
    <w:rsid w:val="002C45F7"/>
    <w:rsid w:val="002D13A3"/>
    <w:rsid w:val="002D26FC"/>
    <w:rsid w:val="002D7FDD"/>
    <w:rsid w:val="002E72EA"/>
    <w:rsid w:val="002F2906"/>
    <w:rsid w:val="002F3DD4"/>
    <w:rsid w:val="002F4BFE"/>
    <w:rsid w:val="002F6385"/>
    <w:rsid w:val="002F70CA"/>
    <w:rsid w:val="002F7B73"/>
    <w:rsid w:val="00307EBE"/>
    <w:rsid w:val="003110AF"/>
    <w:rsid w:val="00311408"/>
    <w:rsid w:val="0032242B"/>
    <w:rsid w:val="00325790"/>
    <w:rsid w:val="00327D34"/>
    <w:rsid w:val="00330A44"/>
    <w:rsid w:val="00337AAD"/>
    <w:rsid w:val="00351B8A"/>
    <w:rsid w:val="00354F22"/>
    <w:rsid w:val="00360933"/>
    <w:rsid w:val="00361D46"/>
    <w:rsid w:val="0036450F"/>
    <w:rsid w:val="003649DD"/>
    <w:rsid w:val="00371B60"/>
    <w:rsid w:val="00375321"/>
    <w:rsid w:val="00375D3D"/>
    <w:rsid w:val="00381DD1"/>
    <w:rsid w:val="00384F9E"/>
    <w:rsid w:val="0038786C"/>
    <w:rsid w:val="00390C82"/>
    <w:rsid w:val="0039617D"/>
    <w:rsid w:val="003977C7"/>
    <w:rsid w:val="003B175A"/>
    <w:rsid w:val="003C5F7A"/>
    <w:rsid w:val="003E1BF3"/>
    <w:rsid w:val="003E5BA5"/>
    <w:rsid w:val="003F549E"/>
    <w:rsid w:val="003F6B58"/>
    <w:rsid w:val="003F7BA3"/>
    <w:rsid w:val="004071D4"/>
    <w:rsid w:val="00426480"/>
    <w:rsid w:val="0044375E"/>
    <w:rsid w:val="004551FF"/>
    <w:rsid w:val="00456B10"/>
    <w:rsid w:val="00460045"/>
    <w:rsid w:val="0046470A"/>
    <w:rsid w:val="00467F37"/>
    <w:rsid w:val="004713F7"/>
    <w:rsid w:val="00471FA3"/>
    <w:rsid w:val="004740CF"/>
    <w:rsid w:val="00483D8A"/>
    <w:rsid w:val="00484D1C"/>
    <w:rsid w:val="004850BC"/>
    <w:rsid w:val="0048522D"/>
    <w:rsid w:val="004862A1"/>
    <w:rsid w:val="00487B4D"/>
    <w:rsid w:val="00494972"/>
    <w:rsid w:val="0049520A"/>
    <w:rsid w:val="0049795B"/>
    <w:rsid w:val="004A33F8"/>
    <w:rsid w:val="004B63F1"/>
    <w:rsid w:val="004D25C0"/>
    <w:rsid w:val="004E3BA8"/>
    <w:rsid w:val="004F2ACF"/>
    <w:rsid w:val="004F4CDB"/>
    <w:rsid w:val="004F5D86"/>
    <w:rsid w:val="004F6F23"/>
    <w:rsid w:val="0050364D"/>
    <w:rsid w:val="00505E48"/>
    <w:rsid w:val="00510A39"/>
    <w:rsid w:val="005248FB"/>
    <w:rsid w:val="00541AC1"/>
    <w:rsid w:val="0054219D"/>
    <w:rsid w:val="00546C88"/>
    <w:rsid w:val="0054709E"/>
    <w:rsid w:val="005700B9"/>
    <w:rsid w:val="0057477A"/>
    <w:rsid w:val="005835BF"/>
    <w:rsid w:val="00596BB8"/>
    <w:rsid w:val="005A7938"/>
    <w:rsid w:val="005C0562"/>
    <w:rsid w:val="005C6331"/>
    <w:rsid w:val="005D11AA"/>
    <w:rsid w:val="00605215"/>
    <w:rsid w:val="00613411"/>
    <w:rsid w:val="006238B1"/>
    <w:rsid w:val="00626F13"/>
    <w:rsid w:val="006320C9"/>
    <w:rsid w:val="00636126"/>
    <w:rsid w:val="00644BE5"/>
    <w:rsid w:val="00650924"/>
    <w:rsid w:val="0065163E"/>
    <w:rsid w:val="00654CF2"/>
    <w:rsid w:val="00664506"/>
    <w:rsid w:val="00666B20"/>
    <w:rsid w:val="0067096A"/>
    <w:rsid w:val="00675BDB"/>
    <w:rsid w:val="006772CD"/>
    <w:rsid w:val="00677A7C"/>
    <w:rsid w:val="00677D3B"/>
    <w:rsid w:val="00680DB0"/>
    <w:rsid w:val="00682858"/>
    <w:rsid w:val="00690300"/>
    <w:rsid w:val="0069085C"/>
    <w:rsid w:val="00694607"/>
    <w:rsid w:val="00695773"/>
    <w:rsid w:val="0069665A"/>
    <w:rsid w:val="006A2B18"/>
    <w:rsid w:val="006A5A98"/>
    <w:rsid w:val="006B133E"/>
    <w:rsid w:val="006B3A71"/>
    <w:rsid w:val="006C1A23"/>
    <w:rsid w:val="006C2D52"/>
    <w:rsid w:val="006C3C91"/>
    <w:rsid w:val="006C4C5B"/>
    <w:rsid w:val="00713F65"/>
    <w:rsid w:val="0071474D"/>
    <w:rsid w:val="007160AA"/>
    <w:rsid w:val="0073410C"/>
    <w:rsid w:val="007358F7"/>
    <w:rsid w:val="00735AA2"/>
    <w:rsid w:val="00742328"/>
    <w:rsid w:val="00750C81"/>
    <w:rsid w:val="00753C5F"/>
    <w:rsid w:val="007648AB"/>
    <w:rsid w:val="00770952"/>
    <w:rsid w:val="007744D5"/>
    <w:rsid w:val="007800ED"/>
    <w:rsid w:val="00795F4C"/>
    <w:rsid w:val="007A0ED4"/>
    <w:rsid w:val="007A1A97"/>
    <w:rsid w:val="007B1780"/>
    <w:rsid w:val="007B463E"/>
    <w:rsid w:val="007B7468"/>
    <w:rsid w:val="007C2DE3"/>
    <w:rsid w:val="007C7C2C"/>
    <w:rsid w:val="00800D3A"/>
    <w:rsid w:val="00804B36"/>
    <w:rsid w:val="00806E1C"/>
    <w:rsid w:val="00811CC9"/>
    <w:rsid w:val="00817CB6"/>
    <w:rsid w:val="00834A4C"/>
    <w:rsid w:val="008360F9"/>
    <w:rsid w:val="008437D3"/>
    <w:rsid w:val="008443C0"/>
    <w:rsid w:val="00844BE1"/>
    <w:rsid w:val="00854453"/>
    <w:rsid w:val="0086154B"/>
    <w:rsid w:val="00861572"/>
    <w:rsid w:val="00874E54"/>
    <w:rsid w:val="00882EE8"/>
    <w:rsid w:val="00882F15"/>
    <w:rsid w:val="00884E46"/>
    <w:rsid w:val="0088657C"/>
    <w:rsid w:val="00892018"/>
    <w:rsid w:val="008A0201"/>
    <w:rsid w:val="008B03A0"/>
    <w:rsid w:val="008C2678"/>
    <w:rsid w:val="008D15DF"/>
    <w:rsid w:val="008E7CD7"/>
    <w:rsid w:val="00913783"/>
    <w:rsid w:val="00913F5D"/>
    <w:rsid w:val="00923DD6"/>
    <w:rsid w:val="009258CB"/>
    <w:rsid w:val="00934198"/>
    <w:rsid w:val="009379A9"/>
    <w:rsid w:val="00942B0F"/>
    <w:rsid w:val="009501F2"/>
    <w:rsid w:val="0095067A"/>
    <w:rsid w:val="00952D64"/>
    <w:rsid w:val="009605DD"/>
    <w:rsid w:val="00964B25"/>
    <w:rsid w:val="0097071C"/>
    <w:rsid w:val="009711FF"/>
    <w:rsid w:val="00973986"/>
    <w:rsid w:val="009741A0"/>
    <w:rsid w:val="00990A14"/>
    <w:rsid w:val="00990D12"/>
    <w:rsid w:val="00994A6C"/>
    <w:rsid w:val="009B1F50"/>
    <w:rsid w:val="009B2846"/>
    <w:rsid w:val="009B39EB"/>
    <w:rsid w:val="009C64C2"/>
    <w:rsid w:val="009D182D"/>
    <w:rsid w:val="009D502B"/>
    <w:rsid w:val="009F3AA5"/>
    <w:rsid w:val="009F7D96"/>
    <w:rsid w:val="00A02DBF"/>
    <w:rsid w:val="00A042EA"/>
    <w:rsid w:val="00A055B3"/>
    <w:rsid w:val="00A07525"/>
    <w:rsid w:val="00A274CC"/>
    <w:rsid w:val="00A41EB9"/>
    <w:rsid w:val="00A42150"/>
    <w:rsid w:val="00A54CE7"/>
    <w:rsid w:val="00A63781"/>
    <w:rsid w:val="00A67C7C"/>
    <w:rsid w:val="00A72873"/>
    <w:rsid w:val="00A7394D"/>
    <w:rsid w:val="00A9794C"/>
    <w:rsid w:val="00AA31B0"/>
    <w:rsid w:val="00AA43C2"/>
    <w:rsid w:val="00AB02ED"/>
    <w:rsid w:val="00AB5173"/>
    <w:rsid w:val="00AC796F"/>
    <w:rsid w:val="00AE6F1A"/>
    <w:rsid w:val="00AF3AEC"/>
    <w:rsid w:val="00AF4377"/>
    <w:rsid w:val="00AF44AC"/>
    <w:rsid w:val="00AF47C7"/>
    <w:rsid w:val="00AF50F8"/>
    <w:rsid w:val="00AF6D0A"/>
    <w:rsid w:val="00B01108"/>
    <w:rsid w:val="00B04AC8"/>
    <w:rsid w:val="00B13000"/>
    <w:rsid w:val="00B203F6"/>
    <w:rsid w:val="00B33D60"/>
    <w:rsid w:val="00B41013"/>
    <w:rsid w:val="00B47E2C"/>
    <w:rsid w:val="00B5025F"/>
    <w:rsid w:val="00B50CE1"/>
    <w:rsid w:val="00B729FB"/>
    <w:rsid w:val="00B73064"/>
    <w:rsid w:val="00B82093"/>
    <w:rsid w:val="00B860DA"/>
    <w:rsid w:val="00B94319"/>
    <w:rsid w:val="00BA4CC7"/>
    <w:rsid w:val="00BC3740"/>
    <w:rsid w:val="00C04C5A"/>
    <w:rsid w:val="00C12296"/>
    <w:rsid w:val="00C12313"/>
    <w:rsid w:val="00C13823"/>
    <w:rsid w:val="00C22331"/>
    <w:rsid w:val="00C23D58"/>
    <w:rsid w:val="00C24135"/>
    <w:rsid w:val="00C352FA"/>
    <w:rsid w:val="00C36229"/>
    <w:rsid w:val="00C42B8D"/>
    <w:rsid w:val="00C6075D"/>
    <w:rsid w:val="00C7231D"/>
    <w:rsid w:val="00C73E56"/>
    <w:rsid w:val="00C83F78"/>
    <w:rsid w:val="00C91BBA"/>
    <w:rsid w:val="00C93CA7"/>
    <w:rsid w:val="00C96B59"/>
    <w:rsid w:val="00C975F8"/>
    <w:rsid w:val="00CA053C"/>
    <w:rsid w:val="00CA2671"/>
    <w:rsid w:val="00CA5112"/>
    <w:rsid w:val="00CA734D"/>
    <w:rsid w:val="00CB356A"/>
    <w:rsid w:val="00CB5725"/>
    <w:rsid w:val="00CC065B"/>
    <w:rsid w:val="00CC131C"/>
    <w:rsid w:val="00CD0388"/>
    <w:rsid w:val="00CD50B4"/>
    <w:rsid w:val="00CF12CF"/>
    <w:rsid w:val="00D11933"/>
    <w:rsid w:val="00D14608"/>
    <w:rsid w:val="00D170C4"/>
    <w:rsid w:val="00D21132"/>
    <w:rsid w:val="00D238D1"/>
    <w:rsid w:val="00D23F9C"/>
    <w:rsid w:val="00D31611"/>
    <w:rsid w:val="00D42F50"/>
    <w:rsid w:val="00D50CE4"/>
    <w:rsid w:val="00D572A5"/>
    <w:rsid w:val="00D5776C"/>
    <w:rsid w:val="00D57F83"/>
    <w:rsid w:val="00D60368"/>
    <w:rsid w:val="00D61FEA"/>
    <w:rsid w:val="00D63DA4"/>
    <w:rsid w:val="00D841A1"/>
    <w:rsid w:val="00D84E85"/>
    <w:rsid w:val="00D85F3D"/>
    <w:rsid w:val="00D9235B"/>
    <w:rsid w:val="00D93D88"/>
    <w:rsid w:val="00D94DE7"/>
    <w:rsid w:val="00DA0AA0"/>
    <w:rsid w:val="00DA4867"/>
    <w:rsid w:val="00DA4D57"/>
    <w:rsid w:val="00DA5FCA"/>
    <w:rsid w:val="00DB0F6D"/>
    <w:rsid w:val="00DB688D"/>
    <w:rsid w:val="00DC09E8"/>
    <w:rsid w:val="00DC1833"/>
    <w:rsid w:val="00DC4D0E"/>
    <w:rsid w:val="00DC76A5"/>
    <w:rsid w:val="00DD193A"/>
    <w:rsid w:val="00DD7E90"/>
    <w:rsid w:val="00DE0EED"/>
    <w:rsid w:val="00E00CDD"/>
    <w:rsid w:val="00E061F8"/>
    <w:rsid w:val="00E151B0"/>
    <w:rsid w:val="00E329B6"/>
    <w:rsid w:val="00E366B9"/>
    <w:rsid w:val="00E5010C"/>
    <w:rsid w:val="00E53446"/>
    <w:rsid w:val="00E542B8"/>
    <w:rsid w:val="00E62093"/>
    <w:rsid w:val="00E760D6"/>
    <w:rsid w:val="00E76611"/>
    <w:rsid w:val="00EA11C6"/>
    <w:rsid w:val="00EA33A9"/>
    <w:rsid w:val="00EA3708"/>
    <w:rsid w:val="00EB5541"/>
    <w:rsid w:val="00EC3877"/>
    <w:rsid w:val="00ED15E8"/>
    <w:rsid w:val="00EE22B7"/>
    <w:rsid w:val="00EE2891"/>
    <w:rsid w:val="00F035F9"/>
    <w:rsid w:val="00F07430"/>
    <w:rsid w:val="00F125DE"/>
    <w:rsid w:val="00F12D75"/>
    <w:rsid w:val="00F15778"/>
    <w:rsid w:val="00F240AF"/>
    <w:rsid w:val="00F27A7B"/>
    <w:rsid w:val="00F41446"/>
    <w:rsid w:val="00F762C4"/>
    <w:rsid w:val="00F90BA0"/>
    <w:rsid w:val="00F91DC3"/>
    <w:rsid w:val="00FA0C36"/>
    <w:rsid w:val="00FA2E7F"/>
    <w:rsid w:val="00FA5645"/>
    <w:rsid w:val="00FA7DE6"/>
    <w:rsid w:val="00FB75ED"/>
    <w:rsid w:val="00FC4AA8"/>
    <w:rsid w:val="00FD3A2B"/>
    <w:rsid w:val="00FD736F"/>
    <w:rsid w:val="00FF0C43"/>
    <w:rsid w:val="00FF3CBC"/>
    <w:rsid w:val="00FF77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C068"/>
  <w15:chartTrackingRefBased/>
  <w15:docId w15:val="{695FBDA5-27CE-421B-9D7F-CC5DF089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4CC7"/>
    <w:pPr>
      <w:spacing w:after="200" w:line="276"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kyripavadinimai">
    <w:name w:val="Skyrių pavadinimai"/>
    <w:basedOn w:val="prastasis"/>
    <w:link w:val="SkyripavadinimaiDiagrama"/>
    <w:autoRedefine/>
    <w:qFormat/>
    <w:rsid w:val="000C4FEA"/>
    <w:pPr>
      <w:pBdr>
        <w:top w:val="nil"/>
        <w:left w:val="nil"/>
        <w:bottom w:val="nil"/>
        <w:right w:val="nil"/>
        <w:between w:val="nil"/>
        <w:bar w:val="nil"/>
      </w:pBdr>
      <w:spacing w:after="0" w:line="240" w:lineRule="auto"/>
      <w:jc w:val="center"/>
    </w:pPr>
    <w:rPr>
      <w:rFonts w:asciiTheme="minorHAnsi" w:eastAsiaTheme="minorHAnsi" w:hAnsiTheme="minorHAnsi" w:cstheme="minorBidi"/>
      <w:b/>
      <w:bCs/>
      <w:kern w:val="2"/>
      <w14:ligatures w14:val="standardContextual"/>
    </w:rPr>
  </w:style>
  <w:style w:type="character" w:customStyle="1" w:styleId="SkyripavadinimaiDiagrama">
    <w:name w:val="Skyrių pavadinimai Diagrama"/>
    <w:basedOn w:val="Numatytasispastraiposriftas"/>
    <w:link w:val="Skyripavadinimai"/>
    <w:rsid w:val="000C4FEA"/>
    <w:rPr>
      <w:b/>
      <w:bCs/>
    </w:rPr>
  </w:style>
  <w:style w:type="paragraph" w:customStyle="1" w:styleId="tekstas">
    <w:name w:val="tekstas"/>
    <w:link w:val="tekstasDiagrama"/>
    <w:qFormat/>
    <w:rsid w:val="007B7468"/>
    <w:pPr>
      <w:tabs>
        <w:tab w:val="left" w:pos="1134"/>
      </w:tabs>
      <w:autoSpaceDN w:val="0"/>
      <w:spacing w:after="0" w:line="276" w:lineRule="auto"/>
      <w:ind w:firstLine="709"/>
      <w:jc w:val="both"/>
      <w:textAlignment w:val="baseline"/>
    </w:pPr>
    <w:rPr>
      <w:szCs w:val="24"/>
    </w:rPr>
  </w:style>
  <w:style w:type="character" w:customStyle="1" w:styleId="tekstasDiagrama">
    <w:name w:val="tekstas Diagrama"/>
    <w:basedOn w:val="Numatytasispastraiposriftas"/>
    <w:link w:val="tekstas"/>
    <w:rsid w:val="007B7468"/>
    <w:rPr>
      <w:szCs w:val="24"/>
    </w:rPr>
  </w:style>
  <w:style w:type="paragraph" w:customStyle="1" w:styleId="Skyrius">
    <w:name w:val="Skyrius"/>
    <w:basedOn w:val="prastasis"/>
    <w:link w:val="SkyriusDiagrama"/>
    <w:autoRedefine/>
    <w:qFormat/>
    <w:rsid w:val="000F6C07"/>
    <w:pPr>
      <w:spacing w:after="0" w:line="300" w:lineRule="auto"/>
      <w:ind w:left="697"/>
      <w:jc w:val="center"/>
    </w:pPr>
    <w:rPr>
      <w:rFonts w:ascii="Times New Roman" w:eastAsiaTheme="minorHAnsi" w:hAnsi="Times New Roman"/>
      <w:b/>
      <w:kern w:val="2"/>
      <w:sz w:val="28"/>
      <w:szCs w:val="24"/>
      <w14:ligatures w14:val="standardContextual"/>
    </w:rPr>
  </w:style>
  <w:style w:type="character" w:customStyle="1" w:styleId="SkyriusDiagrama">
    <w:name w:val="Skyrius Diagrama"/>
    <w:basedOn w:val="Numatytasispastraiposriftas"/>
    <w:link w:val="Skyrius"/>
    <w:rsid w:val="000F6C07"/>
    <w:rPr>
      <w:rFonts w:ascii="Times New Roman" w:hAnsi="Times New Roman" w:cs="Times New Roman"/>
      <w:b/>
      <w:sz w:val="28"/>
      <w:szCs w:val="24"/>
    </w:rPr>
  </w:style>
  <w:style w:type="paragraph" w:customStyle="1" w:styleId="Default">
    <w:name w:val="Default"/>
    <w:rsid w:val="00BA4CC7"/>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Linija">
    <w:name w:val="Linija"/>
    <w:basedOn w:val="prastasis"/>
    <w:rsid w:val="00BA4CC7"/>
    <w:pPr>
      <w:suppressAutoHyphens/>
      <w:autoSpaceDE w:val="0"/>
      <w:autoSpaceDN w:val="0"/>
      <w:adjustRightInd w:val="0"/>
      <w:spacing w:after="0" w:line="297" w:lineRule="auto"/>
      <w:jc w:val="center"/>
    </w:pPr>
    <w:rPr>
      <w:rFonts w:ascii="Times New Roman" w:eastAsia="Times New Roman" w:hAnsi="Times New Roman"/>
      <w:color w:val="000000"/>
      <w:sz w:val="12"/>
      <w:szCs w:val="12"/>
    </w:rPr>
  </w:style>
  <w:style w:type="paragraph" w:customStyle="1" w:styleId="Patvirtinta">
    <w:name w:val="Patvirtinta"/>
    <w:basedOn w:val="prastasis"/>
    <w:rsid w:val="00BA4CC7"/>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styleId="Sraopastraipa">
    <w:name w:val="List Paragraph"/>
    <w:basedOn w:val="prastasis"/>
    <w:uiPriority w:val="34"/>
    <w:qFormat/>
    <w:rsid w:val="009258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626</TotalTime>
  <Pages>4</Pages>
  <Words>5031</Words>
  <Characters>2868</Characters>
  <Application>Microsoft Office Word</Application>
  <DocSecurity>0</DocSecurity>
  <Lines>23</Lines>
  <Paragraphs>15</Paragraphs>
  <ScaleCrop>false</ScaleCrop>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Čiulkinienė</dc:creator>
  <cp:lastModifiedBy>Asta Čiulkinienė</cp:lastModifiedBy>
  <cp:revision>57</cp:revision>
  <dcterms:created xsi:type="dcterms:W3CDTF">2025-08-07T11:35:00Z</dcterms:created>
  <dcterms:modified xsi:type="dcterms:W3CDTF">2025-11-17T05:45:00Z</dcterms:modified>
</cp:coreProperties>
</file>