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1D45" w14:textId="5C239B7C" w:rsidR="009313ED" w:rsidRPr="00744235" w:rsidRDefault="009313ED" w:rsidP="0016373D">
      <w:pPr>
        <w:tabs>
          <w:tab w:val="clear" w:pos="1004"/>
          <w:tab w:val="left" w:pos="284"/>
        </w:tabs>
        <w:ind w:left="0" w:firstLine="567"/>
        <w:jc w:val="center"/>
        <w:rPr>
          <w:rFonts w:ascii="Verdana" w:hAnsi="Verdana"/>
          <w:b/>
          <w:szCs w:val="20"/>
        </w:rPr>
      </w:pPr>
      <w:r w:rsidRPr="00744235">
        <w:rPr>
          <w:rFonts w:ascii="Verdana" w:hAnsi="Verdana"/>
          <w:b/>
          <w:szCs w:val="20"/>
        </w:rPr>
        <w:t xml:space="preserve">JUDRIOJO RYŠIO PASLAUGŲ </w:t>
      </w:r>
    </w:p>
    <w:p w14:paraId="5202177E" w14:textId="2B65AB70" w:rsidR="00313649" w:rsidRPr="00744235" w:rsidRDefault="009313ED" w:rsidP="0016373D">
      <w:pPr>
        <w:tabs>
          <w:tab w:val="clear" w:pos="1004"/>
          <w:tab w:val="left" w:pos="284"/>
        </w:tabs>
        <w:ind w:left="0" w:firstLine="567"/>
        <w:jc w:val="center"/>
        <w:rPr>
          <w:rFonts w:ascii="Verdana" w:hAnsi="Verdana"/>
          <w:b/>
          <w:bCs/>
        </w:rPr>
      </w:pPr>
      <w:r w:rsidRPr="00744235">
        <w:rPr>
          <w:rFonts w:ascii="Verdana" w:hAnsi="Verdana"/>
          <w:b/>
          <w:bCs/>
        </w:rPr>
        <w:t>TECHNINĖ SPECIFIKACIJA</w:t>
      </w:r>
    </w:p>
    <w:p w14:paraId="162FE490" w14:textId="77777777" w:rsidR="00313649" w:rsidRPr="00744235" w:rsidRDefault="00313649" w:rsidP="0016373D">
      <w:pPr>
        <w:tabs>
          <w:tab w:val="clear" w:pos="1004"/>
          <w:tab w:val="left" w:pos="284"/>
        </w:tabs>
        <w:ind w:left="0" w:firstLine="567"/>
        <w:jc w:val="center"/>
        <w:rPr>
          <w:rFonts w:ascii="Verdana" w:hAnsi="Verdana"/>
          <w:b/>
          <w:szCs w:val="20"/>
        </w:rPr>
      </w:pPr>
    </w:p>
    <w:p w14:paraId="23D7C678" w14:textId="77777777" w:rsidR="007963F9" w:rsidRPr="00744235" w:rsidRDefault="007963F9" w:rsidP="0016373D">
      <w:pPr>
        <w:pStyle w:val="ListParagraph"/>
        <w:numPr>
          <w:ilvl w:val="0"/>
          <w:numId w:val="2"/>
        </w:numPr>
        <w:tabs>
          <w:tab w:val="left" w:pos="284"/>
        </w:tabs>
        <w:rPr>
          <w:rFonts w:ascii="Verdana" w:hAnsi="Verdana"/>
        </w:rPr>
      </w:pPr>
      <w:r w:rsidRPr="00744235">
        <w:rPr>
          <w:rFonts w:ascii="Verdana" w:hAnsi="Verdana"/>
        </w:rPr>
        <w:t xml:space="preserve">VšĮ Lietuvos nacionalinis radijas ir televizija (toliau – Perkančioji organizacija) siekia įsigyti judriojo telefono ryšio paslaugas ir telefoninės biuro stotelės (PBX) paslaugas (toliau – Paslaugos). </w:t>
      </w:r>
    </w:p>
    <w:p w14:paraId="27E5B666" w14:textId="77777777" w:rsidR="007963F9" w:rsidRPr="00744235" w:rsidRDefault="007963F9" w:rsidP="0016373D">
      <w:pPr>
        <w:pStyle w:val="ListParagraph"/>
        <w:numPr>
          <w:ilvl w:val="0"/>
          <w:numId w:val="2"/>
        </w:numPr>
        <w:tabs>
          <w:tab w:val="left" w:pos="284"/>
        </w:tabs>
        <w:rPr>
          <w:rFonts w:ascii="Verdana" w:hAnsi="Verdana"/>
        </w:rPr>
      </w:pPr>
      <w:r w:rsidRPr="00744235">
        <w:rPr>
          <w:rFonts w:ascii="Verdana" w:hAnsi="Verdana"/>
        </w:rPr>
        <w:t xml:space="preserve">Paslaugų teikimo terminas – 36 (trisdešimt šeši) mėnesiai, Paslaugas pradedant teikti pasirašius ir įsigaliojus Sutarčiai, bet ne anksčiau kaip nuo 2025 m. liepos 8 d., 00:00 val. </w:t>
      </w:r>
    </w:p>
    <w:p w14:paraId="5442E231" w14:textId="77777777" w:rsidR="007963F9" w:rsidRPr="00744235" w:rsidRDefault="007963F9" w:rsidP="0016373D">
      <w:pPr>
        <w:tabs>
          <w:tab w:val="clear" w:pos="1004"/>
          <w:tab w:val="left" w:pos="284"/>
        </w:tabs>
        <w:ind w:left="0" w:firstLine="567"/>
        <w:jc w:val="center"/>
        <w:rPr>
          <w:rFonts w:ascii="Verdana" w:hAnsi="Verdana"/>
          <w:b/>
          <w:szCs w:val="20"/>
        </w:rPr>
      </w:pPr>
    </w:p>
    <w:p w14:paraId="3D2602E1" w14:textId="28B69D30" w:rsidR="00313649" w:rsidRPr="00744235" w:rsidRDefault="00313649" w:rsidP="0016373D">
      <w:pPr>
        <w:tabs>
          <w:tab w:val="clear" w:pos="1004"/>
          <w:tab w:val="left" w:pos="284"/>
        </w:tabs>
        <w:ind w:left="0" w:firstLine="567"/>
        <w:jc w:val="center"/>
        <w:rPr>
          <w:rFonts w:ascii="Verdana" w:hAnsi="Verdana"/>
          <w:b/>
          <w:bCs/>
        </w:rPr>
      </w:pPr>
      <w:r w:rsidRPr="00744235">
        <w:rPr>
          <w:rFonts w:ascii="Verdana" w:hAnsi="Verdana"/>
          <w:b/>
          <w:bCs/>
        </w:rPr>
        <w:t>I. REIKALAVIMAI JUDRIOJO TELEFONO RYŠIO PASLAUGAI</w:t>
      </w:r>
    </w:p>
    <w:p w14:paraId="20393924" w14:textId="77777777" w:rsidR="00FD2204" w:rsidRPr="00744235" w:rsidRDefault="00FD2204" w:rsidP="0016373D">
      <w:pPr>
        <w:tabs>
          <w:tab w:val="clear" w:pos="1004"/>
          <w:tab w:val="left" w:pos="284"/>
        </w:tabs>
        <w:ind w:left="0" w:firstLine="567"/>
      </w:pPr>
    </w:p>
    <w:p w14:paraId="03AC6EA7" w14:textId="02D229D3" w:rsidR="00AE11E2" w:rsidRPr="00744235" w:rsidRDefault="005B46C9" w:rsidP="0016373D">
      <w:pPr>
        <w:pStyle w:val="ListParagraph"/>
        <w:numPr>
          <w:ilvl w:val="0"/>
          <w:numId w:val="2"/>
        </w:numPr>
        <w:tabs>
          <w:tab w:val="left" w:pos="284"/>
        </w:tabs>
        <w:rPr>
          <w:rFonts w:ascii="Verdana" w:hAnsi="Verdana"/>
          <w:szCs w:val="20"/>
        </w:rPr>
      </w:pPr>
      <w:r w:rsidRPr="00744235">
        <w:rPr>
          <w:rFonts w:ascii="Verdana" w:hAnsi="Verdana"/>
          <w:szCs w:val="20"/>
        </w:rPr>
        <w:t>Tiekėjas turi teikti šias paslaugas:</w:t>
      </w:r>
    </w:p>
    <w:p w14:paraId="09FF626A" w14:textId="19B2B32B" w:rsidR="00FF6D0B" w:rsidRPr="00744235" w:rsidRDefault="00AE11E2" w:rsidP="0016373D">
      <w:pPr>
        <w:pStyle w:val="ListParagraph"/>
        <w:numPr>
          <w:ilvl w:val="1"/>
          <w:numId w:val="2"/>
        </w:numPr>
        <w:tabs>
          <w:tab w:val="left" w:pos="284"/>
        </w:tabs>
        <w:rPr>
          <w:rFonts w:ascii="Verdana" w:hAnsi="Verdana"/>
          <w:szCs w:val="20"/>
        </w:rPr>
      </w:pPr>
      <w:r w:rsidRPr="00744235">
        <w:rPr>
          <w:rFonts w:ascii="Verdana" w:hAnsi="Verdana"/>
          <w:szCs w:val="20"/>
        </w:rPr>
        <w:t>skambučių Lietuvoje siuntimo ir gavimo;</w:t>
      </w:r>
    </w:p>
    <w:p w14:paraId="0FFA3379" w14:textId="77777777" w:rsidR="00043C5C" w:rsidRPr="00744235" w:rsidRDefault="002A3137" w:rsidP="0016373D">
      <w:pPr>
        <w:pStyle w:val="ListParagraph"/>
        <w:numPr>
          <w:ilvl w:val="1"/>
          <w:numId w:val="2"/>
        </w:numPr>
        <w:tabs>
          <w:tab w:val="left" w:pos="284"/>
        </w:tabs>
        <w:rPr>
          <w:rFonts w:ascii="Verdana" w:hAnsi="Verdana"/>
          <w:szCs w:val="20"/>
        </w:rPr>
      </w:pPr>
      <w:r w:rsidRPr="00744235">
        <w:rPr>
          <w:rFonts w:ascii="Verdana" w:hAnsi="Verdana"/>
          <w:szCs w:val="20"/>
        </w:rPr>
        <w:t>trumpųjų žinučių (SMS) ir vaizdo žinučių (MMS) Lietuvoje siuntimo ir gavimo;</w:t>
      </w:r>
    </w:p>
    <w:p w14:paraId="7581D881" w14:textId="5C96E51B" w:rsidR="00324353" w:rsidRPr="00744235" w:rsidRDefault="002A3137" w:rsidP="0016373D">
      <w:pPr>
        <w:pStyle w:val="ListParagraph"/>
        <w:numPr>
          <w:ilvl w:val="1"/>
          <w:numId w:val="2"/>
        </w:numPr>
        <w:tabs>
          <w:tab w:val="left" w:pos="284"/>
        </w:tabs>
        <w:rPr>
          <w:rFonts w:ascii="Verdana" w:hAnsi="Verdana"/>
          <w:szCs w:val="20"/>
        </w:rPr>
      </w:pPr>
      <w:r w:rsidRPr="00744235">
        <w:rPr>
          <w:rFonts w:ascii="Verdana" w:hAnsi="Verdana"/>
          <w:szCs w:val="20"/>
        </w:rPr>
        <w:t>tarptautinių skambučių siuntimo ir gavimo;</w:t>
      </w:r>
    </w:p>
    <w:p w14:paraId="4BFF499C" w14:textId="77777777" w:rsidR="001E1220" w:rsidRPr="00744235" w:rsidRDefault="001E1220" w:rsidP="0016373D">
      <w:pPr>
        <w:pStyle w:val="ListParagraph"/>
        <w:numPr>
          <w:ilvl w:val="1"/>
          <w:numId w:val="2"/>
        </w:numPr>
        <w:tabs>
          <w:tab w:val="left" w:pos="284"/>
        </w:tabs>
        <w:rPr>
          <w:rFonts w:ascii="Verdana" w:hAnsi="Verdana"/>
          <w:szCs w:val="20"/>
        </w:rPr>
      </w:pPr>
      <w:r w:rsidRPr="00744235">
        <w:rPr>
          <w:rFonts w:ascii="Verdana" w:hAnsi="Verdana"/>
          <w:szCs w:val="20"/>
        </w:rPr>
        <w:t xml:space="preserve">tarptautinių trumpųjų žinučių (SMS) ir vaizdo žinučių (MMS) siuntimo ir gavimo; </w:t>
      </w:r>
    </w:p>
    <w:p w14:paraId="0DE6583C" w14:textId="77777777" w:rsidR="00B9082D" w:rsidRPr="00744235" w:rsidRDefault="00B9082D" w:rsidP="0016373D">
      <w:pPr>
        <w:pStyle w:val="ListParagraph"/>
        <w:numPr>
          <w:ilvl w:val="1"/>
          <w:numId w:val="2"/>
        </w:numPr>
        <w:tabs>
          <w:tab w:val="left" w:pos="284"/>
        </w:tabs>
        <w:rPr>
          <w:rFonts w:ascii="Verdana" w:hAnsi="Verdana"/>
          <w:szCs w:val="20"/>
        </w:rPr>
      </w:pPr>
      <w:r w:rsidRPr="00744235">
        <w:rPr>
          <w:rFonts w:ascii="Verdana" w:hAnsi="Verdana"/>
          <w:szCs w:val="20"/>
        </w:rPr>
        <w:t xml:space="preserve">mobiliojo elektroninio parašo; </w:t>
      </w:r>
    </w:p>
    <w:p w14:paraId="6145F2F2" w14:textId="77777777" w:rsidR="0065125E" w:rsidRPr="00744235" w:rsidRDefault="0065125E" w:rsidP="0016373D">
      <w:pPr>
        <w:pStyle w:val="ListParagraph"/>
        <w:numPr>
          <w:ilvl w:val="1"/>
          <w:numId w:val="2"/>
        </w:numPr>
        <w:tabs>
          <w:tab w:val="left" w:pos="284"/>
        </w:tabs>
        <w:rPr>
          <w:rFonts w:ascii="Verdana" w:hAnsi="Verdana"/>
          <w:szCs w:val="20"/>
        </w:rPr>
      </w:pPr>
      <w:r w:rsidRPr="00744235">
        <w:rPr>
          <w:rFonts w:ascii="Verdana" w:hAnsi="Verdana"/>
        </w:rPr>
        <w:t xml:space="preserve">duomenų perdavimo, naudojantis internetu paslaugų gavimo galiniame įrenginyje, paslaugas. </w:t>
      </w:r>
    </w:p>
    <w:p w14:paraId="583A62D7" w14:textId="20BB74E5" w:rsidR="02B0C7D6" w:rsidRPr="00744235" w:rsidRDefault="02B0C7D6" w:rsidP="0016373D">
      <w:pPr>
        <w:pStyle w:val="ListParagraph"/>
        <w:numPr>
          <w:ilvl w:val="1"/>
          <w:numId w:val="2"/>
        </w:numPr>
        <w:tabs>
          <w:tab w:val="left" w:pos="284"/>
        </w:tabs>
        <w:rPr>
          <w:rFonts w:ascii="Verdana" w:hAnsi="Verdana"/>
        </w:rPr>
      </w:pPr>
      <w:r w:rsidRPr="00744235">
        <w:rPr>
          <w:rFonts w:ascii="Verdana" w:hAnsi="Verdana"/>
        </w:rPr>
        <w:t>Kitas susijusias paslaugas.</w:t>
      </w:r>
    </w:p>
    <w:p w14:paraId="5852835D" w14:textId="05689753" w:rsidR="00252331" w:rsidRPr="00744235" w:rsidRDefault="00432ACA"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Kitos susijusios paslaugos – tokios paslaugos, kurios yra susijusios su Paslaugomis ir/ar būtinos tinkamam Paslaugų suteikimui (pvz. galimybė sumokėti SMS žinute už automobilio stovėjimą, galimybė skambinti trečioms šalims trumpaisiais numeriais (pvz. pagalba, taksi, bankams), balso paštas, duomenų perdavimas užsienyje, </w:t>
      </w:r>
      <w:proofErr w:type="spellStart"/>
      <w:r w:rsidRPr="00744235">
        <w:rPr>
          <w:rFonts w:ascii="Verdana" w:hAnsi="Verdana"/>
          <w:szCs w:val="20"/>
        </w:rPr>
        <w:t>pyptonas</w:t>
      </w:r>
      <w:proofErr w:type="spellEnd"/>
      <w:r w:rsidR="00045D24" w:rsidRPr="00744235">
        <w:rPr>
          <w:rFonts w:ascii="Verdana" w:hAnsi="Verdana"/>
          <w:szCs w:val="20"/>
        </w:rPr>
        <w:t xml:space="preserve">, </w:t>
      </w:r>
      <w:proofErr w:type="spellStart"/>
      <w:r w:rsidR="00E91A11" w:rsidRPr="00744235">
        <w:rPr>
          <w:rFonts w:ascii="Verdana" w:hAnsi="Verdana"/>
          <w:szCs w:val="20"/>
        </w:rPr>
        <w:t>eSim</w:t>
      </w:r>
      <w:proofErr w:type="spellEnd"/>
      <w:r w:rsidR="003910ED" w:rsidRPr="00744235">
        <w:rPr>
          <w:rFonts w:ascii="Verdana" w:hAnsi="Verdana"/>
          <w:szCs w:val="20"/>
        </w:rPr>
        <w:t xml:space="preserve"> laikrodyje -</w:t>
      </w:r>
      <w:r w:rsidR="00E91A11" w:rsidRPr="00744235">
        <w:rPr>
          <w:rFonts w:ascii="Verdana" w:hAnsi="Verdana"/>
          <w:szCs w:val="20"/>
        </w:rPr>
        <w:t xml:space="preserve"> „vieno numerio paslauga“</w:t>
      </w:r>
      <w:r w:rsidRPr="00744235">
        <w:rPr>
          <w:rFonts w:ascii="Verdana" w:hAnsi="Verdana"/>
          <w:szCs w:val="20"/>
        </w:rPr>
        <w:t xml:space="preserve"> ir kitos su pirkimo objektu susijusios paslaugos). </w:t>
      </w:r>
    </w:p>
    <w:p w14:paraId="543399B7" w14:textId="22597881" w:rsidR="009B3149" w:rsidRPr="00744235" w:rsidRDefault="004739D0" w:rsidP="0016373D">
      <w:pPr>
        <w:pStyle w:val="ListParagraph"/>
        <w:numPr>
          <w:ilvl w:val="0"/>
          <w:numId w:val="2"/>
        </w:numPr>
        <w:tabs>
          <w:tab w:val="left" w:pos="284"/>
        </w:tabs>
        <w:rPr>
          <w:rFonts w:ascii="Verdana" w:hAnsi="Verdana"/>
          <w:szCs w:val="20"/>
        </w:rPr>
      </w:pPr>
      <w:r w:rsidRPr="00744235">
        <w:rPr>
          <w:rFonts w:ascii="Verdana" w:hAnsi="Verdana"/>
          <w:szCs w:val="20"/>
        </w:rPr>
        <w:t>Numatomas preliminarus judriojo telefono ryšio abonentų skaičius - 650. Perkančioji organizacija sutarties galiojimo metu gali keisti abonentų skaičių: mažinti - ne daugiau kaip 30% abonentų, didinti – neribotai (neviršijant maksimalios pirkimo sutarties vertės). Mažinant abonentų  skaičių perkančiajai organizacijai neturi būti taikomos jokios sankcijos (baudos, delspinigiai ar pan.).</w:t>
      </w:r>
    </w:p>
    <w:p w14:paraId="79CF5674" w14:textId="77777777" w:rsidR="00882C7D" w:rsidRPr="00744235" w:rsidRDefault="00882C7D"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Visiems judriojo telefono ryšio abonentams, taip pat ir sutarties galiojimo metu naujai įsigytiems abonentams taikomi pasiūlyme nurodyti įkainiai. </w:t>
      </w:r>
    </w:p>
    <w:p w14:paraId="2F240FCE" w14:textId="77777777" w:rsidR="0021154D" w:rsidRPr="00744235" w:rsidRDefault="0021154D"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Tiekėjas pasiūlyme nurodo minimalų mėnesio mokestį, už kurį visiems judriojo telefono ryšio abonentams, taip pat ir sutarties galiojimo metu naujai įsigytiems abonentams turi būti suteikti:   </w:t>
      </w:r>
    </w:p>
    <w:p w14:paraId="2C378924" w14:textId="77777777" w:rsidR="00B53AE9" w:rsidRPr="00744235" w:rsidRDefault="00B53AE9" w:rsidP="0016373D">
      <w:pPr>
        <w:pStyle w:val="ListParagraph"/>
        <w:numPr>
          <w:ilvl w:val="1"/>
          <w:numId w:val="2"/>
        </w:numPr>
        <w:tabs>
          <w:tab w:val="left" w:pos="284"/>
        </w:tabs>
        <w:rPr>
          <w:rFonts w:ascii="Verdana" w:hAnsi="Verdana"/>
          <w:szCs w:val="20"/>
        </w:rPr>
      </w:pPr>
      <w:r w:rsidRPr="00744235">
        <w:rPr>
          <w:rFonts w:ascii="Verdana" w:hAnsi="Verdana"/>
          <w:szCs w:val="20"/>
        </w:rPr>
        <w:t xml:space="preserve">neriboti pokalbiai Lietuvoje į visus Lietuvos tinklus; </w:t>
      </w:r>
    </w:p>
    <w:p w14:paraId="17D78A1F" w14:textId="03A52FD7" w:rsidR="00587458" w:rsidRPr="00744235" w:rsidRDefault="00587458" w:rsidP="0016373D">
      <w:pPr>
        <w:pStyle w:val="ListParagraph"/>
        <w:numPr>
          <w:ilvl w:val="1"/>
          <w:numId w:val="2"/>
        </w:numPr>
        <w:tabs>
          <w:tab w:val="left" w:pos="284"/>
        </w:tabs>
        <w:rPr>
          <w:rFonts w:ascii="Verdana" w:hAnsi="Verdana"/>
          <w:szCs w:val="20"/>
        </w:rPr>
      </w:pPr>
      <w:r w:rsidRPr="00744235">
        <w:rPr>
          <w:rFonts w:ascii="Verdana" w:hAnsi="Verdana"/>
          <w:szCs w:val="20"/>
        </w:rPr>
        <w:t xml:space="preserve">neribotos trumposios žinutės (SMS), neribotos vaizdo žinutės (MMS) Lietuvoje į visus Lietuvos tinklus; </w:t>
      </w:r>
    </w:p>
    <w:p w14:paraId="552B9C2D" w14:textId="311FD1E9" w:rsidR="00882C7D" w:rsidRPr="00744235" w:rsidRDefault="00E4281A" w:rsidP="0016373D">
      <w:pPr>
        <w:pStyle w:val="ListParagraph"/>
        <w:numPr>
          <w:ilvl w:val="1"/>
          <w:numId w:val="2"/>
        </w:numPr>
        <w:tabs>
          <w:tab w:val="left" w:pos="284"/>
        </w:tabs>
        <w:rPr>
          <w:rFonts w:ascii="Verdana" w:hAnsi="Verdana"/>
          <w:szCs w:val="20"/>
        </w:rPr>
      </w:pPr>
      <w:r w:rsidRPr="00744235">
        <w:rPr>
          <w:rFonts w:ascii="Verdana" w:hAnsi="Verdana"/>
          <w:szCs w:val="20"/>
        </w:rPr>
        <w:t>Neribotus mobiliuosius duomenis (GB) Lietuvoje neribojant jų perdavimo spartos</w:t>
      </w:r>
      <w:r w:rsidR="00132CF3" w:rsidRPr="00744235">
        <w:rPr>
          <w:rFonts w:ascii="Verdana" w:hAnsi="Verdana"/>
          <w:szCs w:val="20"/>
        </w:rPr>
        <w:t>.</w:t>
      </w:r>
    </w:p>
    <w:p w14:paraId="0EFF6910" w14:textId="1523BC7C" w:rsidR="00132CF3" w:rsidRPr="00744235" w:rsidRDefault="00137DB7"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Pasiūlyme tiekėjas negali pateikti jokių išvestinių tarifų, </w:t>
      </w:r>
      <w:proofErr w:type="spellStart"/>
      <w:r w:rsidRPr="00744235">
        <w:rPr>
          <w:rFonts w:ascii="Verdana" w:hAnsi="Verdana"/>
          <w:szCs w:val="20"/>
        </w:rPr>
        <w:t>t.y</w:t>
      </w:r>
      <w:proofErr w:type="spellEnd"/>
      <w:r w:rsidRPr="00744235">
        <w:rPr>
          <w:rFonts w:ascii="Verdana" w:hAnsi="Verdana"/>
          <w:szCs w:val="20"/>
        </w:rPr>
        <w:t>. tarifų vidurkių ir pan.</w:t>
      </w:r>
    </w:p>
    <w:p w14:paraId="3F55BFF3" w14:textId="77777777" w:rsidR="004127C4" w:rsidRPr="00744235" w:rsidRDefault="004127C4"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Paslaugų tiekėjas privalo nemokamai sujungti perkančiosios organizacijos judriojo ryšio abonentus Lietuvos teritorijoje su priešgaisrine apsauga, policija, greitąja medicinine pagalba bei bendruoju pagalbos centru. </w:t>
      </w:r>
    </w:p>
    <w:p w14:paraId="760B3741" w14:textId="77777777" w:rsidR="00C75E8C" w:rsidRPr="00744235" w:rsidRDefault="00C75E8C"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Perkančiosios organizacijos turimų abonentų telefonų numeriai turi išlikti nepakitę. Esamų abonentų sąrašas bus pateiktas viešojo pirkimo konkurso laimėtojui, kaip neatsiejama sutarties dalis – priedas. </w:t>
      </w:r>
    </w:p>
    <w:p w14:paraId="5B4D503A" w14:textId="18AE6D72" w:rsidR="00137DB7" w:rsidRPr="00744235" w:rsidRDefault="009B75DA" w:rsidP="0016373D">
      <w:pPr>
        <w:pStyle w:val="ListParagraph"/>
        <w:numPr>
          <w:ilvl w:val="0"/>
          <w:numId w:val="2"/>
        </w:numPr>
        <w:tabs>
          <w:tab w:val="left" w:pos="284"/>
        </w:tabs>
        <w:rPr>
          <w:rFonts w:ascii="Verdana" w:hAnsi="Verdana"/>
          <w:szCs w:val="20"/>
        </w:rPr>
      </w:pPr>
      <w:r w:rsidRPr="00744235">
        <w:rPr>
          <w:rFonts w:ascii="Verdana" w:hAnsi="Verdana"/>
          <w:szCs w:val="20"/>
        </w:rPr>
        <w:t>Tarptinklinis ryšys turi būti įjungiamas automatiškai be papildomo mokesčio.</w:t>
      </w:r>
    </w:p>
    <w:p w14:paraId="7EB6D89B" w14:textId="77777777" w:rsidR="00353C27" w:rsidRPr="00744235" w:rsidRDefault="00353C27"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Sutarties galiojimo metu paslaugos teikėjas turi paskirti atsakingą darbuotoją, klausimams, susijusiems su pirkimo objektu, spręsti. </w:t>
      </w:r>
    </w:p>
    <w:p w14:paraId="26BC711B" w14:textId="77777777" w:rsidR="00C4506F" w:rsidRPr="00744235" w:rsidRDefault="00C4506F"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Paslaugų teikėjas turi nemokamai pristatyti perkančiajai organizacijai užsakomas su paslaugų teikimu susijusias prekes (SIM korteles, įrangą) bei dokumentus visoje Lietuvos Respublikos teritorijoje. Visos išlaidos, susijusios su šia paslauga, turi būti įskaičiuotos į pasiūlymo kainą. </w:t>
      </w:r>
    </w:p>
    <w:p w14:paraId="0927922B" w14:textId="77777777" w:rsidR="00D67689" w:rsidRPr="00744235" w:rsidRDefault="00D67689" w:rsidP="0016373D">
      <w:pPr>
        <w:pStyle w:val="ListParagraph"/>
        <w:numPr>
          <w:ilvl w:val="0"/>
          <w:numId w:val="2"/>
        </w:numPr>
        <w:tabs>
          <w:tab w:val="left" w:pos="284"/>
        </w:tabs>
        <w:rPr>
          <w:rFonts w:ascii="Verdana" w:hAnsi="Verdana"/>
          <w:szCs w:val="20"/>
        </w:rPr>
      </w:pPr>
      <w:r w:rsidRPr="00744235">
        <w:rPr>
          <w:rFonts w:ascii="Verdana" w:hAnsi="Verdana"/>
          <w:szCs w:val="20"/>
        </w:rPr>
        <w:lastRenderedPageBreak/>
        <w:t xml:space="preserve">Abonentų pajungimas arba atsisakymas turi būti neapmokestinamas. </w:t>
      </w:r>
    </w:p>
    <w:p w14:paraId="363FB2A5" w14:textId="77777777" w:rsidR="002D3542" w:rsidRPr="00744235" w:rsidRDefault="002D3542"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Tiekėjas turi suteikti galimybę kiekvienam perkančiosios organizacijos abonentui bet kuriuo metu tiekėjo interneto svetainėje nemokamai pasitikrinti savo sąskaitą bei detalią sąskaitą. Perkančiosios organizacijos paskirtiems atsakingiems darbuotojams turi būti suteiktos teisės tiekėjo interneto svetainėje (savitarnoje) valdyti perkančiosios organizacijos abonentams suteiktas paslaugas. Visos išlaidos, susijusios su šia paslauga, turi būti įskaičiuotos į pasiūlymo kainą. </w:t>
      </w:r>
    </w:p>
    <w:p w14:paraId="5B903453" w14:textId="2A6D74A6" w:rsidR="009B75DA" w:rsidRPr="00744235" w:rsidRDefault="00E044B4" w:rsidP="0016373D">
      <w:pPr>
        <w:pStyle w:val="ListParagraph"/>
        <w:numPr>
          <w:ilvl w:val="0"/>
          <w:numId w:val="2"/>
        </w:numPr>
        <w:tabs>
          <w:tab w:val="left" w:pos="284"/>
        </w:tabs>
        <w:rPr>
          <w:rFonts w:ascii="Verdana" w:hAnsi="Verdana"/>
          <w:szCs w:val="20"/>
        </w:rPr>
      </w:pPr>
      <w:r w:rsidRPr="00744235">
        <w:rPr>
          <w:rFonts w:ascii="Verdana" w:hAnsi="Verdana"/>
          <w:szCs w:val="20"/>
        </w:rPr>
        <w:t>Visos išlaidos, susijusios su fiziniu SIM/e-</w:t>
      </w:r>
      <w:proofErr w:type="spellStart"/>
      <w:r w:rsidRPr="00744235">
        <w:rPr>
          <w:rFonts w:ascii="Verdana" w:hAnsi="Verdana"/>
          <w:szCs w:val="20"/>
        </w:rPr>
        <w:t>sim</w:t>
      </w:r>
      <w:proofErr w:type="spellEnd"/>
      <w:r w:rsidRPr="00744235">
        <w:rPr>
          <w:rFonts w:ascii="Verdana" w:hAnsi="Verdana"/>
          <w:szCs w:val="20"/>
        </w:rPr>
        <w:t xml:space="preserve"> kortelių išdavimu, keitimu jas sugadinus ar praradus, turi būti įskaičiuotos į pasiūlymo kainą.</w:t>
      </w:r>
    </w:p>
    <w:p w14:paraId="1C2BC660" w14:textId="77777777" w:rsidR="00746533" w:rsidRPr="00744235" w:rsidRDefault="00746533"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Turi būti galimybė sąskaitas, ataskaitas ir detalias sąskaitas (pokalbių išklotines) gauti </w:t>
      </w:r>
      <w:proofErr w:type="spellStart"/>
      <w:r w:rsidRPr="00744235">
        <w:rPr>
          <w:rFonts w:ascii="Verdana" w:hAnsi="Verdana"/>
          <w:szCs w:val="20"/>
        </w:rPr>
        <w:t>pdf</w:t>
      </w:r>
      <w:proofErr w:type="spellEnd"/>
      <w:r w:rsidRPr="00744235">
        <w:rPr>
          <w:rFonts w:ascii="Verdana" w:hAnsi="Verdana"/>
          <w:szCs w:val="20"/>
        </w:rPr>
        <w:t xml:space="preserve">, </w:t>
      </w:r>
      <w:proofErr w:type="spellStart"/>
      <w:r w:rsidRPr="00744235">
        <w:rPr>
          <w:rFonts w:ascii="Verdana" w:hAnsi="Verdana"/>
          <w:szCs w:val="20"/>
        </w:rPr>
        <w:t>txt</w:t>
      </w:r>
      <w:proofErr w:type="spellEnd"/>
      <w:r w:rsidRPr="00744235">
        <w:rPr>
          <w:rFonts w:ascii="Verdana" w:hAnsi="Verdana"/>
          <w:szCs w:val="20"/>
        </w:rPr>
        <w:t xml:space="preserve"> formatu nurodytu el. pašto adresu. Visos išlaidos, susijusios su šios paslaugos teikimu, turi būti įskaičiuotos į pasiūlymo kainą. </w:t>
      </w:r>
    </w:p>
    <w:p w14:paraId="16BBD49E" w14:textId="77777777" w:rsidR="00745F38" w:rsidRPr="00744235" w:rsidRDefault="00745F38"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Judriojo telefono ryšio abonentams pageidaujant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 </w:t>
      </w:r>
    </w:p>
    <w:p w14:paraId="456BD18D" w14:textId="5D2213E4" w:rsidR="00E044B4" w:rsidRPr="00744235" w:rsidRDefault="00F515AA" w:rsidP="0016373D">
      <w:pPr>
        <w:pStyle w:val="ListParagraph"/>
        <w:numPr>
          <w:ilvl w:val="0"/>
          <w:numId w:val="2"/>
        </w:numPr>
        <w:tabs>
          <w:tab w:val="left" w:pos="284"/>
        </w:tabs>
        <w:rPr>
          <w:rFonts w:ascii="Verdana" w:hAnsi="Verdana"/>
          <w:szCs w:val="20"/>
        </w:rPr>
      </w:pPr>
      <w:r w:rsidRPr="00744235">
        <w:rPr>
          <w:rFonts w:ascii="Verdana" w:hAnsi="Verdana"/>
          <w:szCs w:val="20"/>
        </w:rPr>
        <w:t>Gedimai turi būti pašalinti per 24 val. Perkančioji organizacija apie paslaugų teikimo sutrikimus nedelsiant praneša tiekėjui bendruoju telefonu arba kontaktiniam asmeniui (šiuo viešuoju pirkimu perkamų paslaugų kontekste gedimu laikomas Paslaugų teikėjo teikiamos Paslaugos funkcionalumo sutrikimas arba visiškas Paslaugos neplanuotas neteikimas. Laikoma, kad įvyko gedimas, kai Paslaugos funkcionalumo sutrikimas tęsiasi daugiau nei 5 min.). Perkančioji organizacija turi būti informuojama apie gedimo užregistravimą ir gedimo pašalinimą.</w:t>
      </w:r>
    </w:p>
    <w:p w14:paraId="6AF796F4" w14:textId="77777777" w:rsidR="00A533D0" w:rsidRPr="00744235" w:rsidRDefault="00A533D0"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Perkančiajai organizacijai turi būti teikiamos duomenų perdavimo paslaugos (mobiliojo interneto telefone) naudojantis 4G (LTE) ryšio standartu arba lygiaverčių parametrų ar vėlesnėmis technologijomis.  </w:t>
      </w:r>
    </w:p>
    <w:p w14:paraId="460B45A9" w14:textId="77777777" w:rsidR="004213AB" w:rsidRPr="00744235" w:rsidRDefault="004213AB"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Lygiaverčių technologijų techniniai parametrai negali būti prastesni nei reikalaujamų. </w:t>
      </w:r>
    </w:p>
    <w:p w14:paraId="2D90F139" w14:textId="77777777" w:rsidR="00E40B75" w:rsidRPr="00744235" w:rsidRDefault="00E40B75"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Paslaugos teikėjas negali riboti jokių funkcionalumų, kuriuos suteikia abonento mobilusis telefonas (tokie kaip  maršrutizatoriaus (angl. </w:t>
      </w:r>
      <w:proofErr w:type="spellStart"/>
      <w:r w:rsidRPr="00744235">
        <w:rPr>
          <w:rFonts w:ascii="Verdana" w:hAnsi="Verdana"/>
          <w:szCs w:val="20"/>
        </w:rPr>
        <w:t>Wi</w:t>
      </w:r>
      <w:proofErr w:type="spellEnd"/>
      <w:r w:rsidRPr="00744235">
        <w:rPr>
          <w:rFonts w:ascii="Verdana" w:hAnsi="Verdana"/>
          <w:szCs w:val="20"/>
        </w:rPr>
        <w:t xml:space="preserve">-Fi </w:t>
      </w:r>
      <w:proofErr w:type="spellStart"/>
      <w:r w:rsidRPr="00744235">
        <w:rPr>
          <w:rFonts w:ascii="Verdana" w:hAnsi="Verdana"/>
          <w:szCs w:val="20"/>
        </w:rPr>
        <w:t>Hotspot</w:t>
      </w:r>
      <w:proofErr w:type="spellEnd"/>
      <w:r w:rsidRPr="00744235">
        <w:rPr>
          <w:rFonts w:ascii="Verdana" w:hAnsi="Verdana"/>
          <w:szCs w:val="20"/>
        </w:rPr>
        <w:t xml:space="preserve">) arba modemo (angl. </w:t>
      </w:r>
      <w:proofErr w:type="spellStart"/>
      <w:r w:rsidRPr="00744235">
        <w:rPr>
          <w:rFonts w:ascii="Verdana" w:hAnsi="Verdana"/>
          <w:szCs w:val="20"/>
        </w:rPr>
        <w:t>Tethering</w:t>
      </w:r>
      <w:proofErr w:type="spellEnd"/>
      <w:r w:rsidRPr="00744235">
        <w:rPr>
          <w:rFonts w:ascii="Verdana" w:hAnsi="Verdana"/>
          <w:szCs w:val="20"/>
        </w:rPr>
        <w:t xml:space="preserve">) kitiems įrenginiams), išskyrus veiklą, kuri aptarta sutartyje ar kuri draudžiama Lietuvos Respublikos įstatymais. </w:t>
      </w:r>
    </w:p>
    <w:p w14:paraId="65AE87D0" w14:textId="245B700E" w:rsidR="00355BE5" w:rsidRPr="00744235" w:rsidRDefault="003F19BD" w:rsidP="0016373D">
      <w:pPr>
        <w:pStyle w:val="ListParagraph"/>
        <w:numPr>
          <w:ilvl w:val="0"/>
          <w:numId w:val="2"/>
        </w:numPr>
        <w:tabs>
          <w:tab w:val="left" w:pos="284"/>
        </w:tabs>
        <w:rPr>
          <w:rFonts w:ascii="Verdana" w:hAnsi="Verdana"/>
          <w:szCs w:val="20"/>
        </w:rPr>
      </w:pPr>
      <w:r w:rsidRPr="00744235">
        <w:rPr>
          <w:rFonts w:ascii="Verdana" w:hAnsi="Verdana"/>
          <w:szCs w:val="20"/>
        </w:rPr>
        <w:t>Visiems duomenų perdavimo telefone abonentams, taip pat ir sutarties galiojimo metu naujai įsigytiems abonentams taikomi pasiūlyme nurodyti įkainiai.</w:t>
      </w:r>
    </w:p>
    <w:p w14:paraId="53EB36AC" w14:textId="41A62FCD" w:rsidR="00F2713C" w:rsidRPr="00744235" w:rsidRDefault="00F2713C"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Tiekėjas turi pateikti tiek fizinių SIM kortelių, kokiam abonentų skaičiui užsakoma paslauga. Fizinė SIM kortelė turi būti universalaus dydžio – </w:t>
      </w:r>
      <w:proofErr w:type="spellStart"/>
      <w:r w:rsidRPr="00744235">
        <w:rPr>
          <w:rFonts w:ascii="Verdana" w:hAnsi="Verdana"/>
          <w:szCs w:val="20"/>
        </w:rPr>
        <w:t>t.y</w:t>
      </w:r>
      <w:proofErr w:type="spellEnd"/>
      <w:r w:rsidRPr="00744235">
        <w:rPr>
          <w:rFonts w:ascii="Verdana" w:hAnsi="Verdana"/>
          <w:szCs w:val="20"/>
        </w:rPr>
        <w:t xml:space="preserve">. be papildomų įrankių ar įrangos turi būti galimybė naudoti Standard SIM ir </w:t>
      </w:r>
      <w:proofErr w:type="spellStart"/>
      <w:r w:rsidRPr="00744235">
        <w:rPr>
          <w:rFonts w:ascii="Verdana" w:hAnsi="Verdana"/>
          <w:szCs w:val="20"/>
        </w:rPr>
        <w:t>Micro</w:t>
      </w:r>
      <w:proofErr w:type="spellEnd"/>
      <w:r w:rsidRPr="00744235">
        <w:rPr>
          <w:rFonts w:ascii="Verdana" w:hAnsi="Verdana"/>
          <w:szCs w:val="20"/>
        </w:rPr>
        <w:t xml:space="preserve"> SIM, ir </w:t>
      </w:r>
      <w:proofErr w:type="spellStart"/>
      <w:r w:rsidRPr="00744235">
        <w:rPr>
          <w:rFonts w:ascii="Verdana" w:hAnsi="Verdana"/>
          <w:szCs w:val="20"/>
        </w:rPr>
        <w:t>Nano</w:t>
      </w:r>
      <w:proofErr w:type="spellEnd"/>
      <w:r w:rsidRPr="00744235">
        <w:rPr>
          <w:rFonts w:ascii="Verdana" w:hAnsi="Verdana"/>
          <w:szCs w:val="20"/>
        </w:rPr>
        <w:t xml:space="preserve"> SIM įrenginiuose. Fizinio SIM kortelės sugadinimo arba praradimo atveju, Tiekėjas pakeičia kortelę, kurios kaina įtraukta į pasiūlymo kainą. Paaiškėjus SIM kortelės gamykliniam defektui, Tiekėjas privalo nemokamai atlikti jos pakeitimą. Paslaugų teikėjas privalo pateikti prisijungimo prie interneto nustatymus.</w:t>
      </w:r>
      <w:r w:rsidR="00723875" w:rsidRPr="00744235">
        <w:rPr>
          <w:rFonts w:ascii="Verdana" w:hAnsi="Verdana"/>
          <w:szCs w:val="20"/>
        </w:rPr>
        <w:t xml:space="preserve"> Tiekėjas gali teikti </w:t>
      </w:r>
      <w:proofErr w:type="spellStart"/>
      <w:r w:rsidR="00723875" w:rsidRPr="00744235">
        <w:rPr>
          <w:rFonts w:ascii="Verdana" w:hAnsi="Verdana"/>
          <w:szCs w:val="20"/>
        </w:rPr>
        <w:t>eSIM</w:t>
      </w:r>
      <w:proofErr w:type="spellEnd"/>
      <w:r w:rsidR="00723875" w:rsidRPr="00744235">
        <w:rPr>
          <w:rFonts w:ascii="Verdana" w:hAnsi="Verdana"/>
          <w:szCs w:val="20"/>
        </w:rPr>
        <w:t xml:space="preserve"> vietoje fizinių SIM kortelių, kur jos gali būti </w:t>
      </w:r>
      <w:r w:rsidR="00E50E1E" w:rsidRPr="00744235">
        <w:rPr>
          <w:rFonts w:ascii="Verdana" w:hAnsi="Verdana"/>
          <w:szCs w:val="20"/>
        </w:rPr>
        <w:t>naudojamos</w:t>
      </w:r>
      <w:r w:rsidR="00723875" w:rsidRPr="00744235">
        <w:rPr>
          <w:rFonts w:ascii="Verdana" w:hAnsi="Verdana"/>
          <w:szCs w:val="20"/>
        </w:rPr>
        <w:t xml:space="preserve"> atsižvelgiant į teikiamų paslaugų pobūdį.</w:t>
      </w:r>
    </w:p>
    <w:p w14:paraId="2084DE6D" w14:textId="53C6C610" w:rsidR="0057297C" w:rsidRPr="00744235" w:rsidRDefault="0057297C" w:rsidP="0016373D">
      <w:pPr>
        <w:pStyle w:val="ListParagraph"/>
        <w:numPr>
          <w:ilvl w:val="0"/>
          <w:numId w:val="2"/>
        </w:numPr>
        <w:tabs>
          <w:tab w:val="left" w:pos="284"/>
        </w:tabs>
        <w:rPr>
          <w:rFonts w:ascii="Verdana" w:hAnsi="Verdana"/>
        </w:rPr>
      </w:pPr>
      <w:r w:rsidRPr="00744235">
        <w:rPr>
          <w:rFonts w:ascii="Verdana" w:hAnsi="Verdana"/>
        </w:rPr>
        <w:t>Visus kaštus, susijusius su SIM kortelių įrengimu/pakeitimu nurodytuose Perkančiosios organizacijos objektuose, prisiima paslaugų teikėjas. Duomenų perdavimo kortelių keitimo ir diegimo įrangoje išlaidos turi būti įskaičiuotos į paslaugos minimalų mėnesinį mokestį, netaikant jokių papildomų mokesčių paslaugos gavėjui. Tiekėjas turi įvertinti ir įtraukti į pasiūlymą kaštus, kurie apima kelionės išlaidas, SIM kortelių keitimo pirkėjo GSM ryšio įrangoje darbus, įrangos konfigūravimo arba perprogramavimo, o nesant galimybės perprogramuoti, įrangos pakeitimo analogiška (veikiančia su tiekėjo SIM kortelėmis). Pasirašius sutartį Tiekėjas įsipareigoja perkelti visus Perkančiosios organizacijos turimus numerius ne vėliau kaip per 1</w:t>
      </w:r>
      <w:r w:rsidR="00347FDF" w:rsidRPr="00744235">
        <w:rPr>
          <w:rFonts w:ascii="Verdana" w:hAnsi="Verdana"/>
        </w:rPr>
        <w:t>0</w:t>
      </w:r>
      <w:r w:rsidRPr="00744235">
        <w:rPr>
          <w:rFonts w:ascii="Verdana" w:hAnsi="Verdana"/>
        </w:rPr>
        <w:t xml:space="preserve"> </w:t>
      </w:r>
      <w:r w:rsidR="004559E8" w:rsidRPr="00744235">
        <w:rPr>
          <w:rFonts w:ascii="Verdana" w:hAnsi="Verdana"/>
        </w:rPr>
        <w:t xml:space="preserve">(dešimt) </w:t>
      </w:r>
      <w:r w:rsidRPr="00744235">
        <w:rPr>
          <w:rFonts w:ascii="Verdana" w:hAnsi="Verdana"/>
        </w:rPr>
        <w:t>darbo dien</w:t>
      </w:r>
      <w:r w:rsidR="00347FDF" w:rsidRPr="00744235">
        <w:rPr>
          <w:rFonts w:ascii="Verdana" w:hAnsi="Verdana"/>
        </w:rPr>
        <w:t>ų</w:t>
      </w:r>
      <w:r w:rsidRPr="00744235">
        <w:rPr>
          <w:rFonts w:ascii="Verdana" w:hAnsi="Verdana"/>
        </w:rPr>
        <w:t xml:space="preserve"> nuo Sutarties pasirašymo dienos.  Tiekėjas turi užtikrinti sklandų naujų mobiliojo ryšio kortelių aktyvavimą visuose Perkančiosios organizacijos turimuose įrenginiuose. SIM kortelių pakeitimai vartotojams, </w:t>
      </w:r>
      <w:r w:rsidRPr="00744235">
        <w:rPr>
          <w:rFonts w:ascii="Verdana" w:hAnsi="Verdana"/>
        </w:rPr>
        <w:lastRenderedPageBreak/>
        <w:t xml:space="preserve">kurie naudoja mobilų parašą turi būti atlikti adresu S. Konarskio g. 49, Vilnius. Šią paslaugą Tiekėjas turi suteikti nemokamai.   </w:t>
      </w:r>
    </w:p>
    <w:p w14:paraId="6F15138A" w14:textId="77777777" w:rsidR="004E7410" w:rsidRPr="00744235" w:rsidRDefault="004E7410" w:rsidP="0016373D">
      <w:pPr>
        <w:pStyle w:val="ListParagraph"/>
        <w:tabs>
          <w:tab w:val="clear" w:pos="1004"/>
          <w:tab w:val="left" w:pos="284"/>
        </w:tabs>
        <w:ind w:left="0" w:firstLine="567"/>
        <w:rPr>
          <w:rFonts w:ascii="Verdana" w:hAnsi="Verdana"/>
          <w:szCs w:val="20"/>
        </w:rPr>
      </w:pPr>
    </w:p>
    <w:p w14:paraId="10587680" w14:textId="288AB67E" w:rsidR="007451C0" w:rsidRPr="00744235" w:rsidRDefault="007451C0" w:rsidP="0016373D">
      <w:pPr>
        <w:tabs>
          <w:tab w:val="clear" w:pos="1004"/>
          <w:tab w:val="left" w:pos="284"/>
        </w:tabs>
        <w:ind w:left="0" w:firstLine="567"/>
        <w:jc w:val="center"/>
        <w:rPr>
          <w:rFonts w:ascii="Verdana" w:hAnsi="Verdana"/>
          <w:b/>
          <w:caps/>
          <w:szCs w:val="20"/>
        </w:rPr>
      </w:pPr>
      <w:r w:rsidRPr="00744235">
        <w:rPr>
          <w:rFonts w:ascii="Verdana" w:hAnsi="Verdana"/>
          <w:b/>
          <w:caps/>
          <w:szCs w:val="20"/>
        </w:rPr>
        <w:t>II. Reikalavimai telefoninės biuro stotelės (PBX) paslaugai</w:t>
      </w:r>
    </w:p>
    <w:p w14:paraId="39464BF0" w14:textId="77777777" w:rsidR="00833684" w:rsidRPr="00744235" w:rsidRDefault="00833684" w:rsidP="0016373D">
      <w:pPr>
        <w:tabs>
          <w:tab w:val="clear" w:pos="1004"/>
          <w:tab w:val="left" w:pos="284"/>
        </w:tabs>
        <w:ind w:left="0" w:firstLine="567"/>
        <w:rPr>
          <w:rFonts w:ascii="Verdana" w:hAnsi="Verdana"/>
          <w:b/>
          <w:caps/>
          <w:szCs w:val="20"/>
        </w:rPr>
      </w:pPr>
    </w:p>
    <w:p w14:paraId="0E7681AC" w14:textId="0AF222C3" w:rsidR="00833684" w:rsidRPr="00744235" w:rsidRDefault="00AC2B39" w:rsidP="0016373D">
      <w:pPr>
        <w:pStyle w:val="ListParagraph"/>
        <w:numPr>
          <w:ilvl w:val="0"/>
          <w:numId w:val="2"/>
        </w:numPr>
        <w:tabs>
          <w:tab w:val="left" w:pos="284"/>
        </w:tabs>
        <w:rPr>
          <w:rFonts w:ascii="Verdana" w:hAnsi="Verdana"/>
          <w:szCs w:val="20"/>
        </w:rPr>
      </w:pPr>
      <w:r w:rsidRPr="00744235">
        <w:rPr>
          <w:rFonts w:ascii="Verdana" w:hAnsi="Verdana"/>
          <w:szCs w:val="20"/>
        </w:rPr>
        <w:t>Tiekėjas turi teikti skambinimo ir skambučių priėmimo, faksogramų siuntimo/gavimo paslaugas.</w:t>
      </w:r>
    </w:p>
    <w:p w14:paraId="7A2EC7B2" w14:textId="77777777" w:rsidR="00EC79CF" w:rsidRPr="00744235" w:rsidRDefault="00EC79CF"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Numatomas preliminarus telefoninės biuro stotelės (PBX) vartotojų skaičius - 300. Paslaugos teikimo adresas S. Konarskio g. 49, Vilnius.  </w:t>
      </w:r>
    </w:p>
    <w:p w14:paraId="1A56B6AD" w14:textId="77777777" w:rsidR="001C5D64" w:rsidRPr="00744235" w:rsidRDefault="001C5D64"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Sutarties galiojimo metu naujai įsigytiems abonentams taikomi pasiūlyme nurodyti įkainiai. </w:t>
      </w:r>
    </w:p>
    <w:p w14:paraId="3C19DD1D" w14:textId="77777777" w:rsidR="00873729" w:rsidRPr="00744235" w:rsidRDefault="00873729"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Pasiūlyme tiekėjas negali pateikti jokių išvestinių tarifų, </w:t>
      </w:r>
      <w:proofErr w:type="spellStart"/>
      <w:r w:rsidRPr="00744235">
        <w:rPr>
          <w:rFonts w:ascii="Verdana" w:hAnsi="Verdana"/>
          <w:szCs w:val="20"/>
        </w:rPr>
        <w:t>t.y</w:t>
      </w:r>
      <w:proofErr w:type="spellEnd"/>
      <w:r w:rsidRPr="00744235">
        <w:rPr>
          <w:rFonts w:ascii="Verdana" w:hAnsi="Verdana"/>
          <w:szCs w:val="20"/>
        </w:rPr>
        <w:t xml:space="preserve">. tarifų vidurkių, skaidymų pagal kryptis ir pan. </w:t>
      </w:r>
    </w:p>
    <w:p w14:paraId="14361979" w14:textId="77777777" w:rsidR="000C1C12" w:rsidRPr="00744235" w:rsidRDefault="000C1C12"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Paslaugų tiekėjas privalo nemokamai sujungti perkančiosios organizacijos fiksuoto ryšio abonentus Lietuvos teritorijoje su priešgaisrine apsauga, policija, greitąja medicinine pagalba bei bendruoju pagalbos centru. </w:t>
      </w:r>
    </w:p>
    <w:p w14:paraId="3C9D37B2" w14:textId="77777777" w:rsidR="00097CB2" w:rsidRPr="00744235" w:rsidRDefault="00097CB2"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Pokalbių trukmė turi būti apskaitoma sekundės tikslumu. </w:t>
      </w:r>
    </w:p>
    <w:p w14:paraId="151F9135" w14:textId="77777777" w:rsidR="00413234" w:rsidRPr="00744235" w:rsidRDefault="00413234"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Perkančiosios organizacijos turimų abonentų telefonų numeriai turi išlikti nepakitę. Esamų abonentų sąrašas bus pateiktas viešojo pirkimo konkurso laimėtojui, kaip neatsiejama sutarties dalis – priedas. </w:t>
      </w:r>
    </w:p>
    <w:p w14:paraId="163AD042" w14:textId="7BB15A80" w:rsidR="001858BD" w:rsidRPr="00744235" w:rsidRDefault="001858BD" w:rsidP="0016373D">
      <w:pPr>
        <w:pStyle w:val="ListParagraph"/>
        <w:numPr>
          <w:ilvl w:val="0"/>
          <w:numId w:val="2"/>
        </w:numPr>
        <w:tabs>
          <w:tab w:val="left" w:pos="284"/>
        </w:tabs>
        <w:rPr>
          <w:rFonts w:ascii="Verdana" w:hAnsi="Verdana"/>
        </w:rPr>
      </w:pPr>
      <w:r w:rsidRPr="00744235">
        <w:rPr>
          <w:rFonts w:ascii="Verdana" w:hAnsi="Verdana"/>
        </w:rPr>
        <w:t xml:space="preserve">PBX stotelės abonentų numeriai turi būti atpažįstami GSM ryšio tinkle. </w:t>
      </w:r>
      <w:r w:rsidR="00596899" w:rsidRPr="00744235">
        <w:rPr>
          <w:rFonts w:ascii="Verdana" w:hAnsi="Verdana"/>
        </w:rPr>
        <w:t>Nurodytas funkcionalumas reiškia, kad skambučio gavėjas turi telefone matyti skambinančiojo numerį</w:t>
      </w:r>
      <w:r w:rsidRPr="00744235">
        <w:rPr>
          <w:rFonts w:ascii="Verdana" w:hAnsi="Verdana"/>
        </w:rPr>
        <w:t xml:space="preserve">. </w:t>
      </w:r>
    </w:p>
    <w:p w14:paraId="24B74D4E" w14:textId="77777777" w:rsidR="0031482F" w:rsidRPr="00744235" w:rsidRDefault="0031482F"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Visiems abonentams turi būti suteikti trumpieji (iki 4 ženklų) numeriai, skambinti kitiems perkančiosios organizacijos PBX ir GSM abonentams. </w:t>
      </w:r>
    </w:p>
    <w:p w14:paraId="00B560CB" w14:textId="77777777" w:rsidR="00767269" w:rsidRPr="00744235" w:rsidRDefault="00767269"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Ryšys turi būti kokybiškas (be aido, be trūkinėjimų, be pašalinių garsų). </w:t>
      </w:r>
    </w:p>
    <w:p w14:paraId="23A5CF06" w14:textId="77777777" w:rsidR="008A4F98" w:rsidRPr="00744235" w:rsidRDefault="008A4F98"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Gedimai turi būti pašalinti per 24 val. Perkančioji organizacija apie paslaugų teikimo sutrikimus nedelsiant praneša tiekėjui bendruoju telefonu arba kontaktiniam asmeniui. Perkančioji organizacija turi būti informuojama apie gedimo užregistravimą ir gedimo pašalinimą. </w:t>
      </w:r>
    </w:p>
    <w:p w14:paraId="7E17A783" w14:textId="77777777" w:rsidR="00E47C7A" w:rsidRPr="00744235" w:rsidRDefault="00E47C7A"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Turi būti užtikrinta ne mažiau kaip 12 balso kanalų vienu metu. </w:t>
      </w:r>
    </w:p>
    <w:p w14:paraId="6DE28874" w14:textId="27F99D15" w:rsidR="00AC2B39" w:rsidRPr="00744235" w:rsidRDefault="007D26F3" w:rsidP="0016373D">
      <w:pPr>
        <w:pStyle w:val="ListParagraph"/>
        <w:numPr>
          <w:ilvl w:val="0"/>
          <w:numId w:val="2"/>
        </w:numPr>
        <w:tabs>
          <w:tab w:val="left" w:pos="284"/>
        </w:tabs>
        <w:rPr>
          <w:rFonts w:ascii="Verdana" w:hAnsi="Verdana"/>
          <w:szCs w:val="20"/>
        </w:rPr>
      </w:pPr>
      <w:r w:rsidRPr="00744235">
        <w:rPr>
          <w:rFonts w:ascii="Verdana" w:hAnsi="Verdana"/>
          <w:szCs w:val="20"/>
        </w:rPr>
        <w:t>Tiekėjas savo lėšomis padengia prisijungimo prie PBX ryšio įrangos ir jos įdiegimo kaštus.</w:t>
      </w:r>
    </w:p>
    <w:p w14:paraId="173C8EEC" w14:textId="1B79C2E3" w:rsidR="00956F55" w:rsidRPr="00744235" w:rsidRDefault="00B61A98" w:rsidP="0016373D">
      <w:pPr>
        <w:pStyle w:val="ListParagraph"/>
        <w:numPr>
          <w:ilvl w:val="0"/>
          <w:numId w:val="2"/>
        </w:numPr>
        <w:tabs>
          <w:tab w:val="left" w:pos="284"/>
        </w:tabs>
        <w:rPr>
          <w:rFonts w:ascii="Verdana" w:hAnsi="Verdana"/>
        </w:rPr>
      </w:pPr>
      <w:r w:rsidRPr="00744235">
        <w:rPr>
          <w:rFonts w:ascii="Verdana" w:hAnsi="Verdana"/>
        </w:rPr>
        <w:t xml:space="preserve">Šiuo metu Perkančiosios organizacijos telefonijos tinklas sujungtas telefoniniu </w:t>
      </w:r>
      <w:proofErr w:type="spellStart"/>
      <w:r w:rsidRPr="00744235">
        <w:rPr>
          <w:rFonts w:ascii="Verdana" w:hAnsi="Verdana"/>
        </w:rPr>
        <w:t>maršrutizatorimi</w:t>
      </w:r>
      <w:proofErr w:type="spellEnd"/>
      <w:r w:rsidRPr="00744235">
        <w:rPr>
          <w:rFonts w:ascii="Verdana" w:hAnsi="Verdana"/>
        </w:rPr>
        <w:t xml:space="preserve"> su paslaugos tiekėju. Telefoninis maršrutizatorius yra teikėjo nuosavybė, tad pasikeitus tiekėjui, naujasis tiekėjas turės pateikti savo telefonijos maršrutizatorių. </w:t>
      </w:r>
      <w:r w:rsidR="00956F55" w:rsidRPr="00744235">
        <w:rPr>
          <w:rFonts w:ascii="Verdana" w:hAnsi="Verdana"/>
        </w:rPr>
        <w:t xml:space="preserve">Jeigu būtų siūloma prieiga per operatorių, su kuriuo šiuo metu Perkančiosios organizacijos telefonijos tinklas nesujungtas telefoninio maršrutizatoriaus sąsaja ISDN PRI (E1), į paslaugos įrengimo mokestį būtina įtraukti ir ISDN PRI (E1) sąsajos įrengimo bei tam būtinos techninės įrangos kainą. </w:t>
      </w:r>
    </w:p>
    <w:p w14:paraId="5AEBD103" w14:textId="77777777" w:rsidR="00187A4F" w:rsidRPr="00744235" w:rsidRDefault="00187A4F"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Dėl Perkančiosios organizacijos šiuo metu naudojamos įrangos siūlomos paslaugos negali būti perduodamos IP (Interneto protokolu). </w:t>
      </w:r>
    </w:p>
    <w:p w14:paraId="5F59F086" w14:textId="77777777" w:rsidR="009D1A3C" w:rsidRPr="00744235" w:rsidRDefault="009D1A3C"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Iš Perkančiosios organizacijos į paslaugų teikėjo komutacijos stotį perduodamo numerio formatas XXXXX (penkiaženklis skaičius). </w:t>
      </w:r>
    </w:p>
    <w:p w14:paraId="05B0A787" w14:textId="77777777" w:rsidR="003F2EB8" w:rsidRPr="00744235" w:rsidRDefault="003F2EB8"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Kartą į mėnesį pateikiamos nemokamos detalios išeinančių skambučių ataskaitos: </w:t>
      </w:r>
    </w:p>
    <w:p w14:paraId="2127083D" w14:textId="77777777" w:rsidR="00024487" w:rsidRPr="00744235" w:rsidRDefault="00024487" w:rsidP="0016373D">
      <w:pPr>
        <w:pStyle w:val="ListParagraph"/>
        <w:numPr>
          <w:ilvl w:val="1"/>
          <w:numId w:val="2"/>
        </w:numPr>
        <w:tabs>
          <w:tab w:val="left" w:pos="284"/>
        </w:tabs>
        <w:rPr>
          <w:rFonts w:ascii="Verdana" w:hAnsi="Verdana"/>
          <w:szCs w:val="20"/>
        </w:rPr>
      </w:pPr>
      <w:r w:rsidRPr="00744235">
        <w:rPr>
          <w:rFonts w:ascii="Verdana" w:hAnsi="Verdana"/>
          <w:szCs w:val="20"/>
        </w:rPr>
        <w:t xml:space="preserve">bendrai visų numerių; kiek ir kokios trukmės skambučių ir į kokių operatorių tinklus skambinta; </w:t>
      </w:r>
    </w:p>
    <w:p w14:paraId="01D57CD3" w14:textId="77777777" w:rsidR="005E74C3" w:rsidRPr="00744235" w:rsidRDefault="005E74C3" w:rsidP="0016373D">
      <w:pPr>
        <w:pStyle w:val="ListParagraph"/>
        <w:numPr>
          <w:ilvl w:val="1"/>
          <w:numId w:val="2"/>
        </w:numPr>
        <w:tabs>
          <w:tab w:val="left" w:pos="284"/>
        </w:tabs>
        <w:rPr>
          <w:rFonts w:ascii="Verdana" w:hAnsi="Verdana"/>
          <w:szCs w:val="20"/>
        </w:rPr>
      </w:pPr>
      <w:r w:rsidRPr="00744235">
        <w:rPr>
          <w:rFonts w:ascii="Verdana" w:hAnsi="Verdana"/>
          <w:szCs w:val="20"/>
        </w:rPr>
        <w:t xml:space="preserve">kiekvieno numerio; kiek ir kokios trukmės skambučių ir į kokių operatorių tinklus skambinta. </w:t>
      </w:r>
    </w:p>
    <w:p w14:paraId="66E406D1" w14:textId="77777777" w:rsidR="00D370CC" w:rsidRPr="00744235" w:rsidRDefault="00D370CC"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Paslaugų teikimui Teikėjas privalo naudoti tik savo tinklo infrastruktūrą. </w:t>
      </w:r>
    </w:p>
    <w:p w14:paraId="7576DAB6" w14:textId="77777777" w:rsidR="005B5657" w:rsidRPr="00744235" w:rsidRDefault="005B5657" w:rsidP="0016373D">
      <w:pPr>
        <w:pStyle w:val="ListParagraph"/>
        <w:numPr>
          <w:ilvl w:val="0"/>
          <w:numId w:val="2"/>
        </w:numPr>
        <w:tabs>
          <w:tab w:val="left" w:pos="284"/>
        </w:tabs>
        <w:rPr>
          <w:rFonts w:ascii="Verdana" w:hAnsi="Verdana"/>
          <w:szCs w:val="20"/>
        </w:rPr>
      </w:pPr>
      <w:r w:rsidRPr="00744235">
        <w:rPr>
          <w:rFonts w:ascii="Verdana" w:hAnsi="Verdana"/>
          <w:szCs w:val="20"/>
        </w:rPr>
        <w:t xml:space="preserve">Perkančioji organizacija neįsipareigoja naudotis PBX paslauga visą sutarties laikotarpį. Perkančioji organizacija turi teisę atsisakyti PBX paslaugos bet kuriuo sutarties galiojimo metu, ne mažiau kaip prieš 1 mėn. apie tai raštu įspėjusi Paslaugos tiekėją.  </w:t>
      </w:r>
    </w:p>
    <w:p w14:paraId="676F9093" w14:textId="77777777" w:rsidR="004E7410" w:rsidRPr="00744235" w:rsidRDefault="004E7410" w:rsidP="0016373D">
      <w:pPr>
        <w:pStyle w:val="ListParagraph"/>
        <w:tabs>
          <w:tab w:val="clear" w:pos="1004"/>
          <w:tab w:val="left" w:pos="284"/>
        </w:tabs>
        <w:ind w:left="0" w:firstLine="567"/>
        <w:rPr>
          <w:rFonts w:ascii="Verdana" w:hAnsi="Verdana"/>
          <w:szCs w:val="20"/>
        </w:rPr>
      </w:pPr>
    </w:p>
    <w:p w14:paraId="022FB8BD" w14:textId="4045D5C5" w:rsidR="00796933" w:rsidRPr="00744235" w:rsidRDefault="00257539" w:rsidP="0016373D">
      <w:pPr>
        <w:tabs>
          <w:tab w:val="clear" w:pos="1004"/>
          <w:tab w:val="left" w:pos="284"/>
        </w:tabs>
        <w:ind w:left="0" w:firstLine="567"/>
        <w:jc w:val="center"/>
        <w:rPr>
          <w:rFonts w:ascii="Verdana" w:hAnsi="Verdana"/>
          <w:b/>
          <w:bCs/>
          <w:caps/>
        </w:rPr>
      </w:pPr>
      <w:r w:rsidRPr="00744235">
        <w:rPr>
          <w:rFonts w:ascii="Verdana" w:hAnsi="Verdana"/>
          <w:b/>
          <w:bCs/>
          <w:caps/>
        </w:rPr>
        <w:lastRenderedPageBreak/>
        <w:t xml:space="preserve">IV. </w:t>
      </w:r>
      <w:r w:rsidR="004E7410" w:rsidRPr="00744235">
        <w:rPr>
          <w:rFonts w:ascii="Verdana" w:hAnsi="Verdana"/>
          <w:b/>
          <w:bCs/>
          <w:caps/>
        </w:rPr>
        <w:t xml:space="preserve">APLINKOS APSAUGOS IR </w:t>
      </w:r>
      <w:r w:rsidRPr="00744235">
        <w:rPr>
          <w:rFonts w:ascii="Verdana" w:hAnsi="Verdana"/>
          <w:b/>
          <w:bCs/>
          <w:caps/>
        </w:rPr>
        <w:t>Nacionalinio saugumo reikalavimai</w:t>
      </w:r>
    </w:p>
    <w:p w14:paraId="1D380615" w14:textId="77777777" w:rsidR="007D26F3" w:rsidRPr="00744235" w:rsidRDefault="007D26F3" w:rsidP="0016373D">
      <w:pPr>
        <w:tabs>
          <w:tab w:val="clear" w:pos="1004"/>
          <w:tab w:val="left" w:pos="284"/>
        </w:tabs>
        <w:ind w:left="0" w:firstLine="567"/>
        <w:rPr>
          <w:rFonts w:ascii="Verdana" w:hAnsi="Verdana"/>
          <w:szCs w:val="20"/>
        </w:rPr>
      </w:pPr>
    </w:p>
    <w:p w14:paraId="2934C417" w14:textId="2CC77C2C" w:rsidR="004E7410" w:rsidRPr="00744235" w:rsidRDefault="004E7410" w:rsidP="0016373D">
      <w:pPr>
        <w:pStyle w:val="ListParagraph"/>
        <w:numPr>
          <w:ilvl w:val="0"/>
          <w:numId w:val="2"/>
        </w:numPr>
        <w:tabs>
          <w:tab w:val="left" w:pos="284"/>
        </w:tabs>
        <w:autoSpaceDE w:val="0"/>
        <w:autoSpaceDN w:val="0"/>
        <w:adjustRightInd w:val="0"/>
        <w:rPr>
          <w:rFonts w:ascii="Verdana" w:eastAsia="TimesNewRomanPSMT" w:hAnsi="Verdana"/>
          <w:szCs w:val="20"/>
          <w:lang w:eastAsia="lt-LT"/>
        </w:rPr>
      </w:pPr>
      <w:r w:rsidRPr="00744235">
        <w:rPr>
          <w:rFonts w:ascii="Verdana" w:hAnsi="Verdana"/>
          <w:szCs w:val="20"/>
        </w:rPr>
        <w:t>Perkančioji organizacija taiko aplinkos apsaugos kriterijus nurodytus 1 lentelėje šiame pirkime įsigyjamoms Paslaugoms:</w:t>
      </w:r>
    </w:p>
    <w:p w14:paraId="685368E4" w14:textId="77777777" w:rsidR="004E7410" w:rsidRPr="00744235" w:rsidRDefault="004E7410" w:rsidP="0016373D">
      <w:pPr>
        <w:pStyle w:val="NormalWeb"/>
        <w:tabs>
          <w:tab w:val="left" w:pos="284"/>
        </w:tabs>
        <w:spacing w:before="0" w:beforeAutospacing="0" w:after="0" w:afterAutospacing="0"/>
        <w:ind w:firstLine="567"/>
        <w:jc w:val="right"/>
        <w:rPr>
          <w:rFonts w:ascii="Verdana" w:hAnsi="Verdana"/>
          <w:sz w:val="20"/>
          <w:szCs w:val="20"/>
          <w:lang w:val="lt-LT"/>
        </w:rPr>
      </w:pPr>
      <w:r w:rsidRPr="00744235">
        <w:rPr>
          <w:rFonts w:ascii="Verdana" w:hAnsi="Verdana"/>
          <w:sz w:val="20"/>
          <w:szCs w:val="20"/>
          <w:lang w:val="lt-LT"/>
        </w:rPr>
        <w:t>1 lentelė. Aplinkos apsaugos kriterijai prekėms</w:t>
      </w:r>
    </w:p>
    <w:tbl>
      <w:tblPr>
        <w:tblStyle w:val="TableGrid"/>
        <w:tblW w:w="5000" w:type="pct"/>
        <w:jc w:val="center"/>
        <w:tblLook w:val="04A0" w:firstRow="1" w:lastRow="0" w:firstColumn="1" w:lastColumn="0" w:noHBand="0" w:noVBand="1"/>
      </w:tblPr>
      <w:tblGrid>
        <w:gridCol w:w="1129"/>
        <w:gridCol w:w="3486"/>
        <w:gridCol w:w="2119"/>
        <w:gridCol w:w="2616"/>
      </w:tblGrid>
      <w:tr w:rsidR="004E7410" w:rsidRPr="00744235" w14:paraId="248F1365" w14:textId="77777777" w:rsidTr="68383E17">
        <w:trPr>
          <w:jc w:val="center"/>
        </w:trPr>
        <w:tc>
          <w:tcPr>
            <w:tcW w:w="570" w:type="dxa"/>
            <w:vAlign w:val="center"/>
          </w:tcPr>
          <w:p w14:paraId="62EBD80E" w14:textId="77777777" w:rsidR="004E7410" w:rsidRPr="00744235" w:rsidRDefault="004E7410" w:rsidP="0016373D">
            <w:pPr>
              <w:pStyle w:val="NormalWeb"/>
              <w:tabs>
                <w:tab w:val="left" w:pos="284"/>
              </w:tabs>
              <w:spacing w:before="0" w:beforeAutospacing="0" w:after="0" w:afterAutospacing="0"/>
              <w:ind w:firstLine="567"/>
              <w:jc w:val="center"/>
              <w:rPr>
                <w:rFonts w:ascii="Verdana" w:hAnsi="Verdana"/>
                <w:b/>
                <w:bCs/>
                <w:sz w:val="20"/>
                <w:szCs w:val="20"/>
                <w:lang w:val="lt-LT"/>
              </w:rPr>
            </w:pPr>
            <w:r w:rsidRPr="00744235">
              <w:rPr>
                <w:rFonts w:ascii="Verdana" w:hAnsi="Verdana"/>
                <w:b/>
                <w:bCs/>
                <w:sz w:val="20"/>
                <w:szCs w:val="20"/>
                <w:lang w:val="lt-LT"/>
              </w:rPr>
              <w:t>Eil. Nr.</w:t>
            </w:r>
          </w:p>
        </w:tc>
        <w:tc>
          <w:tcPr>
            <w:tcW w:w="4006" w:type="dxa"/>
            <w:vAlign w:val="center"/>
          </w:tcPr>
          <w:p w14:paraId="0CCC7A24" w14:textId="77777777" w:rsidR="004E7410" w:rsidRPr="00744235" w:rsidRDefault="004E7410" w:rsidP="0016373D">
            <w:pPr>
              <w:pStyle w:val="NormalWeb"/>
              <w:tabs>
                <w:tab w:val="left" w:pos="284"/>
              </w:tabs>
              <w:spacing w:before="0" w:beforeAutospacing="0" w:after="0" w:afterAutospacing="0"/>
              <w:ind w:firstLine="567"/>
              <w:jc w:val="center"/>
              <w:rPr>
                <w:rFonts w:ascii="Verdana" w:hAnsi="Verdana"/>
                <w:b/>
                <w:bCs/>
                <w:sz w:val="20"/>
                <w:szCs w:val="20"/>
                <w:lang w:val="lt-LT"/>
              </w:rPr>
            </w:pPr>
            <w:r w:rsidRPr="00744235">
              <w:rPr>
                <w:rFonts w:ascii="Verdana" w:hAnsi="Verdana"/>
                <w:b/>
                <w:bCs/>
                <w:sz w:val="20"/>
                <w:szCs w:val="20"/>
                <w:lang w:val="lt-LT"/>
              </w:rPr>
              <w:t>Aplinkos apsaugos reikalavimai</w:t>
            </w:r>
          </w:p>
        </w:tc>
        <w:tc>
          <w:tcPr>
            <w:tcW w:w="2184" w:type="dxa"/>
          </w:tcPr>
          <w:p w14:paraId="1B765D85" w14:textId="77777777" w:rsidR="004E7410" w:rsidRPr="00744235" w:rsidRDefault="004E7410" w:rsidP="0016373D">
            <w:pPr>
              <w:pStyle w:val="NormalWeb"/>
              <w:tabs>
                <w:tab w:val="left" w:pos="284"/>
              </w:tabs>
              <w:spacing w:before="0" w:beforeAutospacing="0" w:after="0" w:afterAutospacing="0"/>
              <w:ind w:firstLine="567"/>
              <w:jc w:val="center"/>
              <w:rPr>
                <w:rFonts w:ascii="Verdana" w:hAnsi="Verdana"/>
                <w:b/>
                <w:bCs/>
                <w:sz w:val="20"/>
                <w:szCs w:val="20"/>
                <w:lang w:val="lt-LT"/>
              </w:rPr>
            </w:pPr>
            <w:r w:rsidRPr="00744235">
              <w:rPr>
                <w:rFonts w:ascii="Verdana" w:hAnsi="Verdana"/>
                <w:b/>
                <w:bCs/>
                <w:sz w:val="20"/>
                <w:szCs w:val="20"/>
                <w:lang w:val="lt-LT"/>
              </w:rPr>
              <w:t>Techninės specifikacijos punktai, kuriems taikomi aplinkos apsaugos reikalavimai</w:t>
            </w:r>
          </w:p>
        </w:tc>
        <w:tc>
          <w:tcPr>
            <w:tcW w:w="2862" w:type="dxa"/>
            <w:vAlign w:val="center"/>
          </w:tcPr>
          <w:p w14:paraId="26EE71C3" w14:textId="77777777" w:rsidR="004E7410" w:rsidRPr="00744235" w:rsidRDefault="004E7410" w:rsidP="0016373D">
            <w:pPr>
              <w:pStyle w:val="NormalWeb"/>
              <w:tabs>
                <w:tab w:val="left" w:pos="284"/>
              </w:tabs>
              <w:spacing w:before="0" w:beforeAutospacing="0" w:after="0" w:afterAutospacing="0"/>
              <w:ind w:firstLine="567"/>
              <w:jc w:val="center"/>
              <w:rPr>
                <w:rFonts w:ascii="Verdana" w:hAnsi="Verdana"/>
                <w:b/>
                <w:bCs/>
                <w:sz w:val="20"/>
                <w:szCs w:val="20"/>
                <w:lang w:val="lt-LT"/>
              </w:rPr>
            </w:pPr>
            <w:r w:rsidRPr="00744235">
              <w:rPr>
                <w:rFonts w:ascii="Verdana" w:hAnsi="Verdana"/>
                <w:b/>
                <w:bCs/>
                <w:sz w:val="20"/>
                <w:szCs w:val="20"/>
                <w:lang w:val="lt-LT"/>
              </w:rPr>
              <w:t>Atitiktį reikalavimams įrodantys dokumentai</w:t>
            </w:r>
          </w:p>
        </w:tc>
      </w:tr>
      <w:tr w:rsidR="004E7410" w:rsidRPr="00744235" w14:paraId="236F7109" w14:textId="77777777" w:rsidTr="68383E17">
        <w:trPr>
          <w:jc w:val="center"/>
        </w:trPr>
        <w:tc>
          <w:tcPr>
            <w:tcW w:w="570" w:type="dxa"/>
            <w:vAlign w:val="center"/>
          </w:tcPr>
          <w:p w14:paraId="1FE7BD18" w14:textId="77777777" w:rsidR="004E7410" w:rsidRPr="00744235" w:rsidRDefault="004E7410" w:rsidP="0016373D">
            <w:pPr>
              <w:pStyle w:val="NormalWeb"/>
              <w:tabs>
                <w:tab w:val="left" w:pos="284"/>
              </w:tabs>
              <w:spacing w:before="0" w:beforeAutospacing="0" w:after="0" w:afterAutospacing="0"/>
              <w:ind w:firstLine="567"/>
              <w:jc w:val="center"/>
              <w:rPr>
                <w:rFonts w:ascii="Verdana" w:hAnsi="Verdana"/>
                <w:sz w:val="20"/>
                <w:szCs w:val="20"/>
                <w:lang w:val="lt-LT"/>
              </w:rPr>
            </w:pPr>
            <w:r w:rsidRPr="00744235">
              <w:rPr>
                <w:rFonts w:ascii="Verdana" w:hAnsi="Verdana"/>
                <w:sz w:val="20"/>
                <w:szCs w:val="20"/>
                <w:lang w:val="lt-LT"/>
              </w:rPr>
              <w:t>1.</w:t>
            </w:r>
          </w:p>
        </w:tc>
        <w:tc>
          <w:tcPr>
            <w:tcW w:w="4006" w:type="dxa"/>
            <w:vAlign w:val="center"/>
          </w:tcPr>
          <w:p w14:paraId="184E0C6D" w14:textId="77777777" w:rsidR="004E7410" w:rsidRPr="00744235" w:rsidRDefault="004E7410" w:rsidP="000741EC">
            <w:pPr>
              <w:pStyle w:val="NormalWeb"/>
              <w:tabs>
                <w:tab w:val="left" w:pos="284"/>
              </w:tabs>
              <w:spacing w:before="0" w:beforeAutospacing="0" w:after="0" w:afterAutospacing="0"/>
              <w:jc w:val="both"/>
              <w:rPr>
                <w:rFonts w:ascii="Verdana" w:hAnsi="Verdana"/>
                <w:sz w:val="20"/>
                <w:szCs w:val="20"/>
                <w:lang w:val="lt-LT"/>
              </w:rPr>
            </w:pPr>
            <w:r w:rsidRPr="00744235">
              <w:rPr>
                <w:rFonts w:ascii="Verdana" w:hAnsi="Verdana"/>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paslaugos ir kitos paslaugos)</w:t>
            </w:r>
          </w:p>
          <w:p w14:paraId="053F68C0" w14:textId="77777777" w:rsidR="004E7410" w:rsidRPr="00744235" w:rsidRDefault="004E7410" w:rsidP="000741EC">
            <w:pPr>
              <w:pStyle w:val="NormalWeb"/>
              <w:tabs>
                <w:tab w:val="left" w:pos="284"/>
              </w:tabs>
              <w:spacing w:before="0" w:beforeAutospacing="0" w:after="0" w:afterAutospacing="0"/>
              <w:jc w:val="both"/>
              <w:rPr>
                <w:rFonts w:ascii="Verdana" w:hAnsi="Verdana"/>
                <w:sz w:val="20"/>
                <w:szCs w:val="20"/>
                <w:lang w:val="lt-LT"/>
              </w:rPr>
            </w:pPr>
            <w:r w:rsidRPr="00744235">
              <w:rPr>
                <w:rFonts w:ascii="Verdana" w:hAnsi="Verdana"/>
                <w:sz w:val="20"/>
                <w:szCs w:val="20"/>
                <w:lang w:val="lt-LT"/>
              </w:rPr>
              <w:t xml:space="preserve">(Aplinkos apsaugos kriterijų taikymo, vykdant žaliuosius pirkimus, tvarkos aprašo, patvirtinto Lietuvos Respublikos aplinkos ministro 2011 m. birželio 28 d. įsakymu Nr. </w:t>
            </w:r>
            <w:r w:rsidRPr="00744235">
              <w:rPr>
                <w:rFonts w:ascii="Verdana" w:hAnsi="Verdana"/>
                <w:sz w:val="20"/>
                <w:szCs w:val="20"/>
              </w:rPr>
              <w:t xml:space="preserve">D1-508, 4.4.3 </w:t>
            </w:r>
            <w:proofErr w:type="spellStart"/>
            <w:r w:rsidRPr="00744235">
              <w:rPr>
                <w:rFonts w:ascii="Verdana" w:hAnsi="Verdana"/>
                <w:sz w:val="20"/>
                <w:szCs w:val="20"/>
              </w:rPr>
              <w:t>papunktis</w:t>
            </w:r>
            <w:proofErr w:type="spellEnd"/>
            <w:r w:rsidRPr="00744235">
              <w:rPr>
                <w:rFonts w:ascii="Verdana" w:hAnsi="Verdana"/>
                <w:sz w:val="20"/>
                <w:szCs w:val="20"/>
                <w:lang w:val="lt-LT"/>
              </w:rPr>
              <w:t>).</w:t>
            </w:r>
          </w:p>
        </w:tc>
        <w:tc>
          <w:tcPr>
            <w:tcW w:w="2184" w:type="dxa"/>
            <w:vAlign w:val="center"/>
          </w:tcPr>
          <w:p w14:paraId="6CA2353C" w14:textId="77777777" w:rsidR="004E7410" w:rsidRPr="00744235" w:rsidRDefault="004E7410" w:rsidP="000741EC">
            <w:pPr>
              <w:pStyle w:val="NormalWeb"/>
              <w:tabs>
                <w:tab w:val="left" w:pos="284"/>
              </w:tabs>
              <w:spacing w:before="0" w:beforeAutospacing="0" w:after="0" w:afterAutospacing="0"/>
              <w:jc w:val="center"/>
              <w:rPr>
                <w:rFonts w:ascii="Verdana" w:hAnsi="Verdana"/>
                <w:sz w:val="20"/>
                <w:szCs w:val="20"/>
                <w:lang w:val="lt-LT"/>
              </w:rPr>
            </w:pPr>
            <w:r w:rsidRPr="00744235">
              <w:rPr>
                <w:rFonts w:ascii="Verdana" w:hAnsi="Verdana"/>
                <w:sz w:val="20"/>
                <w:szCs w:val="20"/>
                <w:lang w:val="lt-LT"/>
              </w:rPr>
              <w:t>Taikoma visam</w:t>
            </w:r>
          </w:p>
          <w:p w14:paraId="25E13470" w14:textId="77777777" w:rsidR="004E7410" w:rsidRPr="00744235" w:rsidRDefault="004E7410" w:rsidP="000741EC">
            <w:pPr>
              <w:pStyle w:val="NormalWeb"/>
              <w:tabs>
                <w:tab w:val="left" w:pos="284"/>
              </w:tabs>
              <w:spacing w:before="0" w:beforeAutospacing="0" w:after="0" w:afterAutospacing="0"/>
              <w:jc w:val="center"/>
              <w:rPr>
                <w:rFonts w:ascii="Verdana" w:hAnsi="Verdana"/>
                <w:sz w:val="20"/>
                <w:szCs w:val="20"/>
                <w:lang w:val="lt-LT"/>
              </w:rPr>
            </w:pPr>
            <w:r w:rsidRPr="00744235">
              <w:rPr>
                <w:rFonts w:ascii="Verdana" w:hAnsi="Verdana"/>
                <w:sz w:val="20"/>
                <w:szCs w:val="20"/>
                <w:lang w:val="lt-LT"/>
              </w:rPr>
              <w:t>pirkimo objektui</w:t>
            </w:r>
          </w:p>
        </w:tc>
        <w:tc>
          <w:tcPr>
            <w:tcW w:w="2862" w:type="dxa"/>
            <w:vAlign w:val="center"/>
          </w:tcPr>
          <w:p w14:paraId="4BA5670E" w14:textId="77777777" w:rsidR="004E7410" w:rsidRPr="00744235" w:rsidRDefault="004E7410" w:rsidP="000741EC">
            <w:pPr>
              <w:pStyle w:val="NormalWeb"/>
              <w:tabs>
                <w:tab w:val="left" w:pos="284"/>
              </w:tabs>
              <w:spacing w:before="0" w:beforeAutospacing="0" w:after="0" w:afterAutospacing="0"/>
              <w:jc w:val="center"/>
              <w:rPr>
                <w:rFonts w:ascii="Verdana" w:hAnsi="Verdana"/>
                <w:sz w:val="20"/>
                <w:szCs w:val="20"/>
                <w:lang w:val="lt-LT"/>
              </w:rPr>
            </w:pPr>
            <w:r w:rsidRPr="00744235">
              <w:rPr>
                <w:rFonts w:ascii="Verdana" w:hAnsi="Verdana"/>
                <w:sz w:val="20"/>
                <w:szCs w:val="20"/>
                <w:lang w:val="lt-LT"/>
              </w:rPr>
              <w:t>Dokumentų pateikti nereikalaujama.</w:t>
            </w:r>
          </w:p>
        </w:tc>
      </w:tr>
    </w:tbl>
    <w:p w14:paraId="05501DCC" w14:textId="77777777" w:rsidR="004E7410" w:rsidRPr="00744235" w:rsidRDefault="004E7410" w:rsidP="0016373D">
      <w:pPr>
        <w:pStyle w:val="ListParagraph"/>
        <w:tabs>
          <w:tab w:val="clear" w:pos="1004"/>
          <w:tab w:val="left" w:pos="284"/>
          <w:tab w:val="left" w:pos="1276"/>
        </w:tabs>
        <w:autoSpaceDE w:val="0"/>
        <w:autoSpaceDN w:val="0"/>
        <w:adjustRightInd w:val="0"/>
        <w:ind w:left="0" w:firstLine="567"/>
        <w:rPr>
          <w:rFonts w:ascii="Verdana" w:hAnsi="Verdana"/>
          <w:szCs w:val="20"/>
        </w:rPr>
      </w:pPr>
    </w:p>
    <w:p w14:paraId="6D93BF13" w14:textId="77777777" w:rsidR="004E7410" w:rsidRPr="00744235" w:rsidRDefault="004E7410" w:rsidP="0016373D">
      <w:pPr>
        <w:pStyle w:val="ListParagraph"/>
        <w:numPr>
          <w:ilvl w:val="0"/>
          <w:numId w:val="2"/>
        </w:numPr>
        <w:tabs>
          <w:tab w:val="left" w:pos="284"/>
        </w:tabs>
        <w:autoSpaceDE w:val="0"/>
        <w:autoSpaceDN w:val="0"/>
        <w:adjustRightInd w:val="0"/>
        <w:rPr>
          <w:rFonts w:ascii="Verdana" w:hAnsi="Verdana"/>
          <w:szCs w:val="20"/>
        </w:rPr>
      </w:pPr>
      <w:r w:rsidRPr="00744235">
        <w:rPr>
          <w:rFonts w:ascii="Verdana" w:hAnsi="Verdana"/>
          <w:szCs w:val="20"/>
        </w:rPr>
        <w:t xml:space="preserve">Šis pirkimas laikomas susijusiu su nacionaliniu saugumu, todėl šio pirkimo atžvilgiu keliami specialieji reikalavimai Paslaugų teikėjo siūlomoms paslaugoms, nurodytoms šioje Techninėje specifikacijoje, siekiant užtikrinti šalies nacionalinio saugumo interesus. Nacionalinio saugumo reikalavimai paslaugoms nurodyti </w:t>
      </w:r>
      <w:r w:rsidRPr="00744235">
        <w:rPr>
          <w:rFonts w:ascii="Verdana" w:hAnsi="Verdana"/>
          <w:color w:val="000000" w:themeColor="text1"/>
          <w:szCs w:val="20"/>
        </w:rPr>
        <w:t>Pirkimo sąlygų 5 skyriuje. </w:t>
      </w:r>
    </w:p>
    <w:p w14:paraId="127625A3" w14:textId="77777777" w:rsidR="00C1512E" w:rsidRPr="005B5657" w:rsidRDefault="00C1512E" w:rsidP="0016373D">
      <w:pPr>
        <w:pStyle w:val="ListParagraph"/>
        <w:tabs>
          <w:tab w:val="clear" w:pos="1004"/>
          <w:tab w:val="left" w:pos="284"/>
        </w:tabs>
        <w:ind w:left="0" w:firstLine="567"/>
        <w:rPr>
          <w:rFonts w:ascii="Verdana" w:hAnsi="Verdana"/>
          <w:szCs w:val="20"/>
        </w:rPr>
      </w:pPr>
    </w:p>
    <w:sectPr w:rsidR="00C1512E" w:rsidRPr="005B565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0E06" w14:textId="77777777" w:rsidR="006A0E2C" w:rsidRDefault="006A0E2C" w:rsidP="00D3166D">
      <w:r>
        <w:separator/>
      </w:r>
    </w:p>
  </w:endnote>
  <w:endnote w:type="continuationSeparator" w:id="0">
    <w:p w14:paraId="47EA707C" w14:textId="77777777" w:rsidR="006A0E2C" w:rsidRDefault="006A0E2C" w:rsidP="00D3166D">
      <w:r>
        <w:continuationSeparator/>
      </w:r>
    </w:p>
  </w:endnote>
  <w:endnote w:type="continuationNotice" w:id="1">
    <w:p w14:paraId="392059A0" w14:textId="77777777" w:rsidR="006A0E2C" w:rsidRDefault="006A0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5B88" w14:textId="77777777" w:rsidR="006A0E2C" w:rsidRDefault="006A0E2C" w:rsidP="00D3166D">
      <w:r>
        <w:separator/>
      </w:r>
    </w:p>
  </w:footnote>
  <w:footnote w:type="continuationSeparator" w:id="0">
    <w:p w14:paraId="2794B8CB" w14:textId="77777777" w:rsidR="006A0E2C" w:rsidRDefault="006A0E2C" w:rsidP="00D3166D">
      <w:r>
        <w:continuationSeparator/>
      </w:r>
    </w:p>
  </w:footnote>
  <w:footnote w:type="continuationNotice" w:id="1">
    <w:p w14:paraId="09324928" w14:textId="77777777" w:rsidR="006A0E2C" w:rsidRDefault="006A0E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2740"/>
    <w:multiLevelType w:val="hybridMultilevel"/>
    <w:tmpl w:val="04D6CE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43C06390"/>
    <w:multiLevelType w:val="hybridMultilevel"/>
    <w:tmpl w:val="7E7A6BCE"/>
    <w:lvl w:ilvl="0" w:tplc="55CE37F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A4010"/>
    <w:multiLevelType w:val="multilevel"/>
    <w:tmpl w:val="54883CF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1641540">
    <w:abstractNumId w:val="0"/>
  </w:num>
  <w:num w:numId="2" w16cid:durableId="530849578">
    <w:abstractNumId w:val="2"/>
  </w:num>
  <w:num w:numId="3" w16cid:durableId="164797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49"/>
    <w:rsid w:val="0001759B"/>
    <w:rsid w:val="000201C3"/>
    <w:rsid w:val="00024487"/>
    <w:rsid w:val="0003231B"/>
    <w:rsid w:val="00043C5C"/>
    <w:rsid w:val="00045D24"/>
    <w:rsid w:val="00050158"/>
    <w:rsid w:val="00055705"/>
    <w:rsid w:val="00065F7F"/>
    <w:rsid w:val="00072553"/>
    <w:rsid w:val="000741EC"/>
    <w:rsid w:val="00097CB2"/>
    <w:rsid w:val="000C1C12"/>
    <w:rsid w:val="00132CF3"/>
    <w:rsid w:val="00137DB7"/>
    <w:rsid w:val="00141E9D"/>
    <w:rsid w:val="0016373D"/>
    <w:rsid w:val="001858BD"/>
    <w:rsid w:val="00187A4F"/>
    <w:rsid w:val="001C5D64"/>
    <w:rsid w:val="001E1220"/>
    <w:rsid w:val="0021154D"/>
    <w:rsid w:val="00227D81"/>
    <w:rsid w:val="00232C20"/>
    <w:rsid w:val="0023499F"/>
    <w:rsid w:val="00252331"/>
    <w:rsid w:val="00257539"/>
    <w:rsid w:val="002A3137"/>
    <w:rsid w:val="002C7A8E"/>
    <w:rsid w:val="002D28DC"/>
    <w:rsid w:val="002D3542"/>
    <w:rsid w:val="00313649"/>
    <w:rsid w:val="00314314"/>
    <w:rsid w:val="0031482F"/>
    <w:rsid w:val="00316C69"/>
    <w:rsid w:val="00324353"/>
    <w:rsid w:val="00331690"/>
    <w:rsid w:val="00347FDF"/>
    <w:rsid w:val="003530A0"/>
    <w:rsid w:val="00353C27"/>
    <w:rsid w:val="00353F98"/>
    <w:rsid w:val="00355BE5"/>
    <w:rsid w:val="003910ED"/>
    <w:rsid w:val="003A4DD3"/>
    <w:rsid w:val="003E1BEE"/>
    <w:rsid w:val="003E79FD"/>
    <w:rsid w:val="003F19BD"/>
    <w:rsid w:val="003F2EB8"/>
    <w:rsid w:val="003F7BD8"/>
    <w:rsid w:val="004127C4"/>
    <w:rsid w:val="00413234"/>
    <w:rsid w:val="004213AB"/>
    <w:rsid w:val="00430985"/>
    <w:rsid w:val="00432ACA"/>
    <w:rsid w:val="004559E8"/>
    <w:rsid w:val="004739D0"/>
    <w:rsid w:val="004C478F"/>
    <w:rsid w:val="004E7410"/>
    <w:rsid w:val="005340C0"/>
    <w:rsid w:val="0056098B"/>
    <w:rsid w:val="0057297C"/>
    <w:rsid w:val="00587458"/>
    <w:rsid w:val="00596899"/>
    <w:rsid w:val="005A1BF1"/>
    <w:rsid w:val="005A26A0"/>
    <w:rsid w:val="005B46C9"/>
    <w:rsid w:val="005B5657"/>
    <w:rsid w:val="005D0129"/>
    <w:rsid w:val="005E74C3"/>
    <w:rsid w:val="006270AE"/>
    <w:rsid w:val="00640B07"/>
    <w:rsid w:val="0065125E"/>
    <w:rsid w:val="006A0E2C"/>
    <w:rsid w:val="00723875"/>
    <w:rsid w:val="00725306"/>
    <w:rsid w:val="00735A79"/>
    <w:rsid w:val="00744235"/>
    <w:rsid w:val="007451C0"/>
    <w:rsid w:val="00745F38"/>
    <w:rsid w:val="00746533"/>
    <w:rsid w:val="007537B2"/>
    <w:rsid w:val="00755431"/>
    <w:rsid w:val="00762FD9"/>
    <w:rsid w:val="00767269"/>
    <w:rsid w:val="007746A2"/>
    <w:rsid w:val="007839FA"/>
    <w:rsid w:val="00785016"/>
    <w:rsid w:val="007963F9"/>
    <w:rsid w:val="00796933"/>
    <w:rsid w:val="007A01E6"/>
    <w:rsid w:val="007B0A8E"/>
    <w:rsid w:val="007D26F3"/>
    <w:rsid w:val="007D270A"/>
    <w:rsid w:val="00833684"/>
    <w:rsid w:val="00851DA3"/>
    <w:rsid w:val="00873729"/>
    <w:rsid w:val="00882C7D"/>
    <w:rsid w:val="008A4F98"/>
    <w:rsid w:val="008E6023"/>
    <w:rsid w:val="0091505D"/>
    <w:rsid w:val="00921D0E"/>
    <w:rsid w:val="009224CA"/>
    <w:rsid w:val="009313ED"/>
    <w:rsid w:val="00934A16"/>
    <w:rsid w:val="00956F55"/>
    <w:rsid w:val="00961126"/>
    <w:rsid w:val="00963435"/>
    <w:rsid w:val="00967180"/>
    <w:rsid w:val="0097188F"/>
    <w:rsid w:val="009825BE"/>
    <w:rsid w:val="009B3149"/>
    <w:rsid w:val="009B75DA"/>
    <w:rsid w:val="009D0623"/>
    <w:rsid w:val="009D1A3C"/>
    <w:rsid w:val="009D5773"/>
    <w:rsid w:val="009E3E44"/>
    <w:rsid w:val="00A047D3"/>
    <w:rsid w:val="00A27F67"/>
    <w:rsid w:val="00A5097A"/>
    <w:rsid w:val="00A533D0"/>
    <w:rsid w:val="00A6602B"/>
    <w:rsid w:val="00AC140E"/>
    <w:rsid w:val="00AC2B39"/>
    <w:rsid w:val="00AC50C0"/>
    <w:rsid w:val="00AE11E2"/>
    <w:rsid w:val="00B422B0"/>
    <w:rsid w:val="00B43CC5"/>
    <w:rsid w:val="00B53AE9"/>
    <w:rsid w:val="00B55848"/>
    <w:rsid w:val="00B61A98"/>
    <w:rsid w:val="00B702AC"/>
    <w:rsid w:val="00B75BD2"/>
    <w:rsid w:val="00B76120"/>
    <w:rsid w:val="00B84D2E"/>
    <w:rsid w:val="00B9082D"/>
    <w:rsid w:val="00BA14EF"/>
    <w:rsid w:val="00BB5EF4"/>
    <w:rsid w:val="00BB60C6"/>
    <w:rsid w:val="00BC60E2"/>
    <w:rsid w:val="00BF7249"/>
    <w:rsid w:val="00C047F3"/>
    <w:rsid w:val="00C1512E"/>
    <w:rsid w:val="00C25868"/>
    <w:rsid w:val="00C4506F"/>
    <w:rsid w:val="00C457E6"/>
    <w:rsid w:val="00C54E68"/>
    <w:rsid w:val="00C5717E"/>
    <w:rsid w:val="00C659E0"/>
    <w:rsid w:val="00C73B7A"/>
    <w:rsid w:val="00C75E8C"/>
    <w:rsid w:val="00C845C0"/>
    <w:rsid w:val="00C9661B"/>
    <w:rsid w:val="00CB3EF7"/>
    <w:rsid w:val="00CD3EF9"/>
    <w:rsid w:val="00CF5A57"/>
    <w:rsid w:val="00D0542A"/>
    <w:rsid w:val="00D1545D"/>
    <w:rsid w:val="00D3166D"/>
    <w:rsid w:val="00D370CC"/>
    <w:rsid w:val="00D54B35"/>
    <w:rsid w:val="00D67689"/>
    <w:rsid w:val="00DB6F19"/>
    <w:rsid w:val="00DE3A83"/>
    <w:rsid w:val="00E044B4"/>
    <w:rsid w:val="00E40B75"/>
    <w:rsid w:val="00E4281A"/>
    <w:rsid w:val="00E47C7A"/>
    <w:rsid w:val="00E50E1E"/>
    <w:rsid w:val="00E91A11"/>
    <w:rsid w:val="00EA0D51"/>
    <w:rsid w:val="00EB6657"/>
    <w:rsid w:val="00EC79CF"/>
    <w:rsid w:val="00EE6E75"/>
    <w:rsid w:val="00F0758B"/>
    <w:rsid w:val="00F20B8F"/>
    <w:rsid w:val="00F2713C"/>
    <w:rsid w:val="00F35F75"/>
    <w:rsid w:val="00F46A48"/>
    <w:rsid w:val="00F515AA"/>
    <w:rsid w:val="00F93229"/>
    <w:rsid w:val="00F93340"/>
    <w:rsid w:val="00FD2204"/>
    <w:rsid w:val="00FF6D0B"/>
    <w:rsid w:val="02B0C7D6"/>
    <w:rsid w:val="09FE92C1"/>
    <w:rsid w:val="2CA07D8E"/>
    <w:rsid w:val="38E5E8CA"/>
    <w:rsid w:val="39792C3E"/>
    <w:rsid w:val="68383E17"/>
    <w:rsid w:val="6FECA2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2B26"/>
  <w15:chartTrackingRefBased/>
  <w15:docId w15:val="{839CD9E7-F3EE-44A1-967C-96F8E52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49"/>
    <w:pPr>
      <w:tabs>
        <w:tab w:val="num" w:pos="1004"/>
      </w:tabs>
      <w:spacing w:after="0" w:line="240" w:lineRule="auto"/>
      <w:ind w:left="1004" w:hanging="720"/>
      <w:jc w:val="both"/>
    </w:pPr>
    <w:rPr>
      <w:rFonts w:ascii="Times New Roman" w:eastAsia="Times New Roman" w:hAnsi="Times New Roman" w:cs="Times New Roman"/>
      <w:kern w:val="0"/>
      <w:sz w:val="20"/>
      <w:lang w:val="lt-LT"/>
      <w14:ligatures w14:val="none"/>
    </w:rPr>
  </w:style>
  <w:style w:type="paragraph" w:styleId="Heading1">
    <w:name w:val="heading 1"/>
    <w:basedOn w:val="Normal"/>
    <w:next w:val="Normal"/>
    <w:link w:val="Heading1Char"/>
    <w:uiPriority w:val="9"/>
    <w:qFormat/>
    <w:rsid w:val="00313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6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6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6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6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649"/>
    <w:rPr>
      <w:rFonts w:eastAsiaTheme="majorEastAsia" w:cstheme="majorBidi"/>
      <w:color w:val="272727" w:themeColor="text1" w:themeTint="D8"/>
    </w:rPr>
  </w:style>
  <w:style w:type="paragraph" w:styleId="Title">
    <w:name w:val="Title"/>
    <w:basedOn w:val="Normal"/>
    <w:next w:val="Normal"/>
    <w:link w:val="TitleChar"/>
    <w:uiPriority w:val="10"/>
    <w:qFormat/>
    <w:rsid w:val="003136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649"/>
    <w:pPr>
      <w:numPr>
        <w:ilvl w:val="1"/>
      </w:numPr>
      <w:tabs>
        <w:tab w:val="num" w:pos="1004"/>
      </w:tabs>
      <w:ind w:left="1004"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649"/>
    <w:pPr>
      <w:spacing w:before="160"/>
      <w:jc w:val="center"/>
    </w:pPr>
    <w:rPr>
      <w:i/>
      <w:iCs/>
      <w:color w:val="404040" w:themeColor="text1" w:themeTint="BF"/>
    </w:rPr>
  </w:style>
  <w:style w:type="character" w:customStyle="1" w:styleId="QuoteChar">
    <w:name w:val="Quote Char"/>
    <w:basedOn w:val="DefaultParagraphFont"/>
    <w:link w:val="Quote"/>
    <w:uiPriority w:val="29"/>
    <w:rsid w:val="00313649"/>
    <w:rPr>
      <w:i/>
      <w:iCs/>
      <w:color w:val="404040" w:themeColor="text1" w:themeTint="BF"/>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313649"/>
    <w:pPr>
      <w:ind w:left="720"/>
      <w:contextualSpacing/>
    </w:pPr>
  </w:style>
  <w:style w:type="character" w:styleId="IntenseEmphasis">
    <w:name w:val="Intense Emphasis"/>
    <w:basedOn w:val="DefaultParagraphFont"/>
    <w:uiPriority w:val="21"/>
    <w:qFormat/>
    <w:rsid w:val="00313649"/>
    <w:rPr>
      <w:i/>
      <w:iCs/>
      <w:color w:val="0F4761" w:themeColor="accent1" w:themeShade="BF"/>
    </w:rPr>
  </w:style>
  <w:style w:type="paragraph" w:styleId="IntenseQuote">
    <w:name w:val="Intense Quote"/>
    <w:basedOn w:val="Normal"/>
    <w:next w:val="Normal"/>
    <w:link w:val="IntenseQuoteChar"/>
    <w:uiPriority w:val="30"/>
    <w:qFormat/>
    <w:rsid w:val="00313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649"/>
    <w:rPr>
      <w:i/>
      <w:iCs/>
      <w:color w:val="0F4761" w:themeColor="accent1" w:themeShade="BF"/>
    </w:rPr>
  </w:style>
  <w:style w:type="character" w:styleId="IntenseReference">
    <w:name w:val="Intense Reference"/>
    <w:basedOn w:val="DefaultParagraphFont"/>
    <w:uiPriority w:val="32"/>
    <w:qFormat/>
    <w:rsid w:val="00313649"/>
    <w:rPr>
      <w:b/>
      <w:bCs/>
      <w:smallCaps/>
      <w:color w:val="0F4761" w:themeColor="accent1" w:themeShade="BF"/>
      <w:spacing w:val="5"/>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C54E68"/>
  </w:style>
  <w:style w:type="table" w:styleId="TableGrid">
    <w:name w:val="Table Grid"/>
    <w:basedOn w:val="TableNormal"/>
    <w:uiPriority w:val="39"/>
    <w:rsid w:val="00F0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5868"/>
    <w:rPr>
      <w:sz w:val="16"/>
      <w:szCs w:val="16"/>
    </w:rPr>
  </w:style>
  <w:style w:type="paragraph" w:styleId="CommentText">
    <w:name w:val="annotation text"/>
    <w:basedOn w:val="Normal"/>
    <w:link w:val="CommentTextChar"/>
    <w:uiPriority w:val="99"/>
    <w:unhideWhenUsed/>
    <w:rsid w:val="00C25868"/>
    <w:rPr>
      <w:szCs w:val="20"/>
    </w:rPr>
  </w:style>
  <w:style w:type="character" w:customStyle="1" w:styleId="CommentTextChar">
    <w:name w:val="Comment Text Char"/>
    <w:basedOn w:val="DefaultParagraphFont"/>
    <w:link w:val="CommentText"/>
    <w:uiPriority w:val="99"/>
    <w:rsid w:val="00C2586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C25868"/>
    <w:rPr>
      <w:b/>
      <w:bCs/>
    </w:rPr>
  </w:style>
  <w:style w:type="character" w:customStyle="1" w:styleId="CommentSubjectChar">
    <w:name w:val="Comment Subject Char"/>
    <w:basedOn w:val="CommentTextChar"/>
    <w:link w:val="CommentSubject"/>
    <w:uiPriority w:val="99"/>
    <w:semiHidden/>
    <w:rsid w:val="00C25868"/>
    <w:rPr>
      <w:rFonts w:ascii="Times New Roman" w:eastAsia="Times New Roman" w:hAnsi="Times New Roman" w:cs="Times New Roman"/>
      <w:b/>
      <w:bCs/>
      <w:kern w:val="0"/>
      <w:sz w:val="20"/>
      <w:szCs w:val="20"/>
      <w:lang w:val="lt-LT"/>
      <w14:ligatures w14:val="none"/>
    </w:rPr>
  </w:style>
  <w:style w:type="paragraph" w:styleId="NormalWeb">
    <w:name w:val="Normal (Web)"/>
    <w:basedOn w:val="Normal"/>
    <w:uiPriority w:val="99"/>
    <w:unhideWhenUsed/>
    <w:rsid w:val="004E7410"/>
    <w:pPr>
      <w:tabs>
        <w:tab w:val="clear" w:pos="1004"/>
      </w:tabs>
      <w:spacing w:before="100" w:beforeAutospacing="1" w:after="100" w:afterAutospacing="1"/>
      <w:ind w:left="0" w:firstLine="0"/>
      <w:jc w:val="left"/>
    </w:pPr>
    <w:rPr>
      <w:sz w:val="24"/>
      <w:lang w:val="en-US"/>
    </w:rPr>
  </w:style>
  <w:style w:type="paragraph" w:styleId="Revision">
    <w:name w:val="Revision"/>
    <w:hidden/>
    <w:uiPriority w:val="99"/>
    <w:semiHidden/>
    <w:rsid w:val="004E7410"/>
    <w:pPr>
      <w:spacing w:after="0" w:line="240" w:lineRule="auto"/>
    </w:pPr>
    <w:rPr>
      <w:rFonts w:ascii="Times New Roman" w:eastAsia="Times New Roman" w:hAnsi="Times New Roman" w:cs="Times New Roman"/>
      <w:kern w:val="0"/>
      <w:sz w:val="20"/>
      <w:lang w:val="lt-LT"/>
      <w14:ligatures w14:val="none"/>
    </w:rPr>
  </w:style>
  <w:style w:type="paragraph" w:styleId="Header">
    <w:name w:val="header"/>
    <w:basedOn w:val="Normal"/>
    <w:link w:val="HeaderChar"/>
    <w:uiPriority w:val="99"/>
    <w:semiHidden/>
    <w:unhideWhenUsed/>
    <w:rsid w:val="00CB3EF7"/>
    <w:pPr>
      <w:tabs>
        <w:tab w:val="clear" w:pos="1004"/>
        <w:tab w:val="center" w:pos="4819"/>
        <w:tab w:val="right" w:pos="9638"/>
      </w:tabs>
    </w:pPr>
  </w:style>
  <w:style w:type="character" w:customStyle="1" w:styleId="HeaderChar">
    <w:name w:val="Header Char"/>
    <w:basedOn w:val="DefaultParagraphFont"/>
    <w:link w:val="Header"/>
    <w:uiPriority w:val="99"/>
    <w:semiHidden/>
    <w:rsid w:val="00CB3EF7"/>
    <w:rPr>
      <w:rFonts w:ascii="Times New Roman" w:eastAsia="Times New Roman" w:hAnsi="Times New Roman" w:cs="Times New Roman"/>
      <w:kern w:val="0"/>
      <w:sz w:val="20"/>
      <w:lang w:val="lt-LT"/>
      <w14:ligatures w14:val="none"/>
    </w:rPr>
  </w:style>
  <w:style w:type="paragraph" w:styleId="Footer">
    <w:name w:val="footer"/>
    <w:basedOn w:val="Normal"/>
    <w:link w:val="FooterChar"/>
    <w:uiPriority w:val="99"/>
    <w:semiHidden/>
    <w:unhideWhenUsed/>
    <w:rsid w:val="00CB3EF7"/>
    <w:pPr>
      <w:tabs>
        <w:tab w:val="clear" w:pos="1004"/>
        <w:tab w:val="center" w:pos="4819"/>
        <w:tab w:val="right" w:pos="9638"/>
      </w:tabs>
    </w:pPr>
  </w:style>
  <w:style w:type="character" w:customStyle="1" w:styleId="FooterChar">
    <w:name w:val="Footer Char"/>
    <w:basedOn w:val="DefaultParagraphFont"/>
    <w:link w:val="Footer"/>
    <w:uiPriority w:val="99"/>
    <w:semiHidden/>
    <w:rsid w:val="00CB3EF7"/>
    <w:rPr>
      <w:rFonts w:ascii="Times New Roman" w:eastAsia="Times New Roman" w:hAnsi="Times New Roman" w:cs="Times New Roman"/>
      <w:kern w:val="0"/>
      <w:sz w:val="20"/>
      <w:lang w:val="lt-LT"/>
      <w14:ligatures w14:val="none"/>
    </w:rPr>
  </w:style>
  <w:style w:type="character" w:styleId="Mention">
    <w:name w:val="Mention"/>
    <w:basedOn w:val="DefaultParagraphFont"/>
    <w:uiPriority w:val="99"/>
    <w:unhideWhenUsed/>
    <w:rsid w:val="00CB3E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4" ma:contentTypeDescription="Kurkite naują dokumentą." ma:contentTypeScope="" ma:versionID="7dbf4f90a329e48253023ad988b2a0e4">
  <xsd:schema xmlns:xsd="http://www.w3.org/2001/XMLSchema" xmlns:xs="http://www.w3.org/2001/XMLSchema" xmlns:p="http://schemas.microsoft.com/office/2006/metadata/properties" xmlns:ns2="f6abb329-b201-456b-8b46-b1bf0175f3dd" targetNamespace="http://schemas.microsoft.com/office/2006/metadata/properties" ma:root="true" ma:fieldsID="1d710fde51262c28a649afa1fd74acc8" ns2:_="">
    <xsd:import namespace="f6abb329-b201-456b-8b46-b1bf0175f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bb329-b201-456b-8b46-b1bf0175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510A3-DBCA-4A61-A4CF-274970DD0D02}">
  <ds:schemaRefs>
    <ds:schemaRef ds:uri="http://schemas.openxmlformats.org/officeDocument/2006/bibliography"/>
  </ds:schemaRefs>
</ds:datastoreItem>
</file>

<file path=customXml/itemProps2.xml><?xml version="1.0" encoding="utf-8"?>
<ds:datastoreItem xmlns:ds="http://schemas.openxmlformats.org/officeDocument/2006/customXml" ds:itemID="{0B94BC3B-809B-4A0F-AEDB-931D291A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bb329-b201-456b-8b46-b1bf0175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54139-E641-4B61-BCFB-6C9C0F653F6F}">
  <ds:schemaRefs>
    <ds:schemaRef ds:uri="http://schemas.microsoft.com/sharepoint/v3/contenttype/forms"/>
  </ds:schemaRefs>
</ds:datastoreItem>
</file>

<file path=customXml/itemProps4.xml><?xml version="1.0" encoding="utf-8"?>
<ds:datastoreItem xmlns:ds="http://schemas.openxmlformats.org/officeDocument/2006/customXml" ds:itemID="{A3FE7496-8CCE-4261-BF13-B684EBA7B75E}">
  <ds:schemaRefs>
    <ds:schemaRef ds:uri="http://purl.org/dc/dcmitype/"/>
    <ds:schemaRef ds:uri="http://schemas.openxmlformats.org/package/2006/metadata/core-properties"/>
    <ds:schemaRef ds:uri="f6abb329-b201-456b-8b46-b1bf0175f3d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7753</Words>
  <Characters>4420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Žiedas</dc:creator>
  <cp:keywords/>
  <dc:description/>
  <cp:lastModifiedBy>Eglė Navickė</cp:lastModifiedBy>
  <cp:revision>43</cp:revision>
  <dcterms:created xsi:type="dcterms:W3CDTF">2025-02-19T17:38:00Z</dcterms:created>
  <dcterms:modified xsi:type="dcterms:W3CDTF">2025-03-19T12:06:00Z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ies>
</file>