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FEA1" w14:textId="77777777" w:rsidR="000757BF" w:rsidRPr="005A58DD" w:rsidRDefault="000757BF" w:rsidP="000757BF">
      <w:pPr>
        <w:keepNext/>
        <w:keepLines/>
        <w:spacing w:before="120" w:after="0" w:line="240" w:lineRule="auto"/>
        <w:ind w:left="5103"/>
        <w:outlineLvl w:val="1"/>
        <w:rPr>
          <w:rFonts w:eastAsia="Calibri" w:cstheme="minorHAnsi"/>
          <w:sz w:val="21"/>
          <w:szCs w:val="21"/>
          <w:lang w:eastAsia="lt-LT"/>
        </w:rPr>
      </w:pPr>
      <w:r w:rsidRPr="005A58DD">
        <w:rPr>
          <w:rFonts w:eastAsia="Calibri" w:cstheme="minorHAnsi"/>
          <w:sz w:val="21"/>
          <w:szCs w:val="21"/>
          <w:lang w:eastAsia="lt-LT"/>
        </w:rPr>
        <w:t>Pirkimo sąlygų 4 priedas „Tiekėjų kvalifikacijos reikalavimai ir reikalaujami kokybės bei aplinkos apsaugos vadybos sistemų standartai“</w:t>
      </w:r>
    </w:p>
    <w:p w14:paraId="23306139" w14:textId="77777777" w:rsidR="000757BF" w:rsidRPr="005A58DD" w:rsidRDefault="000757BF" w:rsidP="000757BF">
      <w:pPr>
        <w:spacing w:line="276" w:lineRule="auto"/>
        <w:rPr>
          <w:rFonts w:eastAsia="Calibri" w:cstheme="minorHAnsi"/>
          <w:b/>
          <w:bCs/>
          <w:smallCaps/>
          <w:sz w:val="21"/>
          <w:szCs w:val="21"/>
          <w:lang w:eastAsia="lt-LT"/>
        </w:rPr>
      </w:pPr>
    </w:p>
    <w:p w14:paraId="120E8F91" w14:textId="77777777" w:rsidR="000757BF" w:rsidRPr="005A58DD" w:rsidRDefault="000757BF" w:rsidP="000757BF">
      <w:pPr>
        <w:numPr>
          <w:ilvl w:val="1"/>
          <w:numId w:val="0"/>
        </w:numPr>
        <w:spacing w:after="240" w:line="240" w:lineRule="auto"/>
        <w:jc w:val="center"/>
        <w:rPr>
          <w:rFonts w:eastAsia="Calibri" w:cstheme="minorHAnsi"/>
          <w:caps/>
          <w:smallCaps/>
          <w:color w:val="404040"/>
          <w:spacing w:val="20"/>
          <w:sz w:val="28"/>
          <w:szCs w:val="28"/>
          <w:lang w:eastAsia="lt-LT"/>
        </w:rPr>
      </w:pPr>
      <w:r w:rsidRPr="005A58DD">
        <w:rPr>
          <w:rFonts w:eastAsia="Calibri" w:cstheme="minorHAnsi"/>
          <w:caps/>
          <w:smallCaps/>
          <w:color w:val="404040"/>
          <w:spacing w:val="20"/>
          <w:sz w:val="28"/>
          <w:szCs w:val="28"/>
          <w:lang w:eastAsia="lt-LT"/>
        </w:rPr>
        <w:t xml:space="preserve">TIEKĖJŲ KVALIFIKACIJOS REIKALAVIMAI IR REIKALAVIMAI LAIKYTIS </w:t>
      </w:r>
      <w:r w:rsidRPr="005A58DD">
        <w:rPr>
          <w:rFonts w:eastAsia="Calibri" w:cstheme="minorHAnsi"/>
          <w:caps/>
          <w:color w:val="404040"/>
          <w:spacing w:val="20"/>
          <w:sz w:val="28"/>
          <w:szCs w:val="28"/>
        </w:rPr>
        <w:t>KOKYBĖS VADYBOS SISTEMOS IR (ARBA) APLINKOS APSAUGOS VADYBOS SISTEMOS STANDARTŲ</w:t>
      </w:r>
    </w:p>
    <w:p w14:paraId="53A66892" w14:textId="77777777" w:rsidR="000757BF" w:rsidRPr="005A58DD" w:rsidRDefault="000757BF" w:rsidP="000757BF">
      <w:pPr>
        <w:numPr>
          <w:ilvl w:val="0"/>
          <w:numId w:val="1"/>
        </w:numPr>
        <w:spacing w:after="0" w:line="20" w:lineRule="atLeast"/>
        <w:ind w:firstLine="567"/>
        <w:contextualSpacing/>
        <w:jc w:val="both"/>
        <w:rPr>
          <w:rFonts w:eastAsia="Calibri" w:cstheme="minorHAnsi"/>
          <w:sz w:val="21"/>
          <w:szCs w:val="21"/>
          <w:lang w:eastAsia="lt-LT"/>
        </w:rPr>
      </w:pPr>
      <w:r w:rsidRPr="005A58DD">
        <w:rPr>
          <w:rFonts w:eastAsia="Calibri" w:cstheme="minorHAnsi"/>
          <w:sz w:val="21"/>
          <w:szCs w:val="21"/>
        </w:rPr>
        <w:t>Tiekėjo kvalifikacija turi atitikti šiame priede nustatytus reikalavimus kvalifikacijai.</w:t>
      </w:r>
      <w:r w:rsidRPr="005A58DD">
        <w:rPr>
          <w:rFonts w:eastAsia="Calibri" w:cstheme="minorHAnsi"/>
          <w:sz w:val="21"/>
          <w:szCs w:val="21"/>
          <w:lang w:eastAsia="lt-LT"/>
        </w:rPr>
        <w:t xml:space="preserve"> </w:t>
      </w:r>
    </w:p>
    <w:p w14:paraId="32067A0A" w14:textId="77777777" w:rsidR="000757BF" w:rsidRPr="005A58DD" w:rsidRDefault="000757BF" w:rsidP="000757BF">
      <w:pPr>
        <w:spacing w:before="60" w:after="60" w:line="256" w:lineRule="auto"/>
        <w:rPr>
          <w:rFonts w:eastAsia="Calibri" w:cstheme="minorHAnsi"/>
          <w:i/>
          <w:iCs/>
          <w:sz w:val="21"/>
          <w:szCs w:val="21"/>
          <w:lang w:eastAsia="lt-LT"/>
        </w:rPr>
      </w:pPr>
      <w:r w:rsidRPr="005A58DD">
        <w:rPr>
          <w:rFonts w:eastAsia="Calibri" w:cstheme="minorHAnsi"/>
          <w:i/>
          <w:iCs/>
          <w:sz w:val="21"/>
          <w:szCs w:val="21"/>
          <w:lang w:eastAsia="lt-LT"/>
        </w:rPr>
        <w:t>1 lentelė</w:t>
      </w:r>
    </w:p>
    <w:tbl>
      <w:tblPr>
        <w:tblStyle w:val="TableGrid31"/>
        <w:tblpPr w:leftFromText="180" w:rightFromText="180" w:vertAnchor="page" w:horzAnchor="margin" w:tblpY="4711"/>
        <w:tblW w:w="5000" w:type="pct"/>
        <w:tblLook w:val="04A0" w:firstRow="1" w:lastRow="0" w:firstColumn="1" w:lastColumn="0" w:noHBand="0" w:noVBand="1"/>
      </w:tblPr>
      <w:tblGrid>
        <w:gridCol w:w="396"/>
        <w:gridCol w:w="3142"/>
        <w:gridCol w:w="2682"/>
        <w:gridCol w:w="3130"/>
      </w:tblGrid>
      <w:tr w:rsidR="000757BF" w:rsidRPr="005A58DD" w14:paraId="5722A3F0" w14:textId="77777777" w:rsidTr="00CB0D9D">
        <w:trPr>
          <w:cantSplit/>
          <w:tblHeader/>
        </w:trPr>
        <w:tc>
          <w:tcPr>
            <w:tcW w:w="2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D8492AC" w14:textId="77777777" w:rsidR="000757BF" w:rsidRPr="005A58DD" w:rsidRDefault="000757BF" w:rsidP="00DE6E65">
            <w:pPr>
              <w:spacing w:before="60" w:after="60" w:line="256" w:lineRule="auto"/>
              <w:jc w:val="center"/>
              <w:rPr>
                <w:rFonts w:asciiTheme="minorHAnsi" w:eastAsia="Calibri" w:hAnsiTheme="minorHAnsi" w:cstheme="minorHAnsi"/>
                <w:b/>
                <w:bCs/>
                <w:sz w:val="21"/>
                <w:szCs w:val="21"/>
              </w:rPr>
            </w:pPr>
          </w:p>
          <w:p w14:paraId="21FB9D70" w14:textId="77777777" w:rsidR="000757BF" w:rsidRPr="005A58DD" w:rsidRDefault="000757BF" w:rsidP="00DE6E65">
            <w:pPr>
              <w:spacing w:before="60" w:after="60" w:line="256" w:lineRule="auto"/>
              <w:jc w:val="center"/>
              <w:rPr>
                <w:rFonts w:asciiTheme="minorHAnsi" w:hAnsiTheme="minorHAnsi" w:cstheme="minorHAnsi"/>
                <w:b/>
                <w:bCs/>
                <w:sz w:val="21"/>
                <w:szCs w:val="21"/>
              </w:rPr>
            </w:pPr>
          </w:p>
        </w:tc>
        <w:tc>
          <w:tcPr>
            <w:tcW w:w="1680"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4CD39A11" w14:textId="77777777" w:rsidR="000757BF" w:rsidRPr="005A58DD" w:rsidRDefault="000757BF" w:rsidP="00DE6E65">
            <w:pPr>
              <w:spacing w:before="60" w:after="60" w:line="256" w:lineRule="auto"/>
              <w:jc w:val="center"/>
              <w:rPr>
                <w:rFonts w:asciiTheme="minorHAnsi" w:eastAsia="Calibri" w:hAnsiTheme="minorHAnsi" w:cstheme="minorHAnsi"/>
                <w:b/>
                <w:bCs/>
                <w:sz w:val="21"/>
                <w:szCs w:val="21"/>
              </w:rPr>
            </w:pPr>
            <w:r w:rsidRPr="005A58DD">
              <w:rPr>
                <w:rFonts w:asciiTheme="minorHAnsi" w:hAnsiTheme="minorHAnsi" w:cstheme="minorHAnsi"/>
                <w:b/>
                <w:bCs/>
                <w:color w:val="000000"/>
                <w:sz w:val="21"/>
                <w:szCs w:val="21"/>
              </w:rPr>
              <w:t>Kvalifikacijos reikalavimas</w:t>
            </w:r>
          </w:p>
        </w:tc>
        <w:tc>
          <w:tcPr>
            <w:tcW w:w="1434" w:type="pct"/>
            <w:tcBorders>
              <w:top w:val="single" w:sz="4" w:space="0" w:color="000000"/>
              <w:left w:val="single" w:sz="4" w:space="0" w:color="auto"/>
              <w:bottom w:val="single" w:sz="4" w:space="0" w:color="000000"/>
              <w:right w:val="single" w:sz="4" w:space="0" w:color="000000"/>
            </w:tcBorders>
            <w:shd w:val="clear" w:color="auto" w:fill="DEEAF6"/>
            <w:vAlign w:val="center"/>
          </w:tcPr>
          <w:p w14:paraId="6CCA69D8" w14:textId="77777777" w:rsidR="000757BF" w:rsidRPr="005A58DD" w:rsidRDefault="000757BF" w:rsidP="00DE6E65">
            <w:pPr>
              <w:autoSpaceDE w:val="0"/>
              <w:autoSpaceDN w:val="0"/>
              <w:adjustRightInd w:val="0"/>
              <w:jc w:val="center"/>
              <w:rPr>
                <w:rFonts w:asciiTheme="minorHAnsi" w:hAnsiTheme="minorHAnsi" w:cstheme="minorHAnsi"/>
                <w:b/>
                <w:bCs/>
                <w:color w:val="000000"/>
                <w:sz w:val="21"/>
                <w:szCs w:val="21"/>
              </w:rPr>
            </w:pPr>
            <w:r w:rsidRPr="005A58DD">
              <w:rPr>
                <w:rFonts w:asciiTheme="minorHAnsi" w:hAnsiTheme="minorHAnsi" w:cstheme="minorHAnsi"/>
                <w:b/>
                <w:bCs/>
                <w:color w:val="000000"/>
                <w:sz w:val="21"/>
                <w:szCs w:val="21"/>
              </w:rPr>
              <w:t>Atitiktį reikalavimui įrodantys  dokumentai</w:t>
            </w:r>
          </w:p>
          <w:p w14:paraId="2C4B8459" w14:textId="77777777" w:rsidR="000757BF" w:rsidRPr="005A58DD" w:rsidRDefault="000757BF" w:rsidP="00DE6E65">
            <w:pPr>
              <w:autoSpaceDE w:val="0"/>
              <w:autoSpaceDN w:val="0"/>
              <w:adjustRightInd w:val="0"/>
              <w:jc w:val="center"/>
              <w:rPr>
                <w:rFonts w:asciiTheme="minorHAnsi" w:hAnsiTheme="minorHAnsi" w:cstheme="minorHAnsi"/>
                <w:b/>
                <w:bCs/>
                <w:color w:val="000000"/>
                <w:sz w:val="21"/>
                <w:szCs w:val="21"/>
              </w:rPr>
            </w:pPr>
          </w:p>
        </w:tc>
        <w:tc>
          <w:tcPr>
            <w:tcW w:w="1673" w:type="pct"/>
            <w:tcBorders>
              <w:top w:val="single" w:sz="4" w:space="0" w:color="000000"/>
              <w:left w:val="single" w:sz="4" w:space="0" w:color="auto"/>
              <w:bottom w:val="single" w:sz="4" w:space="0" w:color="000000"/>
              <w:right w:val="single" w:sz="4" w:space="0" w:color="000000"/>
            </w:tcBorders>
            <w:shd w:val="clear" w:color="auto" w:fill="DEEAF6"/>
          </w:tcPr>
          <w:p w14:paraId="68210DFD" w14:textId="77777777" w:rsidR="000757BF" w:rsidRPr="005A58DD" w:rsidRDefault="000757BF" w:rsidP="00DE6E65">
            <w:pPr>
              <w:autoSpaceDE w:val="0"/>
              <w:autoSpaceDN w:val="0"/>
              <w:adjustRightInd w:val="0"/>
              <w:jc w:val="center"/>
              <w:rPr>
                <w:rFonts w:asciiTheme="minorHAnsi" w:hAnsiTheme="minorHAnsi" w:cstheme="minorHAnsi"/>
                <w:b/>
                <w:bCs/>
                <w:color w:val="000000"/>
                <w:sz w:val="21"/>
                <w:szCs w:val="21"/>
              </w:rPr>
            </w:pPr>
            <w:r w:rsidRPr="005A58DD">
              <w:rPr>
                <w:rFonts w:asciiTheme="minorHAnsi" w:hAnsiTheme="minorHAnsi" w:cstheme="minorHAnsi"/>
                <w:b/>
                <w:bCs/>
                <w:color w:val="000000"/>
                <w:sz w:val="21"/>
                <w:szCs w:val="21"/>
              </w:rPr>
              <w:t>Subjektas, kuris turi atitikti reikalavimą</w:t>
            </w:r>
          </w:p>
        </w:tc>
      </w:tr>
      <w:tr w:rsidR="000757BF" w:rsidRPr="005A58DD" w14:paraId="0A778567" w14:textId="77777777" w:rsidTr="00CB0D9D">
        <w:tc>
          <w:tcPr>
            <w:tcW w:w="212" w:type="pct"/>
            <w:tcBorders>
              <w:top w:val="single" w:sz="4" w:space="0" w:color="000000"/>
              <w:left w:val="single" w:sz="4" w:space="0" w:color="000000"/>
              <w:bottom w:val="single" w:sz="4" w:space="0" w:color="000000"/>
              <w:right w:val="single" w:sz="4" w:space="0" w:color="000000"/>
            </w:tcBorders>
          </w:tcPr>
          <w:p w14:paraId="66F7FFC8" w14:textId="77777777" w:rsidR="000757BF" w:rsidRPr="005A58DD" w:rsidRDefault="000757BF" w:rsidP="00DE6E65">
            <w:pPr>
              <w:numPr>
                <w:ilvl w:val="0"/>
                <w:numId w:val="2"/>
              </w:numPr>
              <w:spacing w:before="60" w:after="60" w:line="257" w:lineRule="auto"/>
              <w:ind w:left="357" w:hanging="357"/>
              <w:contextualSpacing/>
              <w:rPr>
                <w:rFonts w:asciiTheme="minorHAnsi" w:eastAsia="Calibri" w:hAnsiTheme="minorHAnsi" w:cstheme="minorHAnsi"/>
                <w:sz w:val="21"/>
                <w:szCs w:val="21"/>
              </w:rPr>
            </w:pPr>
          </w:p>
        </w:tc>
        <w:tc>
          <w:tcPr>
            <w:tcW w:w="4788" w:type="pct"/>
            <w:gridSpan w:val="3"/>
            <w:tcBorders>
              <w:top w:val="single" w:sz="4" w:space="0" w:color="000000"/>
              <w:left w:val="single" w:sz="4" w:space="0" w:color="000000"/>
              <w:bottom w:val="single" w:sz="4" w:space="0" w:color="000000"/>
              <w:right w:val="single" w:sz="4" w:space="0" w:color="000000"/>
            </w:tcBorders>
          </w:tcPr>
          <w:p w14:paraId="531C9471" w14:textId="77777777" w:rsidR="000757BF" w:rsidRPr="005A58DD" w:rsidRDefault="000757BF" w:rsidP="00DE6E65">
            <w:pPr>
              <w:autoSpaceDE w:val="0"/>
              <w:autoSpaceDN w:val="0"/>
              <w:adjustRightInd w:val="0"/>
              <w:jc w:val="center"/>
              <w:rPr>
                <w:rFonts w:asciiTheme="minorHAnsi" w:hAnsiTheme="minorHAnsi" w:cstheme="minorHAnsi"/>
                <w:b/>
                <w:bCs/>
                <w:color w:val="000000"/>
                <w:sz w:val="21"/>
                <w:szCs w:val="21"/>
              </w:rPr>
            </w:pPr>
            <w:r w:rsidRPr="005A58DD">
              <w:rPr>
                <w:rFonts w:asciiTheme="minorHAnsi" w:hAnsiTheme="minorHAnsi" w:cstheme="minorHAnsi"/>
                <w:b/>
                <w:bCs/>
                <w:color w:val="000000"/>
                <w:sz w:val="21"/>
                <w:szCs w:val="21"/>
              </w:rPr>
              <w:t>Techninis ir profesinis pajėgumas</w:t>
            </w:r>
          </w:p>
        </w:tc>
      </w:tr>
      <w:tr w:rsidR="00690BB2" w:rsidRPr="005A58DD" w14:paraId="5E01BC3B" w14:textId="77777777" w:rsidTr="00CB0D9D">
        <w:tc>
          <w:tcPr>
            <w:tcW w:w="212" w:type="pct"/>
            <w:tcBorders>
              <w:top w:val="single" w:sz="4" w:space="0" w:color="000000"/>
              <w:left w:val="single" w:sz="4" w:space="0" w:color="000000"/>
              <w:bottom w:val="single" w:sz="4" w:space="0" w:color="000000"/>
              <w:right w:val="single" w:sz="4" w:space="0" w:color="000000"/>
            </w:tcBorders>
          </w:tcPr>
          <w:p w14:paraId="7BB7E3E9" w14:textId="77777777" w:rsidR="00690BB2" w:rsidRPr="00A611F7" w:rsidRDefault="00690BB2" w:rsidP="00690BB2">
            <w:pPr>
              <w:numPr>
                <w:ilvl w:val="1"/>
                <w:numId w:val="2"/>
              </w:numPr>
              <w:spacing w:before="60" w:after="60" w:line="257" w:lineRule="auto"/>
              <w:ind w:left="357" w:hanging="357"/>
              <w:contextualSpacing/>
              <w:jc w:val="right"/>
              <w:rPr>
                <w:rFonts w:asciiTheme="minorHAnsi" w:eastAsia="Calibri" w:hAnsiTheme="minorHAnsi" w:cstheme="minorHAnsi"/>
                <w:sz w:val="21"/>
                <w:szCs w:val="21"/>
              </w:rPr>
            </w:pPr>
          </w:p>
        </w:tc>
        <w:tc>
          <w:tcPr>
            <w:tcW w:w="1680" w:type="pct"/>
            <w:tcBorders>
              <w:top w:val="single" w:sz="4" w:space="0" w:color="000000"/>
              <w:left w:val="single" w:sz="4" w:space="0" w:color="000000"/>
              <w:bottom w:val="single" w:sz="4" w:space="0" w:color="000000"/>
              <w:right w:val="single" w:sz="4" w:space="0" w:color="auto"/>
            </w:tcBorders>
          </w:tcPr>
          <w:p w14:paraId="58AF619F" w14:textId="21D7AB20" w:rsidR="00690BB2" w:rsidRPr="00A611F7" w:rsidRDefault="00690BB2" w:rsidP="00690BB2">
            <w:pPr>
              <w:jc w:val="both"/>
              <w:rPr>
                <w:rFonts w:asciiTheme="minorHAnsi" w:hAnsiTheme="minorHAnsi" w:cstheme="minorHAnsi"/>
                <w:sz w:val="21"/>
                <w:szCs w:val="21"/>
              </w:rPr>
            </w:pPr>
            <w:r w:rsidRPr="00A611F7">
              <w:rPr>
                <w:rFonts w:asciiTheme="minorHAnsi" w:hAnsiTheme="minorHAnsi" w:cstheme="minorHAnsi"/>
                <w:sz w:val="21"/>
                <w:szCs w:val="21"/>
              </w:rPr>
              <w:t>Tiekėjas turi turėti bent 1 (vieną) specialistą, turintį teisę rengti kultūros paveldo objektų ir kultūros paveldo statinių tvarkybos darbų projektus ir atlikti tvarkybos darbų projekto vykdymo priežiūrą ir/ar vadovauti kultūros paveldo objektų ir kultūros paveldo statinių tvarkybos darbų projektavimui ir tvarkybos darbų projekto vykdymo priežiūrai.</w:t>
            </w:r>
          </w:p>
        </w:tc>
        <w:tc>
          <w:tcPr>
            <w:tcW w:w="1434" w:type="pct"/>
            <w:tcBorders>
              <w:top w:val="single" w:sz="4" w:space="0" w:color="000000"/>
              <w:left w:val="single" w:sz="4" w:space="0" w:color="auto"/>
              <w:bottom w:val="single" w:sz="4" w:space="0" w:color="000000"/>
              <w:right w:val="single" w:sz="4" w:space="0" w:color="000000"/>
            </w:tcBorders>
          </w:tcPr>
          <w:p w14:paraId="69CCB866" w14:textId="043E2CAF" w:rsidR="00690BB2" w:rsidRPr="0046297E" w:rsidRDefault="00690BB2" w:rsidP="00690BB2">
            <w:pPr>
              <w:tabs>
                <w:tab w:val="left" w:pos="208"/>
              </w:tabs>
              <w:contextualSpacing/>
              <w:jc w:val="both"/>
              <w:rPr>
                <w:rFonts w:asciiTheme="minorHAnsi" w:hAnsiTheme="minorHAnsi" w:cstheme="minorHAnsi"/>
                <w:b/>
                <w:bCs/>
                <w:sz w:val="21"/>
                <w:szCs w:val="21"/>
              </w:rPr>
            </w:pPr>
            <w:r w:rsidRPr="0046297E">
              <w:rPr>
                <w:rFonts w:asciiTheme="minorHAnsi" w:hAnsiTheme="minorHAnsi" w:cstheme="minorHAnsi"/>
                <w:b/>
                <w:bCs/>
                <w:sz w:val="21"/>
                <w:szCs w:val="21"/>
              </w:rPr>
              <w:t>Kartu su pasiūlymu pateikiama:</w:t>
            </w:r>
          </w:p>
          <w:p w14:paraId="6DCB0FB9" w14:textId="2991AE13" w:rsidR="00690BB2" w:rsidRPr="005A58DD" w:rsidRDefault="00690BB2" w:rsidP="00690BB2">
            <w:pPr>
              <w:pStyle w:val="Sraopastraipa"/>
              <w:numPr>
                <w:ilvl w:val="0"/>
                <w:numId w:val="4"/>
              </w:numPr>
              <w:tabs>
                <w:tab w:val="left" w:pos="208"/>
              </w:tabs>
              <w:ind w:left="0" w:firstLine="0"/>
              <w:jc w:val="both"/>
              <w:rPr>
                <w:rFonts w:asciiTheme="minorHAnsi" w:hAnsiTheme="minorHAnsi" w:cstheme="minorHAnsi"/>
                <w:sz w:val="21"/>
                <w:szCs w:val="21"/>
              </w:rPr>
            </w:pPr>
            <w:r w:rsidRPr="005A58DD">
              <w:rPr>
                <w:rFonts w:asciiTheme="minorHAnsi" w:hAnsiTheme="minorHAnsi" w:cstheme="minorHAnsi"/>
                <w:color w:val="000000"/>
                <w:sz w:val="21"/>
                <w:szCs w:val="21"/>
              </w:rPr>
              <w:t xml:space="preserve"> Siūlomų specialistų sąrašas (</w:t>
            </w:r>
            <w:r w:rsidRPr="00E92EA2">
              <w:rPr>
                <w:rFonts w:asciiTheme="minorHAnsi" w:hAnsiTheme="minorHAnsi" w:cstheme="minorHAnsi"/>
                <w:b/>
                <w:bCs/>
                <w:color w:val="000000"/>
                <w:sz w:val="21"/>
                <w:szCs w:val="21"/>
                <w:u w:val="single"/>
              </w:rPr>
              <w:t xml:space="preserve">pirkimo sąlygų </w:t>
            </w:r>
            <w:r w:rsidR="009C4683">
              <w:rPr>
                <w:rFonts w:asciiTheme="minorHAnsi" w:hAnsiTheme="minorHAnsi" w:cstheme="minorHAnsi"/>
                <w:b/>
                <w:bCs/>
                <w:sz w:val="21"/>
                <w:szCs w:val="21"/>
                <w:u w:val="single"/>
              </w:rPr>
              <w:t>9</w:t>
            </w:r>
            <w:r w:rsidRPr="00E92EA2">
              <w:rPr>
                <w:rFonts w:asciiTheme="minorHAnsi" w:hAnsiTheme="minorHAnsi" w:cstheme="minorHAnsi"/>
                <w:b/>
                <w:bCs/>
                <w:sz w:val="21"/>
                <w:szCs w:val="21"/>
                <w:u w:val="single"/>
              </w:rPr>
              <w:t> priedas</w:t>
            </w:r>
            <w:r w:rsidRPr="005A58DD">
              <w:rPr>
                <w:rFonts w:asciiTheme="minorHAnsi" w:hAnsiTheme="minorHAnsi" w:cstheme="minorHAnsi"/>
                <w:sz w:val="21"/>
                <w:szCs w:val="21"/>
              </w:rPr>
              <w:t>);</w:t>
            </w:r>
          </w:p>
          <w:p w14:paraId="222710EA" w14:textId="77777777" w:rsidR="00690BB2" w:rsidRPr="005A58DD" w:rsidRDefault="00690BB2" w:rsidP="00690BB2">
            <w:pPr>
              <w:pStyle w:val="Sraopastraipa"/>
              <w:numPr>
                <w:ilvl w:val="0"/>
                <w:numId w:val="4"/>
              </w:numPr>
              <w:tabs>
                <w:tab w:val="left" w:pos="208"/>
              </w:tabs>
              <w:ind w:left="0" w:firstLine="0"/>
              <w:jc w:val="both"/>
              <w:rPr>
                <w:rFonts w:asciiTheme="minorHAnsi" w:hAnsiTheme="minorHAnsi" w:cstheme="minorHAnsi"/>
                <w:sz w:val="21"/>
                <w:szCs w:val="21"/>
              </w:rPr>
            </w:pPr>
            <w:r w:rsidRPr="005A58DD">
              <w:rPr>
                <w:rFonts w:asciiTheme="minorHAnsi" w:hAnsiTheme="minorHAnsi" w:cstheme="minorHAnsi"/>
                <w:sz w:val="21"/>
                <w:szCs w:val="21"/>
              </w:rPr>
              <w:t xml:space="preserve"> Nekilnojamojo kultūros paveldo apsaugos specialistui Kultūros ministerijos išduoti kvalifikacijos dokumentai ar užsienio šalies specialistams* išduoti dokumentai, patvirtinantys turimą kvalifikaciją kilmės šalyje ar jų kopijos.</w:t>
            </w:r>
          </w:p>
          <w:p w14:paraId="4FC09947" w14:textId="77777777" w:rsidR="00690BB2" w:rsidRPr="005A58DD" w:rsidRDefault="00690BB2" w:rsidP="00690BB2">
            <w:pPr>
              <w:tabs>
                <w:tab w:val="left" w:pos="208"/>
              </w:tabs>
              <w:contextualSpacing/>
              <w:jc w:val="both"/>
              <w:rPr>
                <w:rFonts w:asciiTheme="minorHAnsi" w:hAnsiTheme="minorHAnsi" w:cstheme="minorHAnsi"/>
                <w:sz w:val="21"/>
                <w:szCs w:val="21"/>
              </w:rPr>
            </w:pPr>
          </w:p>
          <w:p w14:paraId="76085510" w14:textId="77777777" w:rsidR="005A58DD" w:rsidRDefault="005A58DD" w:rsidP="005A58DD">
            <w:pPr>
              <w:ind w:left="33"/>
              <w:contextualSpacing/>
              <w:jc w:val="both"/>
              <w:rPr>
                <w:rFonts w:asciiTheme="minorHAnsi" w:hAnsiTheme="minorHAnsi" w:cstheme="minorHAnsi"/>
                <w:i/>
                <w:iCs/>
                <w:sz w:val="21"/>
                <w:szCs w:val="21"/>
              </w:rPr>
            </w:pPr>
            <w:r w:rsidRPr="005A58DD">
              <w:rPr>
                <w:rFonts w:asciiTheme="minorHAnsi" w:hAnsiTheme="minorHAnsi" w:cstheme="minorHAnsi"/>
                <w:b/>
                <w:bCs/>
                <w:i/>
                <w:iCs/>
                <w:sz w:val="21"/>
                <w:szCs w:val="21"/>
              </w:rPr>
              <w:t>*  Užsienio šalių specialistai</w:t>
            </w:r>
            <w:r w:rsidRPr="005A58DD">
              <w:rPr>
                <w:rFonts w:asciiTheme="minorHAnsi" w:hAnsiTheme="minorHAnsi" w:cstheme="minorHAnsi"/>
                <w:i/>
                <w:iCs/>
                <w:sz w:val="21"/>
                <w:szCs w:val="21"/>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2AC52272" w14:textId="712BD132" w:rsidR="00690BB2" w:rsidRPr="005A58DD" w:rsidRDefault="005A58DD" w:rsidP="005A58DD">
            <w:pPr>
              <w:ind w:left="33"/>
              <w:contextualSpacing/>
              <w:jc w:val="both"/>
              <w:rPr>
                <w:rFonts w:asciiTheme="minorHAnsi" w:hAnsiTheme="minorHAnsi" w:cstheme="minorHAnsi"/>
                <w:i/>
                <w:iCs/>
                <w:sz w:val="21"/>
                <w:szCs w:val="21"/>
              </w:rPr>
            </w:pPr>
            <w:r>
              <w:rPr>
                <w:rFonts w:asciiTheme="minorHAnsi" w:hAnsiTheme="minorHAnsi" w:cstheme="minorHAnsi"/>
                <w:sz w:val="21"/>
                <w:szCs w:val="21"/>
              </w:rPr>
              <w:t>- u</w:t>
            </w:r>
            <w:r w:rsidR="00690BB2" w:rsidRPr="005A58DD">
              <w:rPr>
                <w:rFonts w:asciiTheme="minorHAnsi" w:hAnsiTheme="minorHAnsi" w:cstheme="minorHAnsi"/>
                <w:sz w:val="21"/>
                <w:szCs w:val="21"/>
              </w:rPr>
              <w:t>žsienio šalių specialistai iki</w:t>
            </w:r>
          </w:p>
          <w:p w14:paraId="7EF40890" w14:textId="5515BF5B" w:rsidR="005A58DD" w:rsidRDefault="00690BB2" w:rsidP="00BF602D">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 xml:space="preserve">pirkimo vykdytojo pirkimo dokumentuose nurodyto termino turi gauti Kultūros ministerijos išduotą teisės </w:t>
            </w:r>
            <w:r w:rsidRPr="005A58DD">
              <w:rPr>
                <w:rFonts w:asciiTheme="minorHAnsi" w:hAnsiTheme="minorHAnsi" w:cstheme="minorHAnsi"/>
                <w:sz w:val="21"/>
                <w:szCs w:val="21"/>
              </w:rPr>
              <w:lastRenderedPageBreak/>
              <w:t>pripažinimo dokumentą, patvirtinantį teisę eiti reikalaujamas pareigas</w:t>
            </w:r>
            <w:r w:rsidR="00CB0D9D">
              <w:rPr>
                <w:rFonts w:asciiTheme="minorHAnsi" w:hAnsiTheme="minorHAnsi" w:cstheme="minorHAnsi"/>
                <w:sz w:val="21"/>
                <w:szCs w:val="21"/>
              </w:rPr>
              <w:t>.</w:t>
            </w:r>
          </w:p>
          <w:p w14:paraId="242CECAC" w14:textId="77777777" w:rsidR="00CB0D9D" w:rsidRDefault="00CB0D9D" w:rsidP="00BF602D">
            <w:pPr>
              <w:tabs>
                <w:tab w:val="left" w:pos="208"/>
              </w:tabs>
              <w:contextualSpacing/>
              <w:jc w:val="both"/>
              <w:rPr>
                <w:rFonts w:asciiTheme="minorHAnsi" w:hAnsiTheme="minorHAnsi" w:cstheme="minorHAnsi"/>
                <w:sz w:val="21"/>
                <w:szCs w:val="21"/>
              </w:rPr>
            </w:pPr>
          </w:p>
          <w:p w14:paraId="72F9692E" w14:textId="77777777" w:rsidR="00CB0D9D" w:rsidRPr="005A58DD" w:rsidRDefault="00CB0D9D" w:rsidP="00CB0D9D">
            <w:pPr>
              <w:ind w:left="33"/>
              <w:contextualSpacing/>
              <w:jc w:val="both"/>
              <w:rPr>
                <w:rFonts w:asciiTheme="minorHAnsi" w:hAnsiTheme="minorHAnsi" w:cstheme="minorHAnsi"/>
                <w:i/>
                <w:iCs/>
                <w:sz w:val="21"/>
                <w:szCs w:val="21"/>
              </w:rPr>
            </w:pPr>
            <w:r w:rsidRPr="005A58DD">
              <w:rPr>
                <w:rFonts w:asciiTheme="minorHAnsi" w:hAnsiTheme="minorHAnsi" w:cstheme="minorHAnsi"/>
                <w:i/>
                <w:iCs/>
                <w:sz w:val="21"/>
                <w:szCs w:val="21"/>
                <w:u w:val="single"/>
              </w:rPr>
              <w:t xml:space="preserve">Pateikiami skenuoti dokumentai elektronine forma, ar pasirašyti el. parašu, ar </w:t>
            </w:r>
            <w:r w:rsidRPr="005A58DD">
              <w:rPr>
                <w:rFonts w:asciiTheme="minorHAnsi" w:hAnsiTheme="minorHAnsi" w:cstheme="minorHAnsi"/>
                <w:i/>
                <w:sz w:val="21"/>
                <w:szCs w:val="21"/>
                <w:u w:val="single"/>
              </w:rPr>
              <w:t>nuoroda į nacionalines duomenų bazes bet kurioje valstybės narėje, prie kurių Perkančioji organizacija turės galimybę tiesiogiai ir neatlygintinai prisijungti ir susipažinti su reikalaujamais dokumentais ir (ar) informacija.</w:t>
            </w:r>
          </w:p>
          <w:p w14:paraId="5B40F3E4" w14:textId="17A70EEB" w:rsidR="00CB0D9D" w:rsidRPr="00BF602D" w:rsidRDefault="00CB0D9D" w:rsidP="00BF602D">
            <w:pPr>
              <w:tabs>
                <w:tab w:val="left" w:pos="208"/>
              </w:tabs>
              <w:contextualSpacing/>
              <w:jc w:val="both"/>
              <w:rPr>
                <w:rFonts w:asciiTheme="minorHAnsi" w:hAnsiTheme="minorHAnsi" w:cstheme="minorHAnsi"/>
                <w:sz w:val="21"/>
                <w:szCs w:val="21"/>
              </w:rPr>
            </w:pPr>
          </w:p>
        </w:tc>
        <w:tc>
          <w:tcPr>
            <w:tcW w:w="1673" w:type="pct"/>
            <w:tcBorders>
              <w:top w:val="single" w:sz="4" w:space="0" w:color="000000"/>
              <w:left w:val="single" w:sz="4" w:space="0" w:color="auto"/>
              <w:bottom w:val="single" w:sz="4" w:space="0" w:color="000000"/>
              <w:right w:val="single" w:sz="4" w:space="0" w:color="000000"/>
            </w:tcBorders>
          </w:tcPr>
          <w:p w14:paraId="7A98D0C7" w14:textId="77777777" w:rsidR="0063456E" w:rsidRPr="005A58DD" w:rsidRDefault="0063456E" w:rsidP="0063456E">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lastRenderedPageBreak/>
              <w:t>Tiekėjas.</w:t>
            </w:r>
          </w:p>
          <w:p w14:paraId="538E6365" w14:textId="77777777" w:rsidR="0063456E" w:rsidRPr="005A58DD" w:rsidRDefault="0063456E" w:rsidP="0063456E">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 xml:space="preserve">Jeigu pasiūlymą teikia ūkio subjektų grupė – reikalavimą turi atitikti ūkio subjektų grupės nario (-ių) specialistai, atsižvelgiant į jų prisiimamus įsipareigojimus pirkimo sutarčiai vykdyti. </w:t>
            </w:r>
          </w:p>
          <w:p w14:paraId="1887F256" w14:textId="77777777" w:rsidR="0063456E" w:rsidRPr="005A58DD" w:rsidRDefault="0063456E" w:rsidP="0063456E">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32687C26" w14:textId="77777777" w:rsidR="0063456E" w:rsidRPr="005A58DD" w:rsidRDefault="0063456E" w:rsidP="0063456E">
            <w:pPr>
              <w:tabs>
                <w:tab w:val="left" w:pos="208"/>
              </w:tabs>
              <w:contextualSpacing/>
              <w:jc w:val="both"/>
              <w:rPr>
                <w:rFonts w:asciiTheme="minorHAnsi" w:hAnsiTheme="minorHAnsi" w:cstheme="minorHAnsi"/>
                <w:sz w:val="21"/>
                <w:szCs w:val="21"/>
              </w:rPr>
            </w:pPr>
          </w:p>
          <w:p w14:paraId="65D95794" w14:textId="6B6A3A03" w:rsidR="00690BB2" w:rsidRPr="005A58DD" w:rsidRDefault="0063456E" w:rsidP="0063456E">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690BB2" w:rsidRPr="005A58DD" w14:paraId="0B795879" w14:textId="77777777" w:rsidTr="00CB0D9D">
        <w:tc>
          <w:tcPr>
            <w:tcW w:w="212" w:type="pct"/>
            <w:tcBorders>
              <w:top w:val="single" w:sz="4" w:space="0" w:color="000000"/>
              <w:left w:val="single" w:sz="4" w:space="0" w:color="000000"/>
              <w:bottom w:val="single" w:sz="4" w:space="0" w:color="000000"/>
              <w:right w:val="single" w:sz="4" w:space="0" w:color="000000"/>
            </w:tcBorders>
          </w:tcPr>
          <w:p w14:paraId="2645656F" w14:textId="77777777" w:rsidR="00690BB2" w:rsidRPr="005A58DD" w:rsidRDefault="00690BB2" w:rsidP="00690BB2">
            <w:pPr>
              <w:numPr>
                <w:ilvl w:val="1"/>
                <w:numId w:val="2"/>
              </w:numPr>
              <w:spacing w:before="60" w:after="60" w:line="257" w:lineRule="auto"/>
              <w:ind w:left="357" w:hanging="357"/>
              <w:contextualSpacing/>
              <w:jc w:val="right"/>
              <w:rPr>
                <w:rFonts w:asciiTheme="minorHAnsi" w:eastAsia="Calibri" w:hAnsiTheme="minorHAnsi" w:cstheme="minorHAnsi"/>
                <w:sz w:val="21"/>
                <w:szCs w:val="21"/>
              </w:rPr>
            </w:pPr>
          </w:p>
        </w:tc>
        <w:tc>
          <w:tcPr>
            <w:tcW w:w="1680" w:type="pct"/>
            <w:tcBorders>
              <w:top w:val="single" w:sz="4" w:space="0" w:color="000000"/>
              <w:left w:val="single" w:sz="4" w:space="0" w:color="000000"/>
              <w:bottom w:val="single" w:sz="4" w:space="0" w:color="000000"/>
              <w:right w:val="single" w:sz="4" w:space="0" w:color="auto"/>
            </w:tcBorders>
          </w:tcPr>
          <w:p w14:paraId="2103C5DC" w14:textId="3A70983D" w:rsidR="00A43A50" w:rsidRPr="0063456E" w:rsidRDefault="00690BB2" w:rsidP="0063456E">
            <w:pPr>
              <w:jc w:val="both"/>
              <w:rPr>
                <w:rFonts w:asciiTheme="minorHAnsi" w:hAnsiTheme="minorHAnsi" w:cstheme="minorHAnsi"/>
                <w:sz w:val="21"/>
                <w:szCs w:val="21"/>
              </w:rPr>
            </w:pPr>
            <w:r w:rsidRPr="0063456E">
              <w:rPr>
                <w:rFonts w:asciiTheme="minorHAnsi" w:hAnsiTheme="minorHAnsi" w:cstheme="minorHAnsi"/>
                <w:sz w:val="21"/>
                <w:szCs w:val="21"/>
              </w:rPr>
              <w:t>Tiekėjas pirkimo sutarčiai vykdyti turi pasiūlyti</w:t>
            </w:r>
            <w:r w:rsidR="00FC74F0" w:rsidRPr="0063456E">
              <w:rPr>
                <w:rFonts w:asciiTheme="minorHAnsi" w:hAnsiTheme="minorHAnsi" w:cstheme="minorHAnsi"/>
                <w:sz w:val="21"/>
                <w:szCs w:val="21"/>
              </w:rPr>
              <w:t xml:space="preserve"> </w:t>
            </w:r>
            <w:r w:rsidRPr="0063456E">
              <w:rPr>
                <w:rFonts w:asciiTheme="minorHAnsi" w:hAnsiTheme="minorHAnsi" w:cstheme="minorHAnsi"/>
                <w:sz w:val="21"/>
                <w:szCs w:val="21"/>
              </w:rPr>
              <w:t xml:space="preserve">bent </w:t>
            </w:r>
            <w:r w:rsidR="00A43A50" w:rsidRPr="0063456E">
              <w:rPr>
                <w:rFonts w:asciiTheme="minorHAnsi" w:hAnsiTheme="minorHAnsi" w:cstheme="minorHAnsi"/>
                <w:sz w:val="21"/>
                <w:szCs w:val="21"/>
              </w:rPr>
              <w:t>1 (</w:t>
            </w:r>
            <w:r w:rsidRPr="0063456E">
              <w:rPr>
                <w:rFonts w:asciiTheme="minorHAnsi" w:hAnsiTheme="minorHAnsi" w:cstheme="minorHAnsi"/>
                <w:sz w:val="21"/>
                <w:szCs w:val="21"/>
              </w:rPr>
              <w:t>vieną</w:t>
            </w:r>
            <w:r w:rsidR="00A43A50" w:rsidRPr="0063456E">
              <w:rPr>
                <w:rFonts w:asciiTheme="minorHAnsi" w:hAnsiTheme="minorHAnsi" w:cstheme="minorHAnsi"/>
                <w:sz w:val="21"/>
                <w:szCs w:val="21"/>
              </w:rPr>
              <w:t>) specialistą</w:t>
            </w:r>
            <w:r w:rsidRPr="0063456E">
              <w:rPr>
                <w:rFonts w:asciiTheme="minorHAnsi" w:hAnsiTheme="minorHAnsi" w:cstheme="minorHAnsi"/>
                <w:sz w:val="21"/>
                <w:szCs w:val="21"/>
              </w:rPr>
              <w:t xml:space="preserve"> </w:t>
            </w:r>
            <w:r w:rsidR="00A43A50" w:rsidRPr="0063456E">
              <w:rPr>
                <w:rFonts w:asciiTheme="minorHAnsi" w:hAnsiTheme="minorHAnsi" w:cstheme="minorHAnsi"/>
                <w:sz w:val="21"/>
                <w:szCs w:val="21"/>
              </w:rPr>
              <w:t>turintį</w:t>
            </w:r>
            <w:r w:rsidR="00A43A50" w:rsidRPr="0063456E">
              <w:rPr>
                <w:rFonts w:asciiTheme="minorHAnsi" w:hAnsiTheme="minorHAnsi" w:cstheme="minorHAnsi"/>
                <w:b/>
                <w:bCs/>
                <w:sz w:val="21"/>
                <w:szCs w:val="21"/>
              </w:rPr>
              <w:t xml:space="preserve"> </w:t>
            </w:r>
            <w:r w:rsidR="00A43A50" w:rsidRPr="0063456E">
              <w:rPr>
                <w:rFonts w:asciiTheme="minorHAnsi" w:hAnsiTheme="minorHAnsi" w:cstheme="minorHAnsi"/>
                <w:sz w:val="21"/>
                <w:szCs w:val="21"/>
              </w:rPr>
              <w:t xml:space="preserve"> teisę eiti ypatingojo statinio projekto vadovo pareigas </w:t>
            </w:r>
            <w:r w:rsidR="0063456E" w:rsidRPr="0063456E">
              <w:rPr>
                <w:rFonts w:asciiTheme="minorHAnsi" w:hAnsiTheme="minorHAnsi" w:cstheme="minorHAnsi"/>
                <w:i/>
                <w:iCs/>
                <w:sz w:val="21"/>
                <w:szCs w:val="21"/>
              </w:rPr>
              <w:t xml:space="preserve">(inžinerinio statinio grupė -  </w:t>
            </w:r>
            <w:r w:rsidR="0063456E" w:rsidRPr="0063456E">
              <w:rPr>
                <w:rFonts w:asciiTheme="minorHAnsi" w:hAnsiTheme="minorHAnsi" w:cstheme="minorHAnsi"/>
                <w:b/>
                <w:bCs/>
                <w:i/>
                <w:iCs/>
                <w:sz w:val="21"/>
                <w:szCs w:val="21"/>
              </w:rPr>
              <w:t>susiekimo komunikacijų statiniai</w:t>
            </w:r>
            <w:r w:rsidR="0063456E" w:rsidRPr="0063456E">
              <w:rPr>
                <w:rFonts w:asciiTheme="minorHAnsi" w:hAnsiTheme="minorHAnsi" w:cstheme="minorHAnsi"/>
                <w:i/>
                <w:iCs/>
                <w:sz w:val="21"/>
                <w:szCs w:val="21"/>
              </w:rPr>
              <w:t xml:space="preserve">;  pogrupis  (paskirtis) – </w:t>
            </w:r>
            <w:r w:rsidR="0063456E" w:rsidRPr="0063456E">
              <w:rPr>
                <w:rFonts w:asciiTheme="minorHAnsi" w:hAnsiTheme="minorHAnsi" w:cstheme="minorHAnsi"/>
                <w:b/>
                <w:bCs/>
                <w:i/>
                <w:iCs/>
                <w:sz w:val="21"/>
                <w:szCs w:val="21"/>
              </w:rPr>
              <w:t>kelių</w:t>
            </w:r>
            <w:r w:rsidR="0063456E" w:rsidRPr="0063456E">
              <w:rPr>
                <w:rFonts w:asciiTheme="minorHAnsi" w:hAnsiTheme="minorHAnsi" w:cstheme="minorHAnsi"/>
                <w:sz w:val="21"/>
                <w:szCs w:val="21"/>
              </w:rPr>
              <w:t>)</w:t>
            </w:r>
            <w:r w:rsidR="0063456E" w:rsidRPr="0063456E">
              <w:rPr>
                <w:rFonts w:asciiTheme="minorHAnsi" w:hAnsiTheme="minorHAnsi" w:cstheme="minorHAnsi"/>
                <w:b/>
                <w:bCs/>
                <w:i/>
                <w:iCs/>
                <w:sz w:val="21"/>
                <w:szCs w:val="21"/>
              </w:rPr>
              <w:t xml:space="preserve"> </w:t>
            </w:r>
            <w:r w:rsidR="00A43A50" w:rsidRPr="0063456E">
              <w:rPr>
                <w:rFonts w:asciiTheme="minorHAnsi" w:hAnsiTheme="minorHAnsi" w:cstheme="minorHAnsi"/>
                <w:sz w:val="21"/>
                <w:szCs w:val="21"/>
              </w:rPr>
              <w:t xml:space="preserve"> statiniuose, esančiuose kultūros paveldo objekto teritorijoje, jo apsaugos zonoje, kultūros paveldo vietovėje.</w:t>
            </w:r>
          </w:p>
          <w:p w14:paraId="47B677D5" w14:textId="77777777" w:rsidR="00690BB2" w:rsidRPr="005A58DD" w:rsidRDefault="00690BB2" w:rsidP="00690BB2">
            <w:pPr>
              <w:widowControl w:val="0"/>
              <w:tabs>
                <w:tab w:val="left" w:pos="321"/>
              </w:tabs>
              <w:suppressAutoHyphens/>
              <w:snapToGrid w:val="0"/>
              <w:jc w:val="both"/>
              <w:rPr>
                <w:rFonts w:asciiTheme="minorHAnsi" w:hAnsiTheme="minorHAnsi" w:cstheme="minorHAnsi"/>
                <w:i/>
                <w:sz w:val="21"/>
                <w:szCs w:val="21"/>
              </w:rPr>
            </w:pPr>
          </w:p>
          <w:p w14:paraId="3E1FFEB8" w14:textId="1DE2E088" w:rsidR="00690BB2" w:rsidRPr="00772EBD" w:rsidRDefault="00690BB2" w:rsidP="001F6E46">
            <w:pPr>
              <w:jc w:val="both"/>
              <w:rPr>
                <w:rFonts w:asciiTheme="minorHAnsi" w:hAnsiTheme="minorHAnsi" w:cstheme="minorHAnsi"/>
                <w:b/>
                <w:bCs/>
                <w:i/>
                <w:iCs/>
                <w:sz w:val="21"/>
                <w:szCs w:val="21"/>
              </w:rPr>
            </w:pPr>
            <w:r w:rsidRPr="00772EBD">
              <w:rPr>
                <w:rFonts w:asciiTheme="minorHAnsi" w:hAnsiTheme="minorHAnsi" w:cstheme="minorHAnsi"/>
                <w:b/>
                <w:bCs/>
                <w:i/>
                <w:iCs/>
                <w:sz w:val="21"/>
                <w:szCs w:val="21"/>
              </w:rPr>
              <w:t>Statinio projekto vadovas, kurio patirtis vertinama kaip vienas iš ekonominio</w:t>
            </w:r>
            <w:r w:rsidR="001F4AB6" w:rsidRPr="00772EBD">
              <w:rPr>
                <w:rFonts w:asciiTheme="minorHAnsi" w:hAnsiTheme="minorHAnsi" w:cstheme="minorHAnsi"/>
                <w:b/>
                <w:bCs/>
                <w:i/>
                <w:iCs/>
                <w:sz w:val="21"/>
                <w:szCs w:val="21"/>
              </w:rPr>
              <w:t xml:space="preserve"> </w:t>
            </w:r>
            <w:r w:rsidRPr="00772EBD">
              <w:rPr>
                <w:rFonts w:asciiTheme="minorHAnsi" w:hAnsiTheme="minorHAnsi" w:cstheme="minorHAnsi"/>
                <w:b/>
                <w:bCs/>
                <w:i/>
                <w:iCs/>
                <w:sz w:val="21"/>
                <w:szCs w:val="21"/>
              </w:rPr>
              <w:t>naudingumo vertinimo kriterijų, turi būti tas pats specialistas, kuriam taikomi kvalifikaciniai reikalavimai 1.2</w:t>
            </w:r>
            <w:r w:rsidR="00FC74F0" w:rsidRPr="00772EBD">
              <w:rPr>
                <w:rFonts w:asciiTheme="minorHAnsi" w:hAnsiTheme="minorHAnsi" w:cstheme="minorHAnsi"/>
                <w:b/>
                <w:bCs/>
                <w:i/>
                <w:iCs/>
                <w:sz w:val="21"/>
                <w:szCs w:val="21"/>
              </w:rPr>
              <w:t>.</w:t>
            </w:r>
            <w:r w:rsidRPr="00772EBD">
              <w:rPr>
                <w:rFonts w:asciiTheme="minorHAnsi" w:hAnsiTheme="minorHAnsi" w:cstheme="minorHAnsi"/>
                <w:b/>
                <w:bCs/>
                <w:i/>
                <w:iCs/>
                <w:sz w:val="21"/>
                <w:szCs w:val="21"/>
              </w:rPr>
              <w:t xml:space="preserve"> papunktyje.</w:t>
            </w:r>
          </w:p>
          <w:p w14:paraId="6C7BB89A" w14:textId="77777777" w:rsidR="00690BB2" w:rsidRPr="005A58DD" w:rsidRDefault="00690BB2" w:rsidP="00690BB2">
            <w:pPr>
              <w:widowControl w:val="0"/>
              <w:tabs>
                <w:tab w:val="left" w:pos="321"/>
              </w:tabs>
              <w:suppressAutoHyphens/>
              <w:snapToGrid w:val="0"/>
              <w:jc w:val="both"/>
              <w:rPr>
                <w:rFonts w:asciiTheme="minorHAnsi" w:hAnsiTheme="minorHAnsi" w:cstheme="minorHAnsi"/>
                <w:i/>
                <w:sz w:val="21"/>
                <w:szCs w:val="21"/>
              </w:rPr>
            </w:pPr>
          </w:p>
          <w:p w14:paraId="6165CB07" w14:textId="77777777" w:rsidR="00690BB2" w:rsidRPr="005A58DD" w:rsidRDefault="00690BB2" w:rsidP="00690BB2">
            <w:pPr>
              <w:widowControl w:val="0"/>
              <w:tabs>
                <w:tab w:val="left" w:pos="321"/>
              </w:tabs>
              <w:suppressAutoHyphens/>
              <w:snapToGrid w:val="0"/>
              <w:jc w:val="both"/>
              <w:rPr>
                <w:rFonts w:asciiTheme="minorHAnsi" w:hAnsiTheme="minorHAnsi" w:cstheme="minorHAnsi"/>
                <w:i/>
                <w:sz w:val="21"/>
                <w:szCs w:val="21"/>
              </w:rPr>
            </w:pPr>
            <w:r w:rsidRPr="005A58DD">
              <w:rPr>
                <w:rFonts w:asciiTheme="minorHAnsi" w:hAnsiTheme="minorHAnsi" w:cstheme="minorHAnsi"/>
                <w:i/>
                <w:sz w:val="21"/>
                <w:szCs w:val="21"/>
              </w:rPr>
              <w:t xml:space="preserve">Jeigu kvalifikacijos dokumente yra nurodyta visa reikalaujama statinių grupė (neišskirti/nenurodyti pogrupiai) arba nurodytas konkretus pogrupis, atitinkantis nurodytą kvalifikacijos reikalavime, - tokie kvalifikacijos dokumentai yra tinkami. </w:t>
            </w:r>
          </w:p>
          <w:p w14:paraId="192AB8B7" w14:textId="77777777" w:rsidR="00690BB2" w:rsidRPr="005A58DD" w:rsidRDefault="00690BB2" w:rsidP="00690BB2">
            <w:pPr>
              <w:widowControl w:val="0"/>
              <w:tabs>
                <w:tab w:val="left" w:pos="321"/>
              </w:tabs>
              <w:suppressAutoHyphens/>
              <w:snapToGrid w:val="0"/>
              <w:jc w:val="both"/>
              <w:rPr>
                <w:rFonts w:asciiTheme="minorHAnsi" w:hAnsiTheme="minorHAnsi" w:cstheme="minorHAnsi"/>
                <w:i/>
                <w:sz w:val="21"/>
                <w:szCs w:val="21"/>
              </w:rPr>
            </w:pPr>
          </w:p>
          <w:p w14:paraId="16FD10E9" w14:textId="77777777" w:rsidR="00690BB2" w:rsidRPr="005A58DD" w:rsidRDefault="00690BB2" w:rsidP="00690BB2">
            <w:pPr>
              <w:jc w:val="both"/>
              <w:rPr>
                <w:rFonts w:asciiTheme="minorHAnsi" w:eastAsia="Calibri" w:hAnsiTheme="minorHAnsi" w:cstheme="minorHAnsi"/>
                <w:sz w:val="21"/>
                <w:szCs w:val="21"/>
              </w:rPr>
            </w:pPr>
          </w:p>
          <w:p w14:paraId="057E789D" w14:textId="77777777" w:rsidR="00690BB2" w:rsidRPr="005A58DD" w:rsidRDefault="00690BB2" w:rsidP="00690BB2">
            <w:pPr>
              <w:autoSpaceDE w:val="0"/>
              <w:autoSpaceDN w:val="0"/>
              <w:adjustRightInd w:val="0"/>
              <w:rPr>
                <w:rFonts w:asciiTheme="minorHAnsi" w:hAnsiTheme="minorHAnsi" w:cstheme="minorHAnsi"/>
                <w:color w:val="000000"/>
                <w:sz w:val="21"/>
                <w:szCs w:val="21"/>
              </w:rPr>
            </w:pPr>
          </w:p>
        </w:tc>
        <w:tc>
          <w:tcPr>
            <w:tcW w:w="1434" w:type="pct"/>
            <w:tcBorders>
              <w:top w:val="single" w:sz="4" w:space="0" w:color="000000"/>
              <w:left w:val="single" w:sz="4" w:space="0" w:color="auto"/>
              <w:bottom w:val="single" w:sz="4" w:space="0" w:color="000000"/>
              <w:right w:val="single" w:sz="4" w:space="0" w:color="000000"/>
            </w:tcBorders>
          </w:tcPr>
          <w:p w14:paraId="5FE5DAD4" w14:textId="77777777" w:rsidR="00690BB2" w:rsidRPr="0046297E" w:rsidRDefault="00690BB2" w:rsidP="00690BB2">
            <w:pPr>
              <w:tabs>
                <w:tab w:val="left" w:pos="208"/>
              </w:tabs>
              <w:contextualSpacing/>
              <w:jc w:val="both"/>
              <w:rPr>
                <w:rFonts w:asciiTheme="minorHAnsi" w:hAnsiTheme="minorHAnsi" w:cstheme="minorHAnsi"/>
                <w:b/>
                <w:bCs/>
                <w:sz w:val="21"/>
                <w:szCs w:val="21"/>
              </w:rPr>
            </w:pPr>
            <w:r w:rsidRPr="0046297E">
              <w:rPr>
                <w:rFonts w:asciiTheme="minorHAnsi" w:hAnsiTheme="minorHAnsi" w:cstheme="minorHAnsi"/>
                <w:b/>
                <w:bCs/>
                <w:sz w:val="21"/>
                <w:szCs w:val="21"/>
              </w:rPr>
              <w:t>Kartu su pasiūlymu pateikiama:</w:t>
            </w:r>
          </w:p>
          <w:p w14:paraId="1008CEE9" w14:textId="75E2AB3C" w:rsidR="00690BB2" w:rsidRPr="005A58DD" w:rsidRDefault="00690BB2" w:rsidP="00690BB2">
            <w:pPr>
              <w:numPr>
                <w:ilvl w:val="0"/>
                <w:numId w:val="3"/>
              </w:numPr>
              <w:tabs>
                <w:tab w:val="left" w:pos="208"/>
              </w:tabs>
              <w:ind w:left="-75" w:firstLine="75"/>
              <w:contextualSpacing/>
              <w:jc w:val="both"/>
              <w:rPr>
                <w:rFonts w:asciiTheme="minorHAnsi" w:hAnsiTheme="minorHAnsi" w:cstheme="minorHAnsi"/>
                <w:sz w:val="21"/>
                <w:szCs w:val="21"/>
              </w:rPr>
            </w:pPr>
            <w:r w:rsidRPr="005A58DD">
              <w:rPr>
                <w:rFonts w:asciiTheme="minorHAnsi" w:hAnsiTheme="minorHAnsi" w:cstheme="minorHAnsi"/>
                <w:color w:val="000000"/>
                <w:sz w:val="21"/>
                <w:szCs w:val="21"/>
              </w:rPr>
              <w:t xml:space="preserve"> Siūlomų specialistų sąrašas (</w:t>
            </w:r>
            <w:r w:rsidRPr="00E92EA2">
              <w:rPr>
                <w:rFonts w:asciiTheme="minorHAnsi" w:hAnsiTheme="minorHAnsi" w:cstheme="minorHAnsi"/>
                <w:b/>
                <w:bCs/>
                <w:color w:val="000000"/>
                <w:sz w:val="21"/>
                <w:szCs w:val="21"/>
                <w:u w:val="single"/>
              </w:rPr>
              <w:t xml:space="preserve">pirkimo sąlygų </w:t>
            </w:r>
            <w:r w:rsidR="009C4683">
              <w:rPr>
                <w:rFonts w:asciiTheme="minorHAnsi" w:hAnsiTheme="minorHAnsi" w:cstheme="minorHAnsi"/>
                <w:b/>
                <w:bCs/>
                <w:sz w:val="21"/>
                <w:szCs w:val="21"/>
                <w:u w:val="single"/>
              </w:rPr>
              <w:t>9</w:t>
            </w:r>
            <w:r w:rsidRPr="00E92EA2">
              <w:rPr>
                <w:rFonts w:asciiTheme="minorHAnsi" w:hAnsiTheme="minorHAnsi" w:cstheme="minorHAnsi"/>
                <w:b/>
                <w:bCs/>
                <w:sz w:val="21"/>
                <w:szCs w:val="21"/>
                <w:u w:val="single"/>
              </w:rPr>
              <w:t> priedas</w:t>
            </w:r>
            <w:r w:rsidRPr="005A58DD">
              <w:rPr>
                <w:rFonts w:asciiTheme="minorHAnsi" w:hAnsiTheme="minorHAnsi" w:cstheme="minorHAnsi"/>
                <w:sz w:val="21"/>
                <w:szCs w:val="21"/>
              </w:rPr>
              <w:t>);</w:t>
            </w:r>
          </w:p>
          <w:p w14:paraId="3CF67698" w14:textId="77777777" w:rsidR="00690BB2" w:rsidRPr="005A58DD" w:rsidRDefault="00690BB2" w:rsidP="00690BB2">
            <w:pPr>
              <w:numPr>
                <w:ilvl w:val="0"/>
                <w:numId w:val="3"/>
              </w:numPr>
              <w:tabs>
                <w:tab w:val="left" w:pos="208"/>
              </w:tabs>
              <w:ind w:left="-75" w:firstLine="75"/>
              <w:contextualSpacing/>
              <w:jc w:val="both"/>
              <w:rPr>
                <w:rFonts w:asciiTheme="minorHAnsi" w:hAnsiTheme="minorHAnsi" w:cstheme="minorHAnsi"/>
                <w:sz w:val="21"/>
                <w:szCs w:val="21"/>
              </w:rPr>
            </w:pPr>
            <w:r w:rsidRPr="005A58DD">
              <w:rPr>
                <w:rFonts w:asciiTheme="minorHAnsi" w:hAnsiTheme="minorHAnsi" w:cstheme="minorHAnsi"/>
                <w:sz w:val="21"/>
                <w:szCs w:val="21"/>
              </w:rPr>
              <w:t xml:space="preserve">  Siūlomų specialistų reikalaujamą kvalifikaciją įrodančių atestatų kopijos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563076AA" w14:textId="77777777" w:rsidR="00690BB2" w:rsidRPr="005A58DD" w:rsidRDefault="00690BB2" w:rsidP="00690BB2">
            <w:pPr>
              <w:autoSpaceDE w:val="0"/>
              <w:autoSpaceDN w:val="0"/>
              <w:adjustRightInd w:val="0"/>
              <w:jc w:val="both"/>
              <w:rPr>
                <w:rFonts w:asciiTheme="minorHAnsi" w:hAnsiTheme="minorHAnsi" w:cstheme="minorHAnsi"/>
                <w:color w:val="FF0000"/>
                <w:sz w:val="21"/>
                <w:szCs w:val="21"/>
                <w:lang w:eastAsia="zh-CN"/>
              </w:rPr>
            </w:pPr>
          </w:p>
          <w:p w14:paraId="1C45429C" w14:textId="77777777" w:rsidR="00690BB2" w:rsidRPr="005A58DD" w:rsidRDefault="00690BB2" w:rsidP="00690BB2">
            <w:pPr>
              <w:ind w:left="33"/>
              <w:contextualSpacing/>
              <w:jc w:val="both"/>
              <w:rPr>
                <w:rFonts w:asciiTheme="minorHAnsi" w:hAnsiTheme="minorHAnsi" w:cstheme="minorHAnsi"/>
                <w:i/>
                <w:iCs/>
                <w:sz w:val="21"/>
                <w:szCs w:val="21"/>
              </w:rPr>
            </w:pPr>
            <w:r w:rsidRPr="005A58DD">
              <w:rPr>
                <w:rFonts w:asciiTheme="minorHAnsi" w:hAnsiTheme="minorHAnsi" w:cstheme="minorHAnsi"/>
                <w:b/>
                <w:bCs/>
                <w:i/>
                <w:iCs/>
                <w:sz w:val="21"/>
                <w:szCs w:val="21"/>
              </w:rPr>
              <w:t>*  Užsienio šalių specialistai</w:t>
            </w:r>
            <w:r w:rsidRPr="005A58DD">
              <w:rPr>
                <w:rFonts w:asciiTheme="minorHAnsi" w:hAnsiTheme="minorHAnsi" w:cstheme="minorHAnsi"/>
                <w:i/>
                <w:iCs/>
                <w:sz w:val="21"/>
                <w:szCs w:val="21"/>
              </w:rPr>
              <w:t xml:space="preserve"> – Europos Sąjungos valstybės narės, Šveicarijos Konfederacijos arba valstybės, pasirašiusios Europos ekonominės erdvės sutartį, piliečiai ir kiti fiziniai asmenys, kurie naudojasi Europos Sąjungos teisės aktuose jiems suteiktomis </w:t>
            </w:r>
            <w:r w:rsidRPr="005A58DD">
              <w:rPr>
                <w:rFonts w:asciiTheme="minorHAnsi" w:hAnsiTheme="minorHAnsi" w:cstheme="minorHAnsi"/>
                <w:i/>
                <w:iCs/>
                <w:sz w:val="21"/>
                <w:szCs w:val="21"/>
              </w:rPr>
              <w:lastRenderedPageBreak/>
              <w:t xml:space="preserve">judėjimo valstybėse narėse teisėmis; </w:t>
            </w:r>
          </w:p>
          <w:p w14:paraId="28190EE6" w14:textId="77777777" w:rsidR="00690BB2" w:rsidRPr="005A58DD" w:rsidRDefault="00690BB2" w:rsidP="00690BB2">
            <w:pPr>
              <w:ind w:left="33"/>
              <w:contextualSpacing/>
              <w:jc w:val="both"/>
              <w:rPr>
                <w:rFonts w:asciiTheme="minorHAnsi" w:hAnsiTheme="minorHAnsi" w:cstheme="minorHAnsi"/>
                <w:i/>
                <w:iCs/>
                <w:sz w:val="21"/>
                <w:szCs w:val="21"/>
              </w:rPr>
            </w:pPr>
            <w:r w:rsidRPr="005A58DD">
              <w:rPr>
                <w:rFonts w:asciiTheme="minorHAnsi" w:hAnsiTheme="minorHAnsi" w:cstheme="minorHAnsi"/>
                <w:i/>
                <w:iCs/>
                <w:sz w:val="21"/>
                <w:szCs w:val="21"/>
              </w:rPr>
              <w:t>- užsienio šalių specialistai turi gauti ir Perkančiajai organizacijai pateikti  Vyriausybės įgaliotos institucijos išduotą teisės pripažinimo dokumentą, patvirtinantį teisę eiti reikalaujamas pareigas, iki Sutarties pasirašymo;</w:t>
            </w:r>
          </w:p>
          <w:p w14:paraId="645D582E" w14:textId="400CE390" w:rsidR="00690BB2" w:rsidRPr="005A58DD" w:rsidRDefault="00690BB2" w:rsidP="00690BB2">
            <w:pPr>
              <w:ind w:left="33"/>
              <w:contextualSpacing/>
              <w:jc w:val="both"/>
              <w:rPr>
                <w:rFonts w:asciiTheme="minorHAnsi" w:hAnsiTheme="minorHAnsi" w:cstheme="minorHAnsi"/>
                <w:i/>
                <w:iCs/>
                <w:sz w:val="21"/>
                <w:szCs w:val="21"/>
              </w:rPr>
            </w:pPr>
            <w:r w:rsidRPr="005A58DD">
              <w:rPr>
                <w:rFonts w:asciiTheme="minorHAnsi" w:hAnsiTheme="minorHAnsi" w:cstheme="minorHAnsi"/>
                <w:i/>
                <w:iCs/>
                <w:sz w:val="21"/>
                <w:szCs w:val="21"/>
              </w:rPr>
              <w:t>- trečiųjų šalių fiziniai asmenys atestuojami tokia pačia tvarka kaip ir Lietuvos Respublikos fiziniai asmenys</w:t>
            </w:r>
            <w:r w:rsidR="00CB0D9D">
              <w:rPr>
                <w:rFonts w:asciiTheme="minorHAnsi" w:hAnsiTheme="minorHAnsi" w:cstheme="minorHAnsi"/>
                <w:i/>
                <w:iCs/>
                <w:sz w:val="21"/>
                <w:szCs w:val="21"/>
              </w:rPr>
              <w:t>.</w:t>
            </w:r>
          </w:p>
          <w:p w14:paraId="7ACA52FD" w14:textId="77777777" w:rsidR="00690BB2" w:rsidRPr="005A58DD" w:rsidRDefault="00690BB2" w:rsidP="00690BB2">
            <w:pPr>
              <w:widowControl w:val="0"/>
              <w:tabs>
                <w:tab w:val="left" w:pos="316"/>
              </w:tabs>
              <w:jc w:val="both"/>
              <w:rPr>
                <w:rFonts w:asciiTheme="minorHAnsi" w:hAnsiTheme="minorHAnsi" w:cstheme="minorHAnsi"/>
                <w:i/>
                <w:iCs/>
                <w:sz w:val="21"/>
                <w:szCs w:val="21"/>
              </w:rPr>
            </w:pPr>
          </w:p>
          <w:p w14:paraId="3EDE9F48" w14:textId="77777777" w:rsidR="00690BB2" w:rsidRPr="005A58DD" w:rsidRDefault="00690BB2" w:rsidP="00690BB2">
            <w:pPr>
              <w:ind w:left="33"/>
              <w:contextualSpacing/>
              <w:jc w:val="both"/>
              <w:rPr>
                <w:rFonts w:asciiTheme="minorHAnsi" w:hAnsiTheme="minorHAnsi" w:cstheme="minorHAnsi"/>
                <w:i/>
                <w:iCs/>
                <w:sz w:val="21"/>
                <w:szCs w:val="21"/>
              </w:rPr>
            </w:pPr>
            <w:r w:rsidRPr="005A58DD">
              <w:rPr>
                <w:rFonts w:asciiTheme="minorHAnsi" w:hAnsiTheme="minorHAnsi" w:cstheme="minorHAnsi"/>
                <w:i/>
                <w:iCs/>
                <w:sz w:val="21"/>
                <w:szCs w:val="21"/>
                <w:u w:val="single"/>
              </w:rPr>
              <w:t xml:space="preserve">Pateikiami skenuoti dokumentai elektronine forma, ar pasirašyti el. parašu, ar </w:t>
            </w:r>
            <w:r w:rsidRPr="005A58DD">
              <w:rPr>
                <w:rFonts w:asciiTheme="minorHAnsi" w:hAnsiTheme="minorHAnsi" w:cstheme="minorHAnsi"/>
                <w:i/>
                <w:sz w:val="21"/>
                <w:szCs w:val="21"/>
                <w:u w:val="single"/>
              </w:rPr>
              <w:t>nuoroda į nacionalines duomenų bazes bet kurioje valstybės narėje, prie kurių Perkančioji organizacija turės galimybę tiesiogiai ir neatlygintinai prisijungti ir susipažinti su reikalaujamais dokumentais ir (ar) informacija.</w:t>
            </w:r>
          </w:p>
          <w:p w14:paraId="7D91723B" w14:textId="77777777" w:rsidR="00690BB2" w:rsidRPr="005A58DD" w:rsidRDefault="00690BB2" w:rsidP="00690BB2">
            <w:pPr>
              <w:autoSpaceDE w:val="0"/>
              <w:autoSpaceDN w:val="0"/>
              <w:adjustRightInd w:val="0"/>
              <w:jc w:val="both"/>
              <w:rPr>
                <w:rFonts w:asciiTheme="minorHAnsi" w:eastAsia="SimSun" w:hAnsiTheme="minorHAnsi" w:cstheme="minorHAnsi"/>
                <w:color w:val="000000"/>
                <w:sz w:val="21"/>
                <w:szCs w:val="21"/>
                <w:lang w:eastAsia="zh-CN"/>
              </w:rPr>
            </w:pPr>
          </w:p>
        </w:tc>
        <w:tc>
          <w:tcPr>
            <w:tcW w:w="1673" w:type="pct"/>
            <w:tcBorders>
              <w:top w:val="single" w:sz="4" w:space="0" w:color="000000"/>
              <w:left w:val="single" w:sz="4" w:space="0" w:color="auto"/>
              <w:bottom w:val="single" w:sz="4" w:space="0" w:color="000000"/>
              <w:right w:val="single" w:sz="4" w:space="0" w:color="000000"/>
            </w:tcBorders>
          </w:tcPr>
          <w:p w14:paraId="4FD842E9" w14:textId="77777777" w:rsidR="00690BB2" w:rsidRPr="005A58DD" w:rsidRDefault="00690BB2" w:rsidP="00690BB2">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lastRenderedPageBreak/>
              <w:t>Tiekėjas.</w:t>
            </w:r>
          </w:p>
          <w:p w14:paraId="368BB9B0" w14:textId="77777777" w:rsidR="00690BB2" w:rsidRPr="005A58DD" w:rsidRDefault="00690BB2" w:rsidP="00690BB2">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 xml:space="preserve">Jeigu pasiūlymą teikia ūkio subjektų grupė – reikalavimą turi atitikti ūkio subjektų grupės nario (-ių) specialistai, atsižvelgiant į jų prisiimamus įsipareigojimus pirkimo sutarčiai vykdyti. </w:t>
            </w:r>
          </w:p>
          <w:p w14:paraId="295F74FF" w14:textId="77777777" w:rsidR="00690BB2" w:rsidRPr="005A58DD" w:rsidRDefault="00690BB2" w:rsidP="00690BB2">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Tiekėjas gali remtis kitų ūkio subjektų pajėgumais tik tuo atveju, jeigu tie subjektai (jų darbuotojai) patys vykdys tą pirkimo sutarties dalį, kuriai reikia jų turimų pajėgumų.</w:t>
            </w:r>
          </w:p>
          <w:p w14:paraId="4E182F3B" w14:textId="77777777" w:rsidR="00690BB2" w:rsidRPr="005A58DD" w:rsidRDefault="00690BB2" w:rsidP="00690BB2">
            <w:pPr>
              <w:tabs>
                <w:tab w:val="left" w:pos="208"/>
              </w:tabs>
              <w:contextualSpacing/>
              <w:jc w:val="both"/>
              <w:rPr>
                <w:rFonts w:asciiTheme="minorHAnsi" w:hAnsiTheme="minorHAnsi" w:cstheme="minorHAnsi"/>
                <w:sz w:val="21"/>
                <w:szCs w:val="21"/>
              </w:rPr>
            </w:pPr>
          </w:p>
          <w:p w14:paraId="10D8C70C" w14:textId="77777777" w:rsidR="00690BB2" w:rsidRPr="005A58DD" w:rsidRDefault="00690BB2" w:rsidP="00690BB2">
            <w:pPr>
              <w:tabs>
                <w:tab w:val="left" w:pos="208"/>
              </w:tabs>
              <w:contextualSpacing/>
              <w:jc w:val="both"/>
              <w:rPr>
                <w:rFonts w:asciiTheme="minorHAnsi" w:hAnsiTheme="minorHAnsi" w:cstheme="minorHAnsi"/>
                <w:sz w:val="21"/>
                <w:szCs w:val="21"/>
              </w:rPr>
            </w:pPr>
            <w:r w:rsidRPr="005A58DD">
              <w:rPr>
                <w:rFonts w:asciiTheme="minorHAnsi" w:hAnsiTheme="minorHAnsi" w:cstheme="minorHAnsi"/>
                <w:sz w:val="21"/>
                <w:szCs w:val="2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758DE50" w14:textId="77777777" w:rsidR="00690BB2" w:rsidRPr="005A58DD" w:rsidRDefault="00690BB2" w:rsidP="00690BB2">
            <w:pPr>
              <w:tabs>
                <w:tab w:val="left" w:pos="208"/>
              </w:tabs>
              <w:contextualSpacing/>
              <w:jc w:val="both"/>
              <w:rPr>
                <w:rFonts w:asciiTheme="minorHAnsi" w:hAnsiTheme="minorHAnsi" w:cstheme="minorHAnsi"/>
                <w:sz w:val="21"/>
                <w:szCs w:val="21"/>
              </w:rPr>
            </w:pPr>
          </w:p>
          <w:p w14:paraId="5755A3CA" w14:textId="77777777" w:rsidR="00690BB2" w:rsidRPr="005A58DD" w:rsidRDefault="00690BB2" w:rsidP="00690BB2">
            <w:pPr>
              <w:tabs>
                <w:tab w:val="left" w:pos="208"/>
              </w:tabs>
              <w:contextualSpacing/>
              <w:jc w:val="both"/>
              <w:rPr>
                <w:rFonts w:asciiTheme="minorHAnsi" w:hAnsiTheme="minorHAnsi" w:cstheme="minorHAnsi"/>
                <w:sz w:val="21"/>
                <w:szCs w:val="21"/>
              </w:rPr>
            </w:pPr>
          </w:p>
        </w:tc>
      </w:tr>
    </w:tbl>
    <w:p w14:paraId="517BD922" w14:textId="01F433A1" w:rsidR="00CB0D9D" w:rsidRDefault="00CB0D9D"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Pr>
          <w:rFonts w:cstheme="minorHAnsi"/>
          <w:sz w:val="21"/>
          <w:szCs w:val="21"/>
        </w:rPr>
        <w:t>J</w:t>
      </w:r>
      <w:r w:rsidRPr="00CB0D9D">
        <w:rPr>
          <w:rFonts w:cstheme="minorHAnsi"/>
          <w:sz w:val="21"/>
          <w:szCs w:val="21"/>
        </w:rPr>
        <w:t>eigu kvalifikacijos atestatų, pažymėjimų galiojimo laikotarpis pasibaigtų sutarčiai nepasibaigus, jie turi būti pratęsti ir galioti visą Sutarties įgyvendinimo laikotarpį</w:t>
      </w:r>
      <w:r>
        <w:rPr>
          <w:rFonts w:cstheme="minorHAnsi"/>
          <w:sz w:val="21"/>
          <w:szCs w:val="21"/>
        </w:rPr>
        <w:t>.</w:t>
      </w:r>
    </w:p>
    <w:p w14:paraId="4943D680" w14:textId="4222F0C7" w:rsidR="000757BF" w:rsidRPr="005A58DD"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5A58DD">
        <w:rPr>
          <w:rFonts w:cstheme="minorHAnsi"/>
          <w:sz w:val="21"/>
          <w:szCs w:val="21"/>
        </w:rPr>
        <w:t>Jeigu tiekėjo kvalifikacija dėl teisės verstis atitinkama veikla nebuvo tikrinama arba tikrinama ne visa apimtimi, tiekėjas perkančiajai organizacijai įsipareigoja, kad pirkimo sutartį vykdys tik tokią teisę turintys asmenys.</w:t>
      </w:r>
    </w:p>
    <w:p w14:paraId="4A88BD59" w14:textId="4B65146E" w:rsidR="000757BF" w:rsidRPr="005A58DD"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5A58DD">
        <w:rPr>
          <w:rFonts w:cstheme="minorHAnsi"/>
          <w:sz w:val="21"/>
          <w:szCs w:val="21"/>
        </w:rPr>
        <w:t xml:space="preserve">Tiekėjas gali pasitelkti pirkimo sutarčiai įvykdyti kitus ūkio subjektus ir/ar subteikėjus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6 priedas). </w:t>
      </w:r>
    </w:p>
    <w:p w14:paraId="7AD4D8CB" w14:textId="77777777" w:rsidR="000757BF" w:rsidRPr="005A58DD"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5A58DD">
        <w:rPr>
          <w:rFonts w:cstheme="minorHAnsi"/>
          <w:sz w:val="21"/>
          <w:szCs w:val="21"/>
        </w:rPr>
        <w:t xml:space="preserve">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Pr="005A58DD">
        <w:rPr>
          <w:rFonts w:cstheme="minorHAnsi"/>
          <w:sz w:val="21"/>
          <w:szCs w:val="21"/>
        </w:rPr>
        <w:lastRenderedPageBreak/>
        <w:t>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28DDF4D" w14:textId="77777777" w:rsidR="000757BF" w:rsidRPr="005A58DD" w:rsidRDefault="000757BF" w:rsidP="000757BF">
      <w:pPr>
        <w:pStyle w:val="Sraopastraipa"/>
        <w:numPr>
          <w:ilvl w:val="0"/>
          <w:numId w:val="1"/>
        </w:numPr>
        <w:tabs>
          <w:tab w:val="left" w:pos="709"/>
          <w:tab w:val="left" w:pos="851"/>
        </w:tabs>
        <w:spacing w:before="120" w:after="0" w:line="240" w:lineRule="auto"/>
        <w:ind w:left="0" w:firstLine="0"/>
        <w:contextualSpacing w:val="0"/>
        <w:jc w:val="both"/>
        <w:rPr>
          <w:rFonts w:cstheme="minorHAnsi"/>
          <w:sz w:val="21"/>
          <w:szCs w:val="21"/>
        </w:rPr>
      </w:pPr>
      <w:r w:rsidRPr="005A58DD">
        <w:rPr>
          <w:rFonts w:cstheme="minorHAnsi"/>
          <w:sz w:val="21"/>
          <w:szCs w:val="21"/>
        </w:rPr>
        <w:t>Tiekėjai turi atitikti šiame priede nustatytus reikalavimus dėl aplinkos apsaugos vadybos sistemos standartų laikymosi: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76"/>
        <w:gridCol w:w="2693"/>
      </w:tblGrid>
      <w:tr w:rsidR="000757BF" w:rsidRPr="005A58DD" w14:paraId="0F82744F" w14:textId="77777777" w:rsidTr="001A3A07">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7B0B" w14:textId="77777777" w:rsidR="000757BF" w:rsidRPr="005A58DD" w:rsidRDefault="000757BF" w:rsidP="00DE6E65">
            <w:pPr>
              <w:pBdr>
                <w:top w:val="nil"/>
                <w:left w:val="nil"/>
                <w:bottom w:val="nil"/>
                <w:right w:val="nil"/>
                <w:between w:val="nil"/>
                <w:bar w:val="nil"/>
              </w:pBdr>
              <w:spacing w:after="0" w:line="240" w:lineRule="auto"/>
              <w:ind w:left="-851" w:firstLine="851"/>
              <w:jc w:val="center"/>
              <w:rPr>
                <w:rFonts w:eastAsia="Arial Unicode MS" w:cstheme="minorHAnsi"/>
                <w:b/>
                <w:sz w:val="21"/>
                <w:szCs w:val="21"/>
                <w:bdr w:val="nil"/>
              </w:rPr>
            </w:pPr>
            <w:r w:rsidRPr="005A58DD">
              <w:rPr>
                <w:rFonts w:eastAsia="Arial Unicode MS" w:cstheme="minorHAnsi"/>
                <w:b/>
                <w:sz w:val="21"/>
                <w:szCs w:val="21"/>
                <w:bdr w:val="nil"/>
              </w:rPr>
              <w:t>Eil.</w:t>
            </w:r>
          </w:p>
          <w:p w14:paraId="04C92852" w14:textId="77777777" w:rsidR="000757BF" w:rsidRPr="005A58DD" w:rsidRDefault="000757BF" w:rsidP="00DE6E65">
            <w:pPr>
              <w:pBdr>
                <w:top w:val="nil"/>
                <w:left w:val="nil"/>
                <w:bottom w:val="nil"/>
                <w:right w:val="nil"/>
                <w:between w:val="nil"/>
                <w:bar w:val="nil"/>
              </w:pBdr>
              <w:spacing w:after="0" w:line="240" w:lineRule="auto"/>
              <w:jc w:val="center"/>
              <w:rPr>
                <w:rFonts w:eastAsia="Arial Unicode MS" w:cstheme="minorHAnsi"/>
                <w:b/>
                <w:sz w:val="21"/>
                <w:szCs w:val="21"/>
                <w:bdr w:val="nil"/>
              </w:rPr>
            </w:pPr>
            <w:r w:rsidRPr="005A58DD">
              <w:rPr>
                <w:rFonts w:eastAsia="Arial Unicode MS" w:cstheme="minorHAnsi"/>
                <w:b/>
                <w:sz w:val="21"/>
                <w:szCs w:val="21"/>
                <w:bdr w:val="nil"/>
              </w:rPr>
              <w:t>Nr.</w:t>
            </w:r>
          </w:p>
        </w:tc>
        <w:tc>
          <w:tcPr>
            <w:tcW w:w="2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C84AB" w14:textId="77777777" w:rsidR="000757BF" w:rsidRPr="005A58DD" w:rsidRDefault="000757BF" w:rsidP="00DE6E65">
            <w:pPr>
              <w:pBdr>
                <w:top w:val="nil"/>
                <w:left w:val="nil"/>
                <w:bottom w:val="nil"/>
                <w:right w:val="nil"/>
                <w:between w:val="nil"/>
                <w:bar w:val="nil"/>
              </w:pBdr>
              <w:spacing w:after="0" w:line="240" w:lineRule="auto"/>
              <w:jc w:val="center"/>
              <w:rPr>
                <w:rFonts w:eastAsia="Arial Unicode MS" w:cstheme="minorHAnsi"/>
                <w:b/>
                <w:bCs/>
                <w:color w:val="000000"/>
                <w:sz w:val="21"/>
                <w:szCs w:val="21"/>
                <w:bdr w:val="nil"/>
              </w:rPr>
            </w:pPr>
            <w:r w:rsidRPr="005A58DD">
              <w:rPr>
                <w:rFonts w:eastAsia="Arial Unicode MS" w:cstheme="minorHAnsi"/>
                <w:b/>
                <w:sz w:val="21"/>
                <w:szCs w:val="21"/>
                <w:bdr w:val="nil"/>
              </w:rPr>
              <w:t>Reikalavimai</w:t>
            </w:r>
          </w:p>
        </w:tc>
        <w:tc>
          <w:tcPr>
            <w:tcW w:w="3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5469" w14:textId="77777777" w:rsidR="000757BF" w:rsidRPr="005A58DD" w:rsidRDefault="000757BF" w:rsidP="00DE6E65">
            <w:pPr>
              <w:pBdr>
                <w:top w:val="nil"/>
                <w:left w:val="nil"/>
                <w:bottom w:val="nil"/>
                <w:right w:val="nil"/>
                <w:between w:val="nil"/>
                <w:bar w:val="nil"/>
              </w:pBdr>
              <w:spacing w:after="0" w:line="240" w:lineRule="auto"/>
              <w:jc w:val="center"/>
              <w:rPr>
                <w:rFonts w:eastAsia="Arial Unicode MS" w:cstheme="minorHAnsi"/>
                <w:b/>
                <w:bCs/>
                <w:i/>
                <w:iCs/>
                <w:sz w:val="21"/>
                <w:szCs w:val="21"/>
                <w:bdr w:val="nil"/>
              </w:rPr>
            </w:pPr>
            <w:r w:rsidRPr="005A58DD">
              <w:rPr>
                <w:rFonts w:eastAsia="Arial Unicode MS" w:cstheme="minorHAnsi"/>
                <w:b/>
                <w:sz w:val="21"/>
                <w:szCs w:val="21"/>
                <w:bdr w:val="nil"/>
              </w:rPr>
              <w:t>Reikalavimus įrodantys dokumentai</w:t>
            </w:r>
          </w:p>
        </w:tc>
        <w:tc>
          <w:tcPr>
            <w:tcW w:w="2693" w:type="dxa"/>
            <w:tcBorders>
              <w:top w:val="single" w:sz="4" w:space="0" w:color="000000"/>
              <w:left w:val="single" w:sz="4" w:space="0" w:color="000000"/>
              <w:bottom w:val="single" w:sz="4" w:space="0" w:color="000000"/>
              <w:right w:val="single" w:sz="4" w:space="0" w:color="000000"/>
            </w:tcBorders>
          </w:tcPr>
          <w:p w14:paraId="1E251424" w14:textId="77777777" w:rsidR="000757BF" w:rsidRPr="005A58DD" w:rsidRDefault="000757BF" w:rsidP="00DE6E65">
            <w:pPr>
              <w:pBdr>
                <w:top w:val="nil"/>
                <w:left w:val="nil"/>
                <w:bottom w:val="nil"/>
                <w:right w:val="nil"/>
                <w:between w:val="nil"/>
                <w:bar w:val="nil"/>
              </w:pBdr>
              <w:spacing w:after="0" w:line="240" w:lineRule="auto"/>
              <w:jc w:val="center"/>
              <w:rPr>
                <w:rFonts w:eastAsia="Arial Unicode MS" w:cstheme="minorHAnsi"/>
                <w:b/>
                <w:sz w:val="21"/>
                <w:szCs w:val="21"/>
                <w:bdr w:val="nil"/>
              </w:rPr>
            </w:pPr>
            <w:r w:rsidRPr="005A58DD">
              <w:rPr>
                <w:rFonts w:eastAsia="Arial Unicode MS" w:cstheme="minorHAnsi"/>
                <w:b/>
                <w:sz w:val="21"/>
                <w:szCs w:val="21"/>
                <w:bdr w:val="nil"/>
              </w:rPr>
              <w:t>Subjektas, kuris turi atitikti reikalavimą</w:t>
            </w:r>
          </w:p>
        </w:tc>
      </w:tr>
      <w:tr w:rsidR="009F4E4E" w:rsidRPr="005A58DD" w14:paraId="75F65412" w14:textId="77777777" w:rsidTr="001A3A0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AB4BC44" w14:textId="251371E8" w:rsidR="009F4E4E" w:rsidRPr="005A58DD" w:rsidRDefault="009F4E4E" w:rsidP="009F4E4E">
            <w:pPr>
              <w:pBdr>
                <w:top w:val="nil"/>
                <w:left w:val="nil"/>
                <w:bottom w:val="nil"/>
                <w:right w:val="nil"/>
                <w:between w:val="nil"/>
                <w:bar w:val="nil"/>
              </w:pBdr>
              <w:spacing w:after="0" w:line="240" w:lineRule="auto"/>
              <w:jc w:val="center"/>
              <w:rPr>
                <w:rFonts w:eastAsia="Arial Unicode MS" w:cstheme="minorHAnsi"/>
                <w:sz w:val="21"/>
                <w:szCs w:val="21"/>
                <w:bdr w:val="nil"/>
              </w:rPr>
            </w:pPr>
            <w:r w:rsidRPr="005A58DD">
              <w:rPr>
                <w:rFonts w:eastAsia="Arial Unicode MS" w:cstheme="minorHAnsi"/>
                <w:sz w:val="21"/>
                <w:szCs w:val="21"/>
                <w:bdr w:val="nil"/>
              </w:rPr>
              <w:t>1.</w:t>
            </w:r>
          </w:p>
        </w:tc>
        <w:tc>
          <w:tcPr>
            <w:tcW w:w="2732" w:type="dxa"/>
            <w:tcBorders>
              <w:top w:val="single" w:sz="4" w:space="0" w:color="000000"/>
              <w:left w:val="single" w:sz="4" w:space="0" w:color="000000"/>
              <w:bottom w:val="single" w:sz="4" w:space="0" w:color="000000"/>
              <w:right w:val="single" w:sz="4" w:space="0" w:color="000000"/>
            </w:tcBorders>
            <w:shd w:val="clear" w:color="auto" w:fill="auto"/>
          </w:tcPr>
          <w:p w14:paraId="22A72DB5" w14:textId="4D1074A8" w:rsidR="009F4E4E" w:rsidRPr="005A58DD"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5A58DD">
              <w:rPr>
                <w:rFonts w:eastAsia="Arial Unicode MS" w:cstheme="minorHAnsi"/>
                <w:sz w:val="21"/>
                <w:szCs w:val="21"/>
                <w:bdr w:val="nil"/>
              </w:rPr>
              <w:t>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676" w:type="dxa"/>
            <w:tcBorders>
              <w:top w:val="single" w:sz="4" w:space="0" w:color="000000"/>
              <w:left w:val="single" w:sz="4" w:space="0" w:color="000000"/>
              <w:bottom w:val="single" w:sz="4" w:space="0" w:color="000000"/>
              <w:right w:val="single" w:sz="4" w:space="0" w:color="000000"/>
            </w:tcBorders>
            <w:shd w:val="clear" w:color="auto" w:fill="auto"/>
          </w:tcPr>
          <w:p w14:paraId="50F5B8BC" w14:textId="77777777" w:rsidR="009F4E4E" w:rsidRDefault="009F4E4E" w:rsidP="009F4E4E">
            <w:pPr>
              <w:autoSpaceDE w:val="0"/>
              <w:autoSpaceDN w:val="0"/>
              <w:adjustRightInd w:val="0"/>
              <w:jc w:val="both"/>
              <w:rPr>
                <w:rFonts w:cstheme="minorHAnsi"/>
              </w:rPr>
            </w:pPr>
            <w:r w:rsidRPr="00FD2CAF">
              <w:rPr>
                <w:rFonts w:cstheme="minorHAnsi"/>
              </w:rPr>
              <w:t xml:space="preserve">Pateikiama su pasiūlymu: </w:t>
            </w:r>
          </w:p>
          <w:p w14:paraId="7DBCDFEE" w14:textId="77777777" w:rsidR="009F4E4E" w:rsidRPr="00830090" w:rsidRDefault="009F4E4E" w:rsidP="009F4E4E">
            <w:pPr>
              <w:autoSpaceDE w:val="0"/>
              <w:autoSpaceDN w:val="0"/>
              <w:adjustRightInd w:val="0"/>
              <w:jc w:val="both"/>
              <w:rPr>
                <w:rFonts w:cstheme="minorHAnsi"/>
                <w:color w:val="000000"/>
                <w:sz w:val="21"/>
                <w:szCs w:val="21"/>
              </w:rPr>
            </w:pPr>
            <w:r w:rsidRPr="00830090">
              <w:rPr>
                <w:rFonts w:cstheme="minorHAnsi"/>
                <w:color w:val="000000"/>
                <w:sz w:val="21"/>
                <w:szCs w:val="21"/>
              </w:rPr>
              <w:t xml:space="preserve">Nepriklausomos įstaigos išduoto </w:t>
            </w:r>
            <w:r w:rsidRPr="00830090">
              <w:rPr>
                <w:rFonts w:cstheme="minorHAnsi"/>
                <w:color w:val="000000"/>
                <w:sz w:val="21"/>
                <w:szCs w:val="21"/>
                <w:u w:val="single"/>
              </w:rPr>
              <w:t>galiojančio</w:t>
            </w:r>
            <w:r w:rsidRPr="00830090">
              <w:rPr>
                <w:rFonts w:cstheme="minorHAnsi"/>
                <w:color w:val="000000"/>
                <w:sz w:val="21"/>
                <w:szCs w:val="21"/>
              </w:rPr>
              <w:t xml:space="preserve"> sertifikato, patvirtinančio, kad tiekėjas laikosi reikalaujamos aplinkos apsaugos vadybos sistemos standartų, skaitmeninė kopija.</w:t>
            </w:r>
          </w:p>
          <w:p w14:paraId="51E7B348" w14:textId="77777777" w:rsidR="009F4E4E" w:rsidRDefault="009F4E4E" w:rsidP="009F4E4E">
            <w:pPr>
              <w:autoSpaceDE w:val="0"/>
              <w:autoSpaceDN w:val="0"/>
              <w:adjustRightInd w:val="0"/>
              <w:jc w:val="both"/>
              <w:rPr>
                <w:rFonts w:cstheme="minorHAnsi"/>
                <w:color w:val="000000"/>
                <w:sz w:val="21"/>
                <w:szCs w:val="21"/>
              </w:rPr>
            </w:pPr>
            <w:r w:rsidRPr="00830090">
              <w:rPr>
                <w:rFonts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0D5BAE1" w14:textId="77777777" w:rsidR="009F4E4E" w:rsidRPr="00830090" w:rsidRDefault="009F4E4E" w:rsidP="009F4E4E">
            <w:pPr>
              <w:autoSpaceDE w:val="0"/>
              <w:autoSpaceDN w:val="0"/>
              <w:adjustRightInd w:val="0"/>
              <w:jc w:val="both"/>
              <w:rPr>
                <w:rFonts w:cstheme="minorHAnsi"/>
                <w:color w:val="000000"/>
                <w:sz w:val="21"/>
                <w:szCs w:val="21"/>
              </w:rPr>
            </w:pPr>
            <w:r w:rsidRPr="00830090">
              <w:rPr>
                <w:rFonts w:cstheme="minorHAnsi"/>
                <w:color w:val="000000"/>
                <w:sz w:val="21"/>
                <w:szCs w:val="21"/>
              </w:rPr>
              <w:t xml:space="preserve">Jeigu tiekėjas pats atitinka šį reikalavimą, tačiau pasitelkia </w:t>
            </w:r>
            <w:r w:rsidRPr="00BD0FC2">
              <w:rPr>
                <w:rFonts w:cstheme="minorHAnsi"/>
                <w:color w:val="000000" w:themeColor="text1"/>
                <w:sz w:val="21"/>
                <w:szCs w:val="21"/>
              </w:rPr>
              <w:t xml:space="preserve">subtiekėjus nurodytoms paslaugoms teikti, </w:t>
            </w:r>
            <w:r w:rsidRPr="00830090">
              <w:rPr>
                <w:rFonts w:cstheme="minorHAnsi"/>
                <w:color w:val="000000"/>
                <w:sz w:val="21"/>
                <w:szCs w:val="21"/>
              </w:rPr>
              <w:t>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26F2EE4" w14:textId="77777777" w:rsidR="009F4E4E" w:rsidRPr="00830090" w:rsidRDefault="009F4E4E" w:rsidP="009F4E4E">
            <w:pPr>
              <w:autoSpaceDE w:val="0"/>
              <w:autoSpaceDN w:val="0"/>
              <w:adjustRightInd w:val="0"/>
              <w:jc w:val="both"/>
              <w:rPr>
                <w:rFonts w:cstheme="minorHAnsi"/>
                <w:color w:val="000000"/>
                <w:sz w:val="21"/>
                <w:szCs w:val="21"/>
              </w:rPr>
            </w:pPr>
            <w:r w:rsidRPr="00830090">
              <w:rPr>
                <w:rFonts w:cstheme="minorHAnsi"/>
                <w:sz w:val="21"/>
                <w:szCs w:val="21"/>
              </w:rPr>
              <w:t>Pe</w:t>
            </w:r>
            <w:r w:rsidRPr="00830090">
              <w:rPr>
                <w:rFonts w:cstheme="minorHAnsi"/>
                <w:color w:val="000000"/>
                <w:sz w:val="21"/>
                <w:szCs w:val="21"/>
              </w:rPr>
              <w:t xml:space="preserve">rkančioji organizacija priima ir kitus tiekėjo lygiaverčių aplinkos apsaugos vadybos užtikrinimo priemonių įrodymus, kurie patvirtintų, kad jo siūlomos aplinkos apsaugos vadybos </w:t>
            </w:r>
            <w:r w:rsidRPr="00830090">
              <w:rPr>
                <w:rFonts w:cstheme="minorHAnsi"/>
                <w:color w:val="000000"/>
                <w:sz w:val="21"/>
                <w:szCs w:val="21"/>
              </w:rPr>
              <w:lastRenderedPageBreak/>
              <w:t>užtikrinimo priemonės atitinka reikalaujamus aplinkos apsaugos vadybos sistemos standartus.</w:t>
            </w:r>
          </w:p>
          <w:p w14:paraId="02914AA8" w14:textId="5E66C2E8" w:rsidR="009F4E4E" w:rsidRPr="005A58DD"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830090">
              <w:rPr>
                <w:rFonts w:cstheme="minorHAnsi"/>
                <w:color w:val="000000"/>
                <w:sz w:val="21"/>
                <w:szCs w:val="21"/>
              </w:rPr>
              <w:t xml:space="preserve">Jeigu tiekėjas pats atitinka šį reikalavimą, tačiau </w:t>
            </w:r>
            <w:r w:rsidRPr="00E93BB2">
              <w:rPr>
                <w:rFonts w:cstheme="minorHAnsi"/>
                <w:color w:val="000000" w:themeColor="text1"/>
                <w:sz w:val="21"/>
                <w:szCs w:val="21"/>
              </w:rPr>
              <w:t>pasitelkia subtiekėjus nurodytoms paslaugoms teikti, kurioms yra keliamas šis reikalavimas, pateikiamas</w:t>
            </w:r>
            <w:r w:rsidRPr="00830090">
              <w:rPr>
                <w:rFonts w:cstheme="minorHAnsi"/>
                <w:color w:val="000000"/>
                <w:sz w:val="21"/>
                <w:szCs w:val="21"/>
              </w:rPr>
              <w:t>: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693" w:type="dxa"/>
            <w:tcBorders>
              <w:top w:val="single" w:sz="4" w:space="0" w:color="000000"/>
              <w:left w:val="single" w:sz="4" w:space="0" w:color="000000"/>
              <w:bottom w:val="single" w:sz="4" w:space="0" w:color="000000"/>
              <w:right w:val="single" w:sz="4" w:space="0" w:color="000000"/>
            </w:tcBorders>
          </w:tcPr>
          <w:p w14:paraId="4B23DC1C" w14:textId="77777777" w:rsidR="009F4E4E" w:rsidRPr="005A58DD"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5A58DD">
              <w:rPr>
                <w:rFonts w:eastAsia="Arial Unicode MS" w:cstheme="minorHAnsi"/>
                <w:sz w:val="21"/>
                <w:szCs w:val="21"/>
                <w:bdr w:val="nil"/>
              </w:rPr>
              <w:lastRenderedPageBreak/>
              <w:t xml:space="preserve">Tiekėjas.  </w:t>
            </w:r>
          </w:p>
          <w:p w14:paraId="39BFEF3F" w14:textId="77777777" w:rsidR="009F4E4E" w:rsidRPr="005A58DD"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5A58DD">
              <w:rPr>
                <w:rFonts w:eastAsia="Arial Unicode MS" w:cstheme="minorHAnsi"/>
                <w:sz w:val="21"/>
                <w:szCs w:val="21"/>
                <w:bdr w:val="nil"/>
              </w:rPr>
              <w:t xml:space="preserve">Jeigu pasiūlymą teikia ūkio subjektų grupė – reikalavimą turi atitikti kiekvienas ūkio subjektų grupės narys (-iai), pagal jų prisiimamus įsipareigojimus pirkimo sutarčiai vykdyti. </w:t>
            </w:r>
          </w:p>
          <w:p w14:paraId="134A0BE5" w14:textId="77777777" w:rsidR="009F4E4E" w:rsidRPr="005A58DD"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5A58DD">
              <w:rPr>
                <w:rFonts w:eastAsia="Arial Unicode MS" w:cstheme="minorHAnsi"/>
                <w:sz w:val="21"/>
                <w:szCs w:val="21"/>
                <w:bdr w:val="nil"/>
              </w:rPr>
              <w:t>Tiekėjas gali remtis kitų ūkio subjektų pajėgumais tik tuo atveju, jeigu tie subjektai, kurių pajėgumais buvo pasiremta, patys vykdys tą pirkimo sutarties dalį, kuriai reikia jų turimų pajėgumų.</w:t>
            </w:r>
          </w:p>
          <w:p w14:paraId="1AB71906" w14:textId="77777777" w:rsidR="009F4E4E"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5A58DD">
              <w:rPr>
                <w:rFonts w:eastAsia="Arial Unicode MS" w:cstheme="minorHAnsi"/>
                <w:sz w:val="21"/>
                <w:szCs w:val="21"/>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p w14:paraId="7D47C3EF" w14:textId="77777777" w:rsidR="009F4E4E"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p>
          <w:p w14:paraId="550D2FF9" w14:textId="45348FF9" w:rsidR="009F4E4E" w:rsidRPr="005A58DD" w:rsidRDefault="009F4E4E" w:rsidP="009F4E4E">
            <w:pPr>
              <w:pBdr>
                <w:top w:val="nil"/>
                <w:left w:val="nil"/>
                <w:bottom w:val="nil"/>
                <w:right w:val="nil"/>
                <w:between w:val="nil"/>
                <w:bar w:val="nil"/>
              </w:pBdr>
              <w:spacing w:after="0" w:line="240" w:lineRule="auto"/>
              <w:jc w:val="both"/>
              <w:rPr>
                <w:rFonts w:eastAsia="Arial Unicode MS" w:cstheme="minorHAnsi"/>
                <w:sz w:val="21"/>
                <w:szCs w:val="21"/>
                <w:bdr w:val="nil"/>
              </w:rPr>
            </w:pPr>
            <w:r w:rsidRPr="006D5AF9">
              <w:rPr>
                <w:rFonts w:eastAsia="Calibri" w:cstheme="minorHAnsi"/>
                <w:b/>
                <w:bCs/>
                <w:color w:val="000000"/>
                <w:sz w:val="21"/>
                <w:szCs w:val="21"/>
              </w:rPr>
              <w:t>Pastaba</w:t>
            </w:r>
            <w:r w:rsidRPr="006D5AF9">
              <w:rPr>
                <w:rFonts w:eastAsia="Calibri" w:cstheme="minorHAnsi"/>
                <w:color w:val="000000"/>
                <w:sz w:val="21"/>
                <w:szCs w:val="21"/>
              </w:rPr>
              <w:t>: jeigu tiekėjas pats atitinka šį reikalavimą, tačiau pasitelkia subtiekėjus nurodyt</w:t>
            </w:r>
            <w:r>
              <w:rPr>
                <w:rFonts w:eastAsia="Calibri" w:cstheme="minorHAnsi"/>
                <w:color w:val="000000"/>
                <w:sz w:val="21"/>
                <w:szCs w:val="21"/>
              </w:rPr>
              <w:t xml:space="preserve">oms </w:t>
            </w:r>
            <w:r w:rsidRPr="006D5AF9">
              <w:rPr>
                <w:rFonts w:eastAsia="Calibri" w:cstheme="minorHAnsi"/>
                <w:color w:val="000000"/>
                <w:sz w:val="21"/>
                <w:szCs w:val="21"/>
              </w:rPr>
              <w:t>paslaugoms teikti, kurioms</w:t>
            </w:r>
            <w:r>
              <w:rPr>
                <w:rFonts w:eastAsia="Calibri" w:cstheme="minorHAnsi"/>
                <w:color w:val="000000"/>
                <w:sz w:val="21"/>
                <w:szCs w:val="21"/>
              </w:rPr>
              <w:t xml:space="preserve"> </w:t>
            </w:r>
            <w:r w:rsidRPr="006D5AF9">
              <w:rPr>
                <w:rFonts w:eastAsia="Calibri" w:cstheme="minorHAnsi"/>
                <w:color w:val="000000"/>
                <w:sz w:val="21"/>
                <w:szCs w:val="21"/>
              </w:rPr>
              <w:t>yra nustatomas šis reikalavimas, tokiu atveju subtiekėjai turi laikytis reikalaujamo aplinkos apsaugos vadybos standarto, atsižvelgiant į jų prisiimamus įsipareigojimus pirkimo sutarčiai vykdyti.</w:t>
            </w:r>
          </w:p>
        </w:tc>
      </w:tr>
    </w:tbl>
    <w:p w14:paraId="060436F8" w14:textId="77777777" w:rsidR="000757BF" w:rsidRPr="005A58DD" w:rsidRDefault="000757BF" w:rsidP="000757BF">
      <w:pPr>
        <w:pStyle w:val="Sraopastraipa"/>
        <w:numPr>
          <w:ilvl w:val="0"/>
          <w:numId w:val="1"/>
        </w:numPr>
        <w:tabs>
          <w:tab w:val="left" w:pos="426"/>
          <w:tab w:val="left" w:pos="851"/>
        </w:tabs>
        <w:spacing w:before="120" w:after="0" w:line="240" w:lineRule="auto"/>
        <w:ind w:left="0" w:firstLine="0"/>
        <w:jc w:val="both"/>
        <w:rPr>
          <w:rFonts w:cstheme="minorHAnsi"/>
          <w:sz w:val="21"/>
          <w:szCs w:val="21"/>
        </w:rPr>
      </w:pPr>
      <w:r w:rsidRPr="005A58DD">
        <w:rPr>
          <w:rFonts w:cstheme="minorHAnsi"/>
          <w:sz w:val="21"/>
          <w:szCs w:val="21"/>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p>
    <w:p w14:paraId="59D7CD52" w14:textId="77777777" w:rsidR="00220755" w:rsidRPr="005A58DD" w:rsidRDefault="00220755">
      <w:pPr>
        <w:rPr>
          <w:rFonts w:cstheme="minorHAnsi"/>
          <w:sz w:val="21"/>
          <w:szCs w:val="21"/>
        </w:rPr>
      </w:pPr>
    </w:p>
    <w:sectPr w:rsidR="00220755" w:rsidRPr="005A5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54F3"/>
    <w:multiLevelType w:val="hybridMultilevel"/>
    <w:tmpl w:val="4CBAE1CE"/>
    <w:lvl w:ilvl="0" w:tplc="126889A0">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 w15:restartNumberingAfterBreak="0">
    <w:nsid w:val="5B452FD5"/>
    <w:multiLevelType w:val="hybridMultilevel"/>
    <w:tmpl w:val="333C0E18"/>
    <w:lvl w:ilvl="0" w:tplc="89A021CE">
      <w:start w:val="1"/>
      <w:numFmt w:val="decimal"/>
      <w:lvlText w:val="%1)"/>
      <w:lvlJc w:val="left"/>
      <w:pPr>
        <w:ind w:left="1778"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BF"/>
    <w:rsid w:val="0006658C"/>
    <w:rsid w:val="000757BF"/>
    <w:rsid w:val="000D7022"/>
    <w:rsid w:val="000E71EE"/>
    <w:rsid w:val="00191E3E"/>
    <w:rsid w:val="001A2901"/>
    <w:rsid w:val="001A3A07"/>
    <w:rsid w:val="001D4271"/>
    <w:rsid w:val="001D5CC2"/>
    <w:rsid w:val="001E1D2D"/>
    <w:rsid w:val="001E3DD4"/>
    <w:rsid w:val="001F1EAD"/>
    <w:rsid w:val="001F4AB6"/>
    <w:rsid w:val="001F6E46"/>
    <w:rsid w:val="0021004E"/>
    <w:rsid w:val="00220755"/>
    <w:rsid w:val="002305DB"/>
    <w:rsid w:val="002504E3"/>
    <w:rsid w:val="0030238E"/>
    <w:rsid w:val="003516CE"/>
    <w:rsid w:val="0046297E"/>
    <w:rsid w:val="004844B6"/>
    <w:rsid w:val="00555997"/>
    <w:rsid w:val="005A58DD"/>
    <w:rsid w:val="005D4E6A"/>
    <w:rsid w:val="005E2835"/>
    <w:rsid w:val="00620C6C"/>
    <w:rsid w:val="0063456E"/>
    <w:rsid w:val="00676C0E"/>
    <w:rsid w:val="00690223"/>
    <w:rsid w:val="00690BB2"/>
    <w:rsid w:val="006D732B"/>
    <w:rsid w:val="00743DB6"/>
    <w:rsid w:val="00772EBD"/>
    <w:rsid w:val="007A3D91"/>
    <w:rsid w:val="007B292D"/>
    <w:rsid w:val="00803F26"/>
    <w:rsid w:val="008E1D87"/>
    <w:rsid w:val="00956E32"/>
    <w:rsid w:val="009C4683"/>
    <w:rsid w:val="009F4E4E"/>
    <w:rsid w:val="00A06E3F"/>
    <w:rsid w:val="00A43A50"/>
    <w:rsid w:val="00A611F7"/>
    <w:rsid w:val="00AC5F86"/>
    <w:rsid w:val="00B90C10"/>
    <w:rsid w:val="00B934BF"/>
    <w:rsid w:val="00BB5471"/>
    <w:rsid w:val="00BB79B9"/>
    <w:rsid w:val="00BD1FF0"/>
    <w:rsid w:val="00BF602D"/>
    <w:rsid w:val="00CB0D9D"/>
    <w:rsid w:val="00D67296"/>
    <w:rsid w:val="00D765DE"/>
    <w:rsid w:val="00D941A5"/>
    <w:rsid w:val="00E5183C"/>
    <w:rsid w:val="00E92EA2"/>
    <w:rsid w:val="00EE2C59"/>
    <w:rsid w:val="00F2693A"/>
    <w:rsid w:val="00FB2C6B"/>
    <w:rsid w:val="00FC74F0"/>
    <w:rsid w:val="00FD5396"/>
    <w:rsid w:val="00FF1C16"/>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D2CD"/>
  <w15:chartTrackingRefBased/>
  <w15:docId w15:val="{2435D2F6-252A-42C4-86D8-554A570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7BF"/>
    <w:rPr>
      <w:kern w:val="0"/>
      <w:lang w:val="lt-LT"/>
      <w14:ligatures w14:val="none"/>
    </w:rPr>
  </w:style>
  <w:style w:type="paragraph" w:styleId="Antrat1">
    <w:name w:val="heading 1"/>
    <w:basedOn w:val="prastasis"/>
    <w:next w:val="prastasis"/>
    <w:link w:val="Antrat1Diagrama"/>
    <w:uiPriority w:val="9"/>
    <w:qFormat/>
    <w:rsid w:val="000757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757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757B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757B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757B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757B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57B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57B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57B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57B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57B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57B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57B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57B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57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57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57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57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5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57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57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57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57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57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57BF"/>
    <w:pPr>
      <w:ind w:left="720"/>
      <w:contextualSpacing/>
    </w:pPr>
  </w:style>
  <w:style w:type="character" w:styleId="Rykuspabraukimas">
    <w:name w:val="Intense Emphasis"/>
    <w:basedOn w:val="Numatytasispastraiposriftas"/>
    <w:uiPriority w:val="21"/>
    <w:qFormat/>
    <w:rsid w:val="000757BF"/>
    <w:rPr>
      <w:i/>
      <w:iCs/>
      <w:color w:val="2F5496" w:themeColor="accent1" w:themeShade="BF"/>
    </w:rPr>
  </w:style>
  <w:style w:type="paragraph" w:styleId="Iskirtacitata">
    <w:name w:val="Intense Quote"/>
    <w:basedOn w:val="prastasis"/>
    <w:next w:val="prastasis"/>
    <w:link w:val="IskirtacitataDiagrama"/>
    <w:uiPriority w:val="30"/>
    <w:qFormat/>
    <w:rsid w:val="00075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757BF"/>
    <w:rPr>
      <w:i/>
      <w:iCs/>
      <w:color w:val="2F5496" w:themeColor="accent1" w:themeShade="BF"/>
    </w:rPr>
  </w:style>
  <w:style w:type="character" w:styleId="Rykinuoroda">
    <w:name w:val="Intense Reference"/>
    <w:basedOn w:val="Numatytasispastraiposriftas"/>
    <w:uiPriority w:val="32"/>
    <w:qFormat/>
    <w:rsid w:val="000757BF"/>
    <w:rPr>
      <w:b/>
      <w:bCs/>
      <w:smallCaps/>
      <w:color w:val="2F5496" w:themeColor="accent1" w:themeShade="BF"/>
      <w:spacing w:val="5"/>
    </w:rPr>
  </w:style>
  <w:style w:type="table" w:customStyle="1" w:styleId="TableGrid31">
    <w:name w:val="Table Grid31"/>
    <w:basedOn w:val="prastojilentel"/>
    <w:next w:val="Lentelstinklelis"/>
    <w:uiPriority w:val="39"/>
    <w:rsid w:val="000757B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757BF"/>
    <w:rPr>
      <w:sz w:val="16"/>
      <w:szCs w:val="16"/>
    </w:rPr>
  </w:style>
  <w:style w:type="paragraph" w:styleId="Komentarotekstas">
    <w:name w:val="annotation text"/>
    <w:basedOn w:val="prastasis"/>
    <w:link w:val="KomentarotekstasDiagrama"/>
    <w:uiPriority w:val="99"/>
    <w:unhideWhenUsed/>
    <w:rsid w:val="000757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57BF"/>
    <w:rPr>
      <w:kern w:val="0"/>
      <w:sz w:val="20"/>
      <w:szCs w:val="2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57BF"/>
  </w:style>
  <w:style w:type="table" w:styleId="Lentelstinklelis">
    <w:name w:val="Table Grid"/>
    <w:basedOn w:val="prastojilentel"/>
    <w:uiPriority w:val="39"/>
    <w:rsid w:val="00075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5</Pages>
  <Words>7640</Words>
  <Characters>4355</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Miglė Banevičienė</cp:lastModifiedBy>
  <cp:revision>24</cp:revision>
  <dcterms:created xsi:type="dcterms:W3CDTF">2024-12-11T11:01:00Z</dcterms:created>
  <dcterms:modified xsi:type="dcterms:W3CDTF">2025-02-24T17:05:00Z</dcterms:modified>
</cp:coreProperties>
</file>