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4E8F" w14:textId="14E530E0" w:rsidR="008276DC" w:rsidRPr="008276DC" w:rsidRDefault="008276DC" w:rsidP="001B7ED3">
      <w:pPr>
        <w:keepNext/>
        <w:suppressAutoHyphens/>
        <w:spacing w:after="120" w:line="240" w:lineRule="auto"/>
        <w:jc w:val="right"/>
        <w:outlineLvl w:val="1"/>
        <w:rPr>
          <w:rFonts w:cstheme="minorHAnsi"/>
          <w:bCs/>
        </w:rPr>
      </w:pPr>
      <w:r w:rsidRPr="008276DC">
        <w:rPr>
          <w:rFonts w:cstheme="minorHAnsi"/>
          <w:bCs/>
        </w:rPr>
        <w:t xml:space="preserve">Pirkimo </w:t>
      </w:r>
      <w:r w:rsidR="009F2562">
        <w:rPr>
          <w:rFonts w:cstheme="minorHAnsi"/>
          <w:bCs/>
        </w:rPr>
        <w:t>S</w:t>
      </w:r>
      <w:r w:rsidRPr="008276DC">
        <w:rPr>
          <w:rFonts w:cstheme="minorHAnsi"/>
          <w:bCs/>
        </w:rPr>
        <w:t xml:space="preserve">pecialiųjų sąlygų </w:t>
      </w:r>
      <w:r w:rsidR="004C2AD9">
        <w:rPr>
          <w:rFonts w:cstheme="minorHAnsi"/>
          <w:bCs/>
        </w:rPr>
        <w:t>8</w:t>
      </w:r>
      <w:r w:rsidRPr="007C066E">
        <w:rPr>
          <w:rFonts w:cstheme="minorHAnsi"/>
          <w:bCs/>
        </w:rPr>
        <w:t xml:space="preserve"> </w:t>
      </w:r>
      <w:r w:rsidRPr="008276DC">
        <w:rPr>
          <w:rFonts w:cstheme="minorHAnsi"/>
          <w:bCs/>
        </w:rPr>
        <w:t>priedas</w:t>
      </w:r>
    </w:p>
    <w:p w14:paraId="361CAB36" w14:textId="0DEF93ED" w:rsidR="00D010F4" w:rsidRDefault="00D010F4" w:rsidP="00FF602A">
      <w:pPr>
        <w:keepNext/>
        <w:suppressAutoHyphens/>
        <w:spacing w:after="120" w:line="240" w:lineRule="auto"/>
        <w:jc w:val="center"/>
        <w:outlineLvl w:val="1"/>
        <w:rPr>
          <w:rFonts w:cstheme="minorHAnsi"/>
          <w:b/>
        </w:rPr>
      </w:pPr>
      <w:r w:rsidRPr="00E07E6D">
        <w:rPr>
          <w:rFonts w:cstheme="minorHAnsi"/>
          <w:b/>
        </w:rPr>
        <w:t>Pasiūlymų vertinimo tvarka</w:t>
      </w:r>
    </w:p>
    <w:p w14:paraId="1C6C0808" w14:textId="77777777" w:rsidR="004C2AD9" w:rsidRPr="004C2AD9" w:rsidRDefault="004C2AD9" w:rsidP="00FF602A">
      <w:pPr>
        <w:keepNext/>
        <w:suppressAutoHyphens/>
        <w:spacing w:after="120" w:line="240" w:lineRule="auto"/>
        <w:jc w:val="center"/>
        <w:outlineLvl w:val="1"/>
        <w:rPr>
          <w:rFonts w:cstheme="minorHAnsi"/>
          <w:b/>
        </w:rPr>
      </w:pPr>
    </w:p>
    <w:p w14:paraId="67229D67" w14:textId="77777777" w:rsidR="004C2AD9" w:rsidRPr="004C2AD9" w:rsidRDefault="004C2AD9" w:rsidP="004C2AD9">
      <w:pPr>
        <w:numPr>
          <w:ilvl w:val="0"/>
          <w:numId w:val="1"/>
        </w:numPr>
        <w:tabs>
          <w:tab w:val="left" w:pos="567"/>
          <w:tab w:val="left" w:pos="851"/>
          <w:tab w:val="left" w:pos="993"/>
        </w:tabs>
        <w:spacing w:after="0"/>
        <w:ind w:left="426" w:hanging="426"/>
        <w:contextualSpacing/>
        <w:jc w:val="both"/>
        <w:rPr>
          <w:rFonts w:eastAsia="Aptos" w:cstheme="minorHAnsi"/>
          <w:lang w:eastAsia="en-US"/>
        </w:rPr>
      </w:pPr>
      <w:r w:rsidRPr="004C2AD9">
        <w:rPr>
          <w:rFonts w:eastAsia="Aptos" w:cstheme="minorHAnsi"/>
          <w:lang w:eastAsia="en-US"/>
        </w:rPr>
        <w:t>Šiame pirkimo dokumentų priede pateikiami ekonomiškai naudingiausio pasiūlymo vertinimo kriterijai, lyginamieji svoriai ir maksimalūs balai, formulės, pagal kuriuos bus skaičiuojamas pasiūlymų ekonominis naudingumas.</w:t>
      </w:r>
    </w:p>
    <w:p w14:paraId="35FD7300" w14:textId="77777777" w:rsidR="004C2AD9" w:rsidRPr="004C2AD9" w:rsidRDefault="004C2AD9" w:rsidP="004C2AD9">
      <w:pPr>
        <w:numPr>
          <w:ilvl w:val="0"/>
          <w:numId w:val="1"/>
        </w:numPr>
        <w:tabs>
          <w:tab w:val="left" w:pos="567"/>
          <w:tab w:val="left" w:pos="993"/>
        </w:tabs>
        <w:spacing w:after="0"/>
        <w:ind w:left="426" w:hanging="426"/>
        <w:contextualSpacing/>
        <w:jc w:val="both"/>
        <w:rPr>
          <w:rFonts w:eastAsia="Aptos" w:cstheme="minorHAnsi"/>
          <w:lang w:eastAsia="en-US"/>
        </w:rPr>
      </w:pPr>
      <w:r w:rsidRPr="004C2AD9">
        <w:rPr>
          <w:rFonts w:eastAsia="Aptos" w:cstheme="minorHAnsi"/>
          <w:lang w:eastAsia="en-US"/>
        </w:rPr>
        <w:t xml:space="preserve">Ekonomiškai naudingiausiais pasiūlymas – tai pasiūlymas, kurio balų suma, paskaičiuota pagal žemiau nustatytus pasiūlymo vertinimo kriterijus ir sąlygas, yra didžiausia. Vertinimo kriterijų balai suapvalinami iki dviejų skaitmenų po kablelio. </w:t>
      </w:r>
    </w:p>
    <w:p w14:paraId="5731A722" w14:textId="77777777" w:rsidR="004C2AD9" w:rsidRPr="004C2AD9" w:rsidRDefault="004C2AD9" w:rsidP="004C2AD9">
      <w:pPr>
        <w:numPr>
          <w:ilvl w:val="0"/>
          <w:numId w:val="1"/>
        </w:numPr>
        <w:tabs>
          <w:tab w:val="left" w:pos="567"/>
          <w:tab w:val="left" w:pos="993"/>
        </w:tabs>
        <w:spacing w:after="0"/>
        <w:ind w:left="426" w:hanging="426"/>
        <w:contextualSpacing/>
        <w:jc w:val="both"/>
        <w:rPr>
          <w:rFonts w:eastAsia="Aptos" w:cstheme="minorHAnsi"/>
          <w:lang w:eastAsia="en-US"/>
        </w:rPr>
      </w:pPr>
      <w:r w:rsidRPr="004C2AD9">
        <w:rPr>
          <w:rFonts w:eastAsia="Aptos" w:cstheme="minorHAnsi"/>
          <w:lang w:eastAsia="en-US"/>
        </w:rPr>
        <w:t>Ekonomiškai naudingiausiu pasiūlymu išrenkamas pirkimo dokumentuose nustatytus reikalavimus atitinkantis pasiūlymas, įvertinus ekonominio naudingumo kriterijaus (S) balą. Ekonomiškai naudingiausiu bus pripažįstamas pasiūlymas, surinkęs daugiausiai balų.</w:t>
      </w:r>
    </w:p>
    <w:p w14:paraId="26E59EEA" w14:textId="77777777" w:rsidR="004C2AD9" w:rsidRPr="004C2AD9" w:rsidRDefault="004C2AD9" w:rsidP="004C2AD9">
      <w:pPr>
        <w:numPr>
          <w:ilvl w:val="0"/>
          <w:numId w:val="1"/>
        </w:numPr>
        <w:tabs>
          <w:tab w:val="left" w:pos="567"/>
          <w:tab w:val="left" w:pos="1418"/>
        </w:tabs>
        <w:spacing w:after="0"/>
        <w:contextualSpacing/>
        <w:jc w:val="both"/>
        <w:rPr>
          <w:rFonts w:eastAsia="Aptos" w:cstheme="minorHAnsi"/>
          <w:lang w:eastAsia="en-US"/>
        </w:rPr>
      </w:pPr>
      <w:r w:rsidRPr="004C2AD9">
        <w:rPr>
          <w:rFonts w:eastAsia="Aptos" w:cstheme="minorHAnsi"/>
          <w:lang w:eastAsia="en-US"/>
        </w:rPr>
        <w:t>Tais atvejais, kai kelių dalyvių pasiūlymų balų skaičius yra vienodas, nustatant pasiūlymų eilę, pirmesnis į šią eilę įrašomas dalyvis, kurio pasiūlymas pateiktas anksčiausiai.</w:t>
      </w:r>
    </w:p>
    <w:p w14:paraId="520E4F7F" w14:textId="77777777" w:rsidR="004C2AD9" w:rsidRPr="004C2AD9" w:rsidRDefault="004C2AD9" w:rsidP="004C2AD9">
      <w:pPr>
        <w:numPr>
          <w:ilvl w:val="0"/>
          <w:numId w:val="1"/>
        </w:numPr>
        <w:spacing w:after="0"/>
        <w:contextualSpacing/>
        <w:jc w:val="both"/>
        <w:rPr>
          <w:rFonts w:eastAsia="Aptos" w:cstheme="minorHAnsi"/>
          <w:lang w:eastAsia="en-US"/>
        </w:rPr>
      </w:pPr>
      <w:r w:rsidRPr="004C2AD9">
        <w:rPr>
          <w:rFonts w:eastAsia="Aptos" w:cstheme="minorHAnsi"/>
          <w:lang w:eastAsia="en-US"/>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0A0CA8D6" w14:textId="77777777" w:rsidR="004C2AD9" w:rsidRPr="004C2AD9" w:rsidRDefault="004C2AD9" w:rsidP="004C2AD9">
      <w:pPr>
        <w:numPr>
          <w:ilvl w:val="0"/>
          <w:numId w:val="1"/>
        </w:numPr>
        <w:tabs>
          <w:tab w:val="left" w:pos="567"/>
          <w:tab w:val="left" w:pos="993"/>
        </w:tabs>
        <w:spacing w:after="0"/>
        <w:contextualSpacing/>
        <w:jc w:val="both"/>
        <w:rPr>
          <w:rFonts w:eastAsia="Aptos" w:cstheme="minorHAnsi"/>
          <w:lang w:eastAsia="en-US"/>
        </w:rPr>
      </w:pPr>
      <w:r w:rsidRPr="004C2AD9">
        <w:rPr>
          <w:rFonts w:eastAsia="Aptos" w:cstheme="minorHAnsi"/>
          <w:lang w:eastAsia="en-US"/>
        </w:rPr>
        <w:t>Pirkėjo neatmesti pasiūlymai vertinami pagal šiuos kriterijus:</w:t>
      </w:r>
    </w:p>
    <w:p w14:paraId="07AAEACA" w14:textId="77777777" w:rsidR="004C2AD9" w:rsidRPr="004C2AD9" w:rsidRDefault="004C2AD9" w:rsidP="004C2AD9">
      <w:pPr>
        <w:tabs>
          <w:tab w:val="left" w:pos="567"/>
          <w:tab w:val="left" w:pos="993"/>
        </w:tabs>
        <w:ind w:left="720"/>
        <w:contextualSpacing/>
        <w:jc w:val="both"/>
        <w:rPr>
          <w:rFonts w:eastAsia="Aptos" w:cstheme="minorHAnsi"/>
          <w:lang w:eastAsia="en-US"/>
        </w:rPr>
      </w:pPr>
    </w:p>
    <w:tbl>
      <w:tblPr>
        <w:tblW w:w="9781" w:type="dxa"/>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6509"/>
        <w:gridCol w:w="3272"/>
      </w:tblGrid>
      <w:tr w:rsidR="004C2AD9" w:rsidRPr="004C2AD9" w14:paraId="51CAFA5A" w14:textId="77777777" w:rsidTr="004C2AD9">
        <w:trPr>
          <w:trHeight w:val="657"/>
        </w:trPr>
        <w:tc>
          <w:tcPr>
            <w:tcW w:w="6509" w:type="dxa"/>
            <w:tcBorders>
              <w:top w:val="single" w:sz="4" w:space="0" w:color="auto"/>
              <w:left w:val="single" w:sz="4" w:space="0" w:color="auto"/>
              <w:bottom w:val="single" w:sz="6" w:space="0" w:color="auto"/>
              <w:right w:val="single" w:sz="6" w:space="0" w:color="auto"/>
            </w:tcBorders>
            <w:shd w:val="clear" w:color="auto" w:fill="auto"/>
            <w:vAlign w:val="center"/>
          </w:tcPr>
          <w:p w14:paraId="021F79C1" w14:textId="77777777" w:rsidR="004C2AD9" w:rsidRPr="004C2AD9" w:rsidRDefault="004C2AD9" w:rsidP="004C2AD9">
            <w:pPr>
              <w:tabs>
                <w:tab w:val="left" w:pos="567"/>
                <w:tab w:val="left" w:pos="993"/>
              </w:tabs>
              <w:ind w:left="720"/>
              <w:contextualSpacing/>
              <w:jc w:val="center"/>
              <w:rPr>
                <w:rFonts w:eastAsia="Aptos" w:cstheme="minorHAnsi"/>
                <w:b/>
                <w:bCs/>
                <w:lang w:eastAsia="en-US"/>
              </w:rPr>
            </w:pPr>
            <w:r w:rsidRPr="004C2AD9">
              <w:rPr>
                <w:rFonts w:eastAsia="Aptos" w:cstheme="minorHAnsi"/>
                <w:b/>
                <w:bCs/>
                <w:lang w:eastAsia="en-US"/>
              </w:rPr>
              <w:t>Vertinimo kriterijai</w:t>
            </w:r>
          </w:p>
        </w:tc>
        <w:tc>
          <w:tcPr>
            <w:tcW w:w="3272" w:type="dxa"/>
            <w:tcBorders>
              <w:top w:val="single" w:sz="4" w:space="0" w:color="auto"/>
              <w:left w:val="single" w:sz="6" w:space="0" w:color="auto"/>
              <w:bottom w:val="single" w:sz="6" w:space="0" w:color="auto"/>
              <w:right w:val="single" w:sz="4" w:space="0" w:color="auto"/>
            </w:tcBorders>
            <w:shd w:val="clear" w:color="auto" w:fill="auto"/>
          </w:tcPr>
          <w:p w14:paraId="0C8E7FD6" w14:textId="60388690" w:rsidR="004C2AD9" w:rsidRPr="004C2AD9" w:rsidRDefault="004C2AD9" w:rsidP="004C2AD9">
            <w:pPr>
              <w:tabs>
                <w:tab w:val="left" w:pos="567"/>
                <w:tab w:val="left" w:pos="993"/>
              </w:tabs>
              <w:contextualSpacing/>
              <w:rPr>
                <w:rFonts w:eastAsia="Aptos" w:cstheme="minorHAnsi"/>
                <w:b/>
                <w:bCs/>
                <w:lang w:eastAsia="en-US"/>
              </w:rPr>
            </w:pPr>
            <w:r>
              <w:rPr>
                <w:rFonts w:eastAsia="Aptos" w:cstheme="minorHAnsi"/>
                <w:b/>
                <w:bCs/>
                <w:lang w:eastAsia="en-US"/>
              </w:rPr>
              <w:t xml:space="preserve">      </w:t>
            </w:r>
            <w:r w:rsidRPr="004C2AD9">
              <w:rPr>
                <w:rFonts w:eastAsia="Aptos" w:cstheme="minorHAnsi"/>
                <w:b/>
                <w:bCs/>
                <w:lang w:eastAsia="en-US"/>
              </w:rPr>
              <w:t>Maksimalūs suteikiami balai</w:t>
            </w:r>
          </w:p>
        </w:tc>
      </w:tr>
      <w:tr w:rsidR="004C2AD9" w:rsidRPr="004C2AD9" w14:paraId="49827129" w14:textId="77777777" w:rsidTr="004C2AD9">
        <w:trPr>
          <w:trHeight w:val="203"/>
        </w:trPr>
        <w:tc>
          <w:tcPr>
            <w:tcW w:w="6509" w:type="dxa"/>
            <w:tcBorders>
              <w:top w:val="single" w:sz="6" w:space="0" w:color="auto"/>
              <w:left w:val="single" w:sz="4" w:space="0" w:color="auto"/>
              <w:bottom w:val="single" w:sz="6" w:space="0" w:color="auto"/>
              <w:right w:val="single" w:sz="6" w:space="0" w:color="auto"/>
            </w:tcBorders>
            <w:shd w:val="clear" w:color="auto" w:fill="auto"/>
          </w:tcPr>
          <w:p w14:paraId="72F335B6" w14:textId="77777777" w:rsidR="004C2AD9" w:rsidRPr="004C2AD9" w:rsidRDefault="004C2AD9" w:rsidP="004C2AD9">
            <w:pPr>
              <w:tabs>
                <w:tab w:val="left" w:pos="567"/>
                <w:tab w:val="left" w:pos="993"/>
              </w:tabs>
              <w:contextualSpacing/>
              <w:jc w:val="both"/>
              <w:rPr>
                <w:rFonts w:eastAsia="Aptos" w:cstheme="minorHAnsi"/>
                <w:b/>
                <w:bCs/>
                <w:lang w:eastAsia="en-US"/>
              </w:rPr>
            </w:pPr>
            <w:r w:rsidRPr="004C2AD9">
              <w:rPr>
                <w:rFonts w:eastAsia="Aptos" w:cstheme="minorHAnsi"/>
                <w:b/>
                <w:lang w:eastAsia="en-US"/>
              </w:rPr>
              <w:t>Pirmas kriterijus</w:t>
            </w:r>
            <w:r w:rsidRPr="004C2AD9">
              <w:rPr>
                <w:rFonts w:eastAsia="Aptos" w:cstheme="minorHAnsi"/>
                <w:b/>
                <w:bCs/>
                <w:lang w:eastAsia="en-US"/>
              </w:rPr>
              <w:t xml:space="preserve"> (C) – Kaina</w:t>
            </w:r>
          </w:p>
        </w:tc>
        <w:tc>
          <w:tcPr>
            <w:tcW w:w="3272" w:type="dxa"/>
            <w:tcBorders>
              <w:top w:val="single" w:sz="6" w:space="0" w:color="auto"/>
              <w:left w:val="single" w:sz="6" w:space="0" w:color="auto"/>
              <w:bottom w:val="single" w:sz="6" w:space="0" w:color="auto"/>
              <w:right w:val="single" w:sz="4" w:space="0" w:color="auto"/>
            </w:tcBorders>
            <w:shd w:val="clear" w:color="auto" w:fill="auto"/>
          </w:tcPr>
          <w:p w14:paraId="77606EAA" w14:textId="42320593" w:rsidR="004C2AD9" w:rsidRPr="004C2AD9" w:rsidRDefault="004C2AD9" w:rsidP="004C2AD9">
            <w:pPr>
              <w:tabs>
                <w:tab w:val="left" w:pos="567"/>
                <w:tab w:val="left" w:pos="993"/>
              </w:tabs>
              <w:contextualSpacing/>
              <w:jc w:val="center"/>
              <w:rPr>
                <w:rFonts w:eastAsia="Aptos" w:cstheme="minorHAnsi"/>
                <w:b/>
                <w:bCs/>
                <w:lang w:eastAsia="en-US"/>
              </w:rPr>
            </w:pPr>
            <w:r w:rsidRPr="004C2AD9">
              <w:rPr>
                <w:rFonts w:eastAsia="Aptos" w:cstheme="minorHAnsi"/>
                <w:b/>
                <w:bCs/>
                <w:lang w:eastAsia="en-US"/>
              </w:rPr>
              <w:t>X=60</w:t>
            </w:r>
          </w:p>
        </w:tc>
      </w:tr>
      <w:tr w:rsidR="004C2AD9" w:rsidRPr="004C2AD9" w14:paraId="1FFF088B" w14:textId="77777777" w:rsidTr="004C2AD9">
        <w:trPr>
          <w:trHeight w:val="130"/>
        </w:trPr>
        <w:tc>
          <w:tcPr>
            <w:tcW w:w="6509" w:type="dxa"/>
            <w:tcBorders>
              <w:top w:val="single" w:sz="6" w:space="0" w:color="auto"/>
              <w:left w:val="single" w:sz="4" w:space="0" w:color="auto"/>
              <w:bottom w:val="single" w:sz="6" w:space="0" w:color="auto"/>
              <w:right w:val="single" w:sz="6" w:space="0" w:color="auto"/>
            </w:tcBorders>
            <w:shd w:val="clear" w:color="auto" w:fill="auto"/>
            <w:vAlign w:val="center"/>
          </w:tcPr>
          <w:p w14:paraId="2C3C000C" w14:textId="77777777" w:rsidR="004C2AD9" w:rsidRPr="004C2AD9" w:rsidRDefault="004C2AD9" w:rsidP="004C2AD9">
            <w:pPr>
              <w:tabs>
                <w:tab w:val="left" w:pos="567"/>
                <w:tab w:val="left" w:pos="993"/>
              </w:tabs>
              <w:contextualSpacing/>
              <w:jc w:val="both"/>
              <w:rPr>
                <w:rFonts w:eastAsia="Aptos" w:cstheme="minorHAnsi"/>
                <w:b/>
                <w:bCs/>
                <w:lang w:eastAsia="en-US"/>
              </w:rPr>
            </w:pPr>
            <w:r w:rsidRPr="004C2AD9">
              <w:rPr>
                <w:rFonts w:eastAsia="Aptos" w:cstheme="minorHAnsi"/>
                <w:b/>
                <w:lang w:eastAsia="en-US"/>
              </w:rPr>
              <w:t>Antras kriterijus</w:t>
            </w:r>
            <w:r w:rsidRPr="004C2AD9">
              <w:rPr>
                <w:rFonts w:eastAsia="Aptos" w:cstheme="minorHAnsi"/>
                <w:b/>
                <w:bCs/>
                <w:lang w:eastAsia="en-US"/>
              </w:rPr>
              <w:t xml:space="preserve"> (T1) –  Reagavimo  ekipažo atvykimo į SOS signalo aktyvavimo vietą laikas</w:t>
            </w:r>
            <w:r w:rsidRPr="004C2AD9">
              <w:rPr>
                <w:rFonts w:eastAsia="Aptos" w:cstheme="minorHAnsi"/>
                <w:b/>
                <w:lang w:eastAsia="en-US"/>
              </w:rPr>
              <w:t xml:space="preserve"> (R₁)</w:t>
            </w:r>
            <w:r w:rsidRPr="004C2AD9">
              <w:rPr>
                <w:rFonts w:eastAsia="Aptos" w:cstheme="minorHAnsi"/>
                <w:b/>
                <w:bCs/>
                <w:lang w:eastAsia="en-US"/>
              </w:rPr>
              <w:t xml:space="preserve"> </w:t>
            </w:r>
          </w:p>
        </w:tc>
        <w:tc>
          <w:tcPr>
            <w:tcW w:w="3272" w:type="dxa"/>
            <w:tcBorders>
              <w:top w:val="single" w:sz="6" w:space="0" w:color="auto"/>
              <w:left w:val="single" w:sz="6" w:space="0" w:color="auto"/>
              <w:bottom w:val="single" w:sz="6" w:space="0" w:color="auto"/>
              <w:right w:val="single" w:sz="4" w:space="0" w:color="auto"/>
            </w:tcBorders>
            <w:shd w:val="clear" w:color="auto" w:fill="auto"/>
            <w:vAlign w:val="center"/>
          </w:tcPr>
          <w:p w14:paraId="14DA9126" w14:textId="70CC62C1" w:rsidR="004C2AD9" w:rsidRPr="004C2AD9" w:rsidRDefault="004C2AD9" w:rsidP="004C2AD9">
            <w:pPr>
              <w:tabs>
                <w:tab w:val="left" w:pos="567"/>
                <w:tab w:val="left" w:pos="993"/>
              </w:tabs>
              <w:contextualSpacing/>
              <w:jc w:val="center"/>
              <w:rPr>
                <w:rFonts w:eastAsia="Aptos" w:cstheme="minorHAnsi"/>
                <w:b/>
                <w:bCs/>
                <w:lang w:eastAsia="en-US"/>
              </w:rPr>
            </w:pPr>
            <w:r w:rsidRPr="004C2AD9">
              <w:rPr>
                <w:rFonts w:eastAsia="Aptos" w:cstheme="minorHAnsi"/>
                <w:b/>
                <w:lang w:eastAsia="en-US"/>
              </w:rPr>
              <w:t>Y1=</w:t>
            </w:r>
            <w:r w:rsidRPr="004C2AD9">
              <w:rPr>
                <w:rFonts w:eastAsia="Aptos" w:cstheme="minorHAnsi"/>
                <w:b/>
                <w:bCs/>
                <w:lang w:eastAsia="en-US"/>
              </w:rPr>
              <w:t>20</w:t>
            </w:r>
          </w:p>
        </w:tc>
      </w:tr>
      <w:tr w:rsidR="004C2AD9" w:rsidRPr="004C2AD9" w14:paraId="01081CA7" w14:textId="77777777" w:rsidTr="004C2AD9">
        <w:trPr>
          <w:trHeight w:val="203"/>
        </w:trPr>
        <w:tc>
          <w:tcPr>
            <w:tcW w:w="6509" w:type="dxa"/>
            <w:tcBorders>
              <w:top w:val="single" w:sz="6" w:space="0" w:color="auto"/>
              <w:left w:val="single" w:sz="4" w:space="0" w:color="auto"/>
              <w:bottom w:val="single" w:sz="6" w:space="0" w:color="auto"/>
              <w:right w:val="single" w:sz="6" w:space="0" w:color="auto"/>
            </w:tcBorders>
            <w:shd w:val="clear" w:color="auto" w:fill="auto"/>
            <w:vAlign w:val="center"/>
          </w:tcPr>
          <w:p w14:paraId="15F776A5" w14:textId="77777777" w:rsidR="004C2AD9" w:rsidRPr="004C2AD9" w:rsidRDefault="004C2AD9" w:rsidP="004C2AD9">
            <w:pPr>
              <w:tabs>
                <w:tab w:val="left" w:pos="567"/>
                <w:tab w:val="left" w:pos="993"/>
              </w:tabs>
              <w:contextualSpacing/>
              <w:jc w:val="both"/>
              <w:rPr>
                <w:rFonts w:eastAsia="Aptos" w:cstheme="minorHAnsi"/>
                <w:lang w:eastAsia="en-US"/>
              </w:rPr>
            </w:pPr>
            <w:r w:rsidRPr="004C2AD9">
              <w:rPr>
                <w:rFonts w:eastAsia="Aptos" w:cstheme="minorHAnsi"/>
                <w:b/>
                <w:bCs/>
                <w:lang w:eastAsia="en-US"/>
              </w:rPr>
              <w:t>Trečias kriterijus (T2)</w:t>
            </w:r>
            <w:r w:rsidRPr="004C2AD9">
              <w:rPr>
                <w:rFonts w:eastAsia="Aptos" w:cstheme="minorHAnsi"/>
                <w:b/>
                <w:lang w:eastAsia="en-US"/>
              </w:rPr>
              <w:t xml:space="preserve"> – Sąžiningo darbo užmokesčio mokėjimas (R₂)</w:t>
            </w:r>
            <w:r w:rsidRPr="004C2AD9">
              <w:rPr>
                <w:rFonts w:eastAsia="Aptos" w:cstheme="minorHAnsi"/>
                <w:b/>
                <w:bCs/>
                <w:lang w:eastAsia="en-US"/>
              </w:rPr>
              <w:t xml:space="preserve">  </w:t>
            </w:r>
            <w:r w:rsidRPr="004C2AD9">
              <w:rPr>
                <w:rFonts w:eastAsia="Aptos" w:cstheme="minorHAnsi"/>
                <w:lang w:eastAsia="en-US"/>
              </w:rPr>
              <w:t xml:space="preserve"> </w:t>
            </w:r>
            <w:r w:rsidRPr="004C2AD9">
              <w:rPr>
                <w:rFonts w:eastAsia="Aptos" w:cstheme="minorHAnsi"/>
                <w:b/>
                <w:bCs/>
                <w:lang w:eastAsia="en-US"/>
              </w:rPr>
              <w:t xml:space="preserve"> </w:t>
            </w:r>
          </w:p>
        </w:tc>
        <w:tc>
          <w:tcPr>
            <w:tcW w:w="3272" w:type="dxa"/>
            <w:tcBorders>
              <w:top w:val="single" w:sz="6" w:space="0" w:color="auto"/>
              <w:left w:val="single" w:sz="6" w:space="0" w:color="auto"/>
              <w:bottom w:val="single" w:sz="6" w:space="0" w:color="auto"/>
              <w:right w:val="single" w:sz="4" w:space="0" w:color="auto"/>
            </w:tcBorders>
            <w:shd w:val="clear" w:color="auto" w:fill="auto"/>
            <w:vAlign w:val="center"/>
          </w:tcPr>
          <w:p w14:paraId="518F499E" w14:textId="6BF57262" w:rsidR="004C2AD9" w:rsidRPr="004C2AD9" w:rsidRDefault="004C2AD9" w:rsidP="004C2AD9">
            <w:pPr>
              <w:tabs>
                <w:tab w:val="left" w:pos="567"/>
                <w:tab w:val="left" w:pos="993"/>
              </w:tabs>
              <w:contextualSpacing/>
              <w:jc w:val="center"/>
              <w:rPr>
                <w:rFonts w:eastAsia="Aptos" w:cstheme="minorHAnsi"/>
                <w:b/>
                <w:bCs/>
                <w:lang w:eastAsia="en-US"/>
              </w:rPr>
            </w:pPr>
            <w:r w:rsidRPr="004C2AD9">
              <w:rPr>
                <w:rFonts w:eastAsia="Aptos" w:cstheme="minorHAnsi"/>
                <w:b/>
                <w:bCs/>
                <w:lang w:eastAsia="en-US"/>
              </w:rPr>
              <w:t>Y2=20</w:t>
            </w:r>
          </w:p>
        </w:tc>
      </w:tr>
    </w:tbl>
    <w:p w14:paraId="0C494631" w14:textId="77777777" w:rsidR="004C2AD9" w:rsidRPr="004C2AD9" w:rsidRDefault="004C2AD9" w:rsidP="004C2AD9">
      <w:pPr>
        <w:tabs>
          <w:tab w:val="left" w:pos="567"/>
          <w:tab w:val="left" w:pos="993"/>
        </w:tabs>
        <w:contextualSpacing/>
        <w:jc w:val="both"/>
        <w:rPr>
          <w:rFonts w:eastAsia="Aptos" w:cstheme="minorHAnsi"/>
          <w:lang w:eastAsia="en-US"/>
        </w:rPr>
      </w:pPr>
    </w:p>
    <w:p w14:paraId="42FDFE15" w14:textId="1F5828D5" w:rsidR="004C2AD9" w:rsidRPr="004C2AD9" w:rsidRDefault="004C2AD9" w:rsidP="004C2AD9">
      <w:pPr>
        <w:numPr>
          <w:ilvl w:val="0"/>
          <w:numId w:val="1"/>
        </w:numPr>
        <w:tabs>
          <w:tab w:val="left" w:pos="567"/>
          <w:tab w:val="left" w:pos="993"/>
        </w:tabs>
        <w:spacing w:after="0"/>
        <w:contextualSpacing/>
        <w:jc w:val="both"/>
        <w:rPr>
          <w:rFonts w:eastAsia="Aptos" w:cstheme="minorHAnsi"/>
          <w:lang w:eastAsia="en-US"/>
        </w:rPr>
      </w:pPr>
      <w:r w:rsidRPr="004C2AD9">
        <w:rPr>
          <w:rFonts w:eastAsia="Aptos" w:cstheme="minorHAnsi"/>
          <w:b/>
          <w:bCs/>
          <w:lang w:eastAsia="en-US"/>
        </w:rPr>
        <w:t>Reagavimo  ekipažo atvykimo į SOS signalo aktyvavimo vietą laiko kriterijų</w:t>
      </w:r>
      <w:r w:rsidRPr="004C2AD9">
        <w:rPr>
          <w:rFonts w:eastAsia="Aptos" w:cstheme="minorHAnsi"/>
          <w:b/>
          <w:lang w:eastAsia="en-US"/>
        </w:rPr>
        <w:t xml:space="preserve"> </w:t>
      </w:r>
      <w:r w:rsidRPr="004C2AD9">
        <w:rPr>
          <w:rFonts w:eastAsia="Aptos" w:cstheme="minorHAnsi"/>
          <w:b/>
          <w:bCs/>
          <w:lang w:eastAsia="en-US"/>
        </w:rPr>
        <w:t xml:space="preserve">(T1). </w:t>
      </w:r>
      <w:r w:rsidRPr="004C2AD9">
        <w:rPr>
          <w:rFonts w:eastAsia="Aptos" w:cstheme="minorHAnsi"/>
          <w:lang w:eastAsia="en-US"/>
        </w:rPr>
        <w:t xml:space="preserve">Tiekėjas privalo </w:t>
      </w:r>
      <w:r w:rsidRPr="004C2AD9">
        <w:rPr>
          <w:rFonts w:eastAsia="Aptos" w:cstheme="minorHAnsi"/>
          <w:b/>
          <w:lang w:eastAsia="en-US"/>
        </w:rPr>
        <w:t xml:space="preserve">su pasiūlymu </w:t>
      </w:r>
      <w:r w:rsidRPr="004C2AD9">
        <w:rPr>
          <w:rFonts w:eastAsia="Aptos" w:cstheme="minorHAnsi"/>
          <w:lang w:eastAsia="en-US"/>
        </w:rPr>
        <w:t>pateikti informaciją apie reagavimo ekipažo atvykimo laikus į Vilniaus miesto A, B ir C zonas, nurodytas</w:t>
      </w:r>
      <w:r w:rsidR="00E62D8B">
        <w:rPr>
          <w:rFonts w:eastAsia="Aptos" w:cstheme="minorHAnsi"/>
          <w:lang w:eastAsia="en-US"/>
        </w:rPr>
        <w:t xml:space="preserve"> 1 priedo „Techninė specifikacija“</w:t>
      </w:r>
      <w:r w:rsidRPr="004C2AD9">
        <w:rPr>
          <w:rFonts w:eastAsia="Aptos" w:cstheme="minorHAnsi"/>
          <w:lang w:eastAsia="en-US"/>
        </w:rPr>
        <w:t xml:space="preserve"> (1 pav.) . </w:t>
      </w:r>
    </w:p>
    <w:p w14:paraId="25093609"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r w:rsidRPr="004C2AD9">
        <w:rPr>
          <w:rFonts w:eastAsia="Aptos" w:cstheme="minorHAnsi"/>
          <w:lang w:eastAsia="en-US"/>
        </w:rPr>
        <w:t>Reagavimo paslaugos užtikrinimo (T1) kriterijaus balai apskaičiuojami vertinamo pasiūlymo reagavimo  Bendrų balų (A, B ir C zonose) sumos įverčio reikšmės (</w:t>
      </w:r>
      <w:r w:rsidRPr="004C2AD9">
        <w:rPr>
          <w:rFonts w:eastAsia="Times New Roman" w:cstheme="minorHAnsi"/>
          <w:b/>
          <w:bCs/>
        </w:rPr>
        <w:t>R1p</w:t>
      </w:r>
      <w:r w:rsidRPr="004C2AD9" w:rsidDel="006E162C">
        <w:rPr>
          <w:rFonts w:eastAsia="Aptos" w:cstheme="minorHAnsi"/>
          <w:lang w:eastAsia="en-US"/>
        </w:rPr>
        <w:t xml:space="preserve"> </w:t>
      </w:r>
      <w:r w:rsidRPr="004C2AD9">
        <w:rPr>
          <w:rFonts w:eastAsia="Aptos" w:cstheme="minorHAnsi"/>
          <w:lang w:eastAsia="en-US"/>
        </w:rPr>
        <w:t>) ir pirkimo pasiūlymuose pateikto didžiausio visų reagavimo  Bendrų balų (A, B ir C zonose) sumos įverčio reikšmės (R1max) santykį:</w:t>
      </w:r>
    </w:p>
    <w:p w14:paraId="6D6AB8E7" w14:textId="77777777" w:rsidR="004C2AD9" w:rsidRPr="004C2AD9" w:rsidRDefault="00000000" w:rsidP="004C2AD9">
      <w:pPr>
        <w:spacing w:after="120" w:line="240" w:lineRule="auto"/>
        <w:jc w:val="both"/>
        <w:rPr>
          <w:rFonts w:eastAsia="Times New Roman" w:cstheme="minorHAnsi"/>
        </w:rPr>
      </w:pPr>
      <m:oMathPara>
        <m:oMath>
          <m:sSub>
            <m:sSubPr>
              <m:ctrlPr>
                <w:rPr>
                  <w:rFonts w:ascii="Cambria Math" w:eastAsia="Times New Roman" w:hAnsi="Cambria Math" w:cstheme="minorHAnsi"/>
                  <w:i/>
                </w:rPr>
              </m:ctrlPr>
            </m:sSubPr>
            <m:e>
              <m:r>
                <w:rPr>
                  <w:rFonts w:ascii="Cambria Math" w:eastAsia="Times New Roman" w:hAnsi="Cambria Math" w:cstheme="minorHAnsi"/>
                </w:rPr>
                <m:t>T</m:t>
              </m:r>
            </m:e>
            <m:sub>
              <m:r>
                <w:rPr>
                  <w:rFonts w:ascii="Cambria Math" w:eastAsia="Times New Roman" w:hAnsi="Cambria Math" w:cstheme="minorHAnsi"/>
                </w:rPr>
                <m:t>1</m:t>
              </m:r>
            </m:sub>
          </m:sSub>
          <m:r>
            <w:rPr>
              <w:rFonts w:ascii="Cambria Math" w:eastAsia="Times New Roman" w:hAnsi="Cambria Math" w:cstheme="minorHAnsi"/>
            </w:rPr>
            <m:t>=</m:t>
          </m:r>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R1</m:t>
                  </m:r>
                </m:e>
                <m:sub>
                  <m:r>
                    <w:rPr>
                      <w:rFonts w:ascii="Cambria Math" w:eastAsia="Times New Roman" w:hAnsi="Cambria Math" w:cstheme="minorHAnsi"/>
                    </w:rPr>
                    <m:t>p</m:t>
                  </m:r>
                </m:sub>
              </m:sSub>
            </m:num>
            <m:den>
              <m:sSub>
                <m:sSubPr>
                  <m:ctrlPr>
                    <w:rPr>
                      <w:rFonts w:ascii="Cambria Math" w:eastAsia="Times New Roman" w:hAnsi="Cambria Math" w:cstheme="minorHAnsi"/>
                      <w:i/>
                    </w:rPr>
                  </m:ctrlPr>
                </m:sSubPr>
                <m:e>
                  <m:r>
                    <w:rPr>
                      <w:rFonts w:ascii="Cambria Math" w:eastAsia="Times New Roman" w:hAnsi="Cambria Math" w:cstheme="minorHAnsi"/>
                    </w:rPr>
                    <m:t>R1</m:t>
                  </m:r>
                </m:e>
                <m:sub>
                  <m:r>
                    <w:rPr>
                      <w:rFonts w:ascii="Cambria Math" w:eastAsia="Times New Roman" w:hAnsi="Cambria Math" w:cstheme="minorHAnsi"/>
                    </w:rPr>
                    <m:t>max</m:t>
                  </m:r>
                </m:sub>
              </m:sSub>
            </m:den>
          </m:f>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Y</m:t>
              </m:r>
            </m:e>
            <m:sub>
              <m:r>
                <w:rPr>
                  <w:rFonts w:ascii="Cambria Math" w:eastAsia="Times New Roman" w:hAnsi="Cambria Math" w:cstheme="minorHAnsi"/>
                </w:rPr>
                <m:t>1</m:t>
              </m:r>
            </m:sub>
          </m:sSub>
        </m:oMath>
      </m:oMathPara>
    </w:p>
    <w:p w14:paraId="32447A9E"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p>
    <w:p w14:paraId="0820CD41"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r w:rsidRPr="004C2AD9">
        <w:rPr>
          <w:rFonts w:eastAsia="Aptos" w:cstheme="minorHAnsi"/>
          <w:lang w:eastAsia="en-US"/>
        </w:rPr>
        <w:t>7.1. Vieno objekto laiko balas (L) apskaičiuojamas paimant didžiausią laiką (min.) iš visų tiekėjų siūlomų laikų (min.) toje pozicijoje (</w:t>
      </w:r>
      <w:proofErr w:type="spellStart"/>
      <w:r w:rsidRPr="004C2AD9">
        <w:rPr>
          <w:rFonts w:eastAsia="Aptos" w:cstheme="minorHAnsi"/>
          <w:lang w:eastAsia="en-US"/>
        </w:rPr>
        <w:t>Lmax</w:t>
      </w:r>
      <w:proofErr w:type="spellEnd"/>
      <w:r w:rsidRPr="004C2AD9">
        <w:rPr>
          <w:rFonts w:eastAsia="Aptos" w:cstheme="minorHAnsi"/>
          <w:lang w:eastAsia="en-US"/>
        </w:rPr>
        <w:t>), padalinant iš tiekėjo siūlomo laiko (min.) (</w:t>
      </w:r>
      <w:proofErr w:type="spellStart"/>
      <w:r w:rsidRPr="004C2AD9">
        <w:rPr>
          <w:rFonts w:eastAsia="Aptos" w:cstheme="minorHAnsi"/>
          <w:lang w:eastAsia="en-US"/>
        </w:rPr>
        <w:t>Lp</w:t>
      </w:r>
      <w:proofErr w:type="spellEnd"/>
      <w:r w:rsidRPr="004C2AD9">
        <w:rPr>
          <w:rFonts w:eastAsia="Aptos" w:cstheme="minorHAnsi"/>
          <w:lang w:eastAsia="en-US"/>
        </w:rPr>
        <w:t>) ir atimant 1.</w:t>
      </w:r>
    </w:p>
    <w:p w14:paraId="6D6EDF86"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p>
    <w:p w14:paraId="5181F843"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r w:rsidRPr="004C2AD9">
        <w:rPr>
          <w:rFonts w:eastAsia="Aptos" w:cstheme="minorHAnsi"/>
          <w:lang w:eastAsia="en-US"/>
        </w:rPr>
        <w:t>L = (</w:t>
      </w:r>
      <w:proofErr w:type="spellStart"/>
      <w:r w:rsidRPr="004C2AD9">
        <w:rPr>
          <w:rFonts w:eastAsia="Aptos" w:cstheme="minorHAnsi"/>
          <w:lang w:eastAsia="en-US"/>
        </w:rPr>
        <w:t>Lmax</w:t>
      </w:r>
      <w:proofErr w:type="spellEnd"/>
      <w:r w:rsidRPr="004C2AD9">
        <w:rPr>
          <w:rFonts w:eastAsia="Aptos" w:cstheme="minorHAnsi"/>
          <w:lang w:eastAsia="en-US"/>
        </w:rPr>
        <w:t>/</w:t>
      </w:r>
      <w:proofErr w:type="spellStart"/>
      <w:r w:rsidRPr="004C2AD9">
        <w:rPr>
          <w:rFonts w:eastAsia="Aptos" w:cstheme="minorHAnsi"/>
          <w:lang w:eastAsia="en-US"/>
        </w:rPr>
        <w:t>Lp</w:t>
      </w:r>
      <w:proofErr w:type="spellEnd"/>
      <w:r w:rsidRPr="004C2AD9">
        <w:rPr>
          <w:rFonts w:eastAsia="Aptos" w:cstheme="minorHAnsi"/>
          <w:lang w:eastAsia="en-US"/>
        </w:rPr>
        <w:t>) -1</w:t>
      </w:r>
    </w:p>
    <w:p w14:paraId="021E016E"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p>
    <w:p w14:paraId="54297954"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r w:rsidRPr="004C2AD9">
        <w:rPr>
          <w:rFonts w:eastAsia="Aptos" w:cstheme="minorHAnsi"/>
          <w:lang w:eastAsia="en-US"/>
        </w:rPr>
        <w:lastRenderedPageBreak/>
        <w:t>7.2. Vertinamo pasiūlymo reagavimo Objektų bendrų balų sumos įverčio reikšmę (R1p) apskaičiuojama sudedant visų vertinamų Objektų  bendrų balų (L) sumą.</w:t>
      </w:r>
    </w:p>
    <w:p w14:paraId="56207757"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p>
    <w:p w14:paraId="368F1DB2"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r w:rsidRPr="004C2AD9">
        <w:rPr>
          <w:rFonts w:eastAsia="Aptos" w:cstheme="minorHAnsi"/>
          <w:lang w:eastAsia="en-US"/>
        </w:rPr>
        <w:t>R1p=A+B+C</w:t>
      </w:r>
    </w:p>
    <w:p w14:paraId="2B730E61" w14:textId="77777777" w:rsidR="004C2AD9" w:rsidRPr="004C2AD9" w:rsidRDefault="004C2AD9" w:rsidP="004C2AD9">
      <w:pPr>
        <w:tabs>
          <w:tab w:val="left" w:pos="567"/>
          <w:tab w:val="left" w:pos="993"/>
        </w:tabs>
        <w:spacing w:after="0"/>
        <w:ind w:left="360"/>
        <w:contextualSpacing/>
        <w:jc w:val="both"/>
        <w:rPr>
          <w:rFonts w:eastAsia="Aptos" w:cstheme="minorHAnsi"/>
          <w:lang w:eastAsia="en-US"/>
        </w:rPr>
      </w:pPr>
    </w:p>
    <w:p w14:paraId="77FB7B79" w14:textId="77777777" w:rsidR="004C2AD9" w:rsidRPr="004C2AD9" w:rsidRDefault="004C2AD9" w:rsidP="004C2AD9">
      <w:pPr>
        <w:numPr>
          <w:ilvl w:val="0"/>
          <w:numId w:val="1"/>
        </w:numPr>
        <w:tabs>
          <w:tab w:val="left" w:pos="567"/>
          <w:tab w:val="left" w:pos="993"/>
        </w:tabs>
        <w:contextualSpacing/>
        <w:jc w:val="both"/>
        <w:rPr>
          <w:rFonts w:eastAsia="Aptos" w:cstheme="minorHAnsi"/>
          <w:lang w:eastAsia="en-US"/>
        </w:rPr>
      </w:pPr>
      <w:r w:rsidRPr="004C2AD9">
        <w:rPr>
          <w:rFonts w:eastAsia="Times New Roman" w:cstheme="minorHAnsi"/>
          <w:b/>
        </w:rPr>
        <w:t>Sąžiningo darbo užmokesčio mokėjimas (kriterijus T2)</w:t>
      </w:r>
      <w:r w:rsidRPr="004C2AD9">
        <w:rPr>
          <w:rFonts w:eastAsia="Times New Roman" w:cstheme="minorHAnsi"/>
        </w:rPr>
        <w:t>. Vertinama kiek tiekėjo ir subtiekėjo, jeigu jis pasitelkiamas,</w:t>
      </w:r>
      <w:r w:rsidRPr="004C2AD9">
        <w:rPr>
          <w:rFonts w:eastAsia="Times New Roman" w:cstheme="minorHAnsi"/>
          <w:b/>
          <w:bCs/>
        </w:rPr>
        <w:t xml:space="preserve"> apsaugos darbuotojams, teiksiantiems Objektų fizinę apsaugą</w:t>
      </w:r>
      <w:r w:rsidRPr="004C2AD9">
        <w:rPr>
          <w:rFonts w:eastAsia="Times New Roman" w:cstheme="minorHAnsi"/>
        </w:rPr>
        <w:t xml:space="preserve"> (</w:t>
      </w:r>
      <w:proofErr w:type="spellStart"/>
      <w:r w:rsidRPr="004C2AD9">
        <w:rPr>
          <w:rFonts w:eastAsia="Times New Roman" w:cstheme="minorHAnsi"/>
        </w:rPr>
        <w:t>t.y</w:t>
      </w:r>
      <w:proofErr w:type="spellEnd"/>
      <w:r w:rsidRPr="004C2AD9">
        <w:rPr>
          <w:rFonts w:eastAsia="Times New Roman" w:cstheme="minorHAnsi"/>
        </w:rPr>
        <w:t xml:space="preserve">. </w:t>
      </w:r>
      <w:r w:rsidRPr="004C2AD9">
        <w:rPr>
          <w:rFonts w:eastAsia="Times New Roman" w:cstheme="minorHAnsi"/>
          <w:u w:val="single"/>
        </w:rPr>
        <w:t>sutartį vykdysiantiems</w:t>
      </w:r>
      <w:r w:rsidRPr="004C2AD9">
        <w:rPr>
          <w:rFonts w:eastAsia="Times New Roman" w:cstheme="minorHAnsi"/>
        </w:rPr>
        <w:t xml:space="preserve"> ir perkančiojo subjekto pirkimo dokumentuose nurodytas užduotis atliksiantiems darbuotojams) siūlomo darbo užmokesčio mėnesio mediana viršija Lietuvos Respublikos nustatytą </w:t>
      </w:r>
      <w:r w:rsidRPr="004C2AD9">
        <w:rPr>
          <w:rFonts w:eastAsia="Times New Roman" w:cstheme="minorHAnsi"/>
          <w:u w:val="single"/>
        </w:rPr>
        <w:t>minimalų darbo užmokestį (toliau – MDU).</w:t>
      </w:r>
      <w:r w:rsidRPr="004C2AD9">
        <w:rPr>
          <w:rFonts w:eastAsia="Times New Roman" w:cstheme="minorHAnsi"/>
        </w:rPr>
        <w:t xml:space="preserve"> Perkantysis subjektas reikalaus, kad tiekėjas visą pirkimo sutarties vykdymo laikotarpį užtikrintų, kad nurodytų darbuotojų darbo užmokesčio mėnesio mediana būtų ne mažesnė, negu buvo nurodyta pateikiant pasiūlymą. Jeigu perkančiajam subjektui kils abejonių dėl tiekėjo pateiktos informacijos teisingumo, jis turi teisę kreiptis į kompetentingas institucijas, kad gautų visą reikiamą informaciją apie nurodytiems darbuotojams mokamo darbo užmokesčio mėnesio medianą</w:t>
      </w:r>
      <w:r w:rsidRPr="004C2AD9">
        <w:rPr>
          <w:rFonts w:eastAsia="Times New Roman" w:cstheme="minorHAnsi"/>
          <w:vertAlign w:val="superscript"/>
        </w:rPr>
        <w:footnoteReference w:id="1"/>
      </w:r>
      <w:r w:rsidRPr="004C2AD9">
        <w:rPr>
          <w:rFonts w:eastAsia="Times New Roman" w:cstheme="minorHAnsi"/>
        </w:rPr>
        <w:t>.</w:t>
      </w:r>
    </w:p>
    <w:p w14:paraId="05BCC1CE" w14:textId="77777777" w:rsidR="004C2AD9" w:rsidRPr="004C2AD9" w:rsidRDefault="004C2AD9" w:rsidP="004C2AD9">
      <w:pPr>
        <w:tabs>
          <w:tab w:val="left" w:pos="567"/>
          <w:tab w:val="left" w:pos="993"/>
        </w:tabs>
        <w:ind w:left="360"/>
        <w:contextualSpacing/>
        <w:jc w:val="both"/>
        <w:rPr>
          <w:rFonts w:eastAsia="Aptos" w:cstheme="minorHAnsi"/>
          <w:lang w:eastAsia="en-US"/>
        </w:rPr>
      </w:pPr>
      <w:r w:rsidRPr="004C2AD9">
        <w:rPr>
          <w:rFonts w:eastAsia="Aptos" w:cstheme="minorHAnsi"/>
          <w:lang w:eastAsia="en-US"/>
        </w:rPr>
        <w:t>8.1. Tiekėjo ir subtiekėjo, jeigu jis pasitelkiamas, apsaugos darbuotojams, teiksiantiems Objektų fizinę apsaugą (</w:t>
      </w:r>
      <w:proofErr w:type="spellStart"/>
      <w:r w:rsidRPr="004C2AD9">
        <w:rPr>
          <w:rFonts w:eastAsia="Aptos" w:cstheme="minorHAnsi"/>
          <w:lang w:eastAsia="en-US"/>
        </w:rPr>
        <w:t>t.y</w:t>
      </w:r>
      <w:proofErr w:type="spellEnd"/>
      <w:r w:rsidRPr="004C2AD9">
        <w:rPr>
          <w:rFonts w:eastAsia="Aptos" w:cstheme="minorHAnsi"/>
          <w:lang w:eastAsia="en-US"/>
        </w:rPr>
        <w:t>. sutartį vykdysiantiems ir perkančiojo subjekto pirkimo dokumentuose nurodytas užduotis atliksiantiems darbuotojams) siūlomo darbo užmokesčio mėnesio mediana viršija Lietuvos Respublikos nustatytą MDU) balai apskaičiuojami vertinamojo parametro įverčio reikšmės (R2p) (kokiu dydžiu eurais apsaugos darbuotojų, teiksiančių Objektų fizinę apsaugą siūlomas darbo užmokestis yra didesnis nei MDU) ir geriausios to paties parametro įverčio reikšmės (R2max) santykį padauginant iš vertinimo kriterijaus lyginamojo svorio (Y2).</w:t>
      </w:r>
    </w:p>
    <w:p w14:paraId="35639E3B" w14:textId="77777777" w:rsidR="004C2AD9" w:rsidRPr="004C2AD9" w:rsidRDefault="004C2AD9" w:rsidP="004C2AD9">
      <w:pPr>
        <w:tabs>
          <w:tab w:val="left" w:pos="567"/>
          <w:tab w:val="left" w:pos="993"/>
        </w:tabs>
        <w:ind w:left="360"/>
        <w:contextualSpacing/>
        <w:jc w:val="both"/>
        <w:rPr>
          <w:rFonts w:eastAsia="Aptos" w:cstheme="minorHAnsi"/>
          <w:lang w:eastAsia="en-US"/>
        </w:rPr>
      </w:pPr>
    </w:p>
    <w:p w14:paraId="49B9FF38" w14:textId="77777777" w:rsidR="004C2AD9" w:rsidRPr="004C2AD9" w:rsidRDefault="004C2AD9" w:rsidP="004C2AD9">
      <w:pPr>
        <w:tabs>
          <w:tab w:val="left" w:pos="567"/>
          <w:tab w:val="left" w:pos="993"/>
        </w:tabs>
        <w:ind w:left="360"/>
        <w:contextualSpacing/>
        <w:jc w:val="both"/>
        <w:rPr>
          <w:rFonts w:eastAsia="Aptos" w:cstheme="minorHAnsi"/>
          <w:lang w:eastAsia="en-US"/>
        </w:rPr>
      </w:pPr>
      <w:r w:rsidRPr="004C2AD9">
        <w:rPr>
          <w:rFonts w:eastAsia="Aptos" w:cstheme="minorHAnsi"/>
          <w:lang w:eastAsia="en-US"/>
        </w:rPr>
        <w:t>Kriterijaus parametras (T2) įvertinamas pagal šią formulę:</w:t>
      </w:r>
    </w:p>
    <w:p w14:paraId="7F80F39D" w14:textId="77777777" w:rsidR="004C2AD9" w:rsidRPr="004C2AD9" w:rsidRDefault="00000000" w:rsidP="004C2AD9">
      <w:pPr>
        <w:tabs>
          <w:tab w:val="left" w:pos="567"/>
          <w:tab w:val="left" w:pos="993"/>
        </w:tabs>
        <w:ind w:left="360"/>
        <w:contextualSpacing/>
        <w:jc w:val="both"/>
        <w:rPr>
          <w:rFonts w:eastAsia="Times New Roman" w:cstheme="minorHAnsi"/>
        </w:rPr>
      </w:pPr>
      <m:oMathPara>
        <m:oMath>
          <m:sSub>
            <m:sSubPr>
              <m:ctrlPr>
                <w:rPr>
                  <w:rFonts w:ascii="Cambria Math" w:eastAsia="Times New Roman" w:hAnsi="Cambria Math" w:cstheme="minorHAnsi"/>
                  <w:i/>
                </w:rPr>
              </m:ctrlPr>
            </m:sSubPr>
            <m:e>
              <m:r>
                <w:rPr>
                  <w:rFonts w:ascii="Cambria Math" w:eastAsia="Times New Roman" w:hAnsi="Cambria Math" w:cstheme="minorHAnsi"/>
                </w:rPr>
                <m:t>T</m:t>
              </m:r>
            </m:e>
            <m:sub>
              <m:r>
                <w:rPr>
                  <w:rFonts w:ascii="Cambria Math" w:eastAsia="Times New Roman" w:hAnsi="Cambria Math" w:cstheme="minorHAnsi"/>
                </w:rPr>
                <m:t>2</m:t>
              </m:r>
            </m:sub>
          </m:sSub>
          <m:r>
            <w:rPr>
              <w:rFonts w:ascii="Cambria Math" w:eastAsia="Times New Roman" w:hAnsi="Cambria Math" w:cstheme="minorHAnsi"/>
            </w:rPr>
            <m:t>=</m:t>
          </m:r>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R2</m:t>
                  </m:r>
                </m:e>
                <m:sub>
                  <m:r>
                    <w:rPr>
                      <w:rFonts w:ascii="Cambria Math" w:eastAsia="Times New Roman" w:hAnsi="Cambria Math" w:cstheme="minorHAnsi"/>
                    </w:rPr>
                    <m:t>p</m:t>
                  </m:r>
                </m:sub>
              </m:sSub>
            </m:num>
            <m:den>
              <m:sSub>
                <m:sSubPr>
                  <m:ctrlPr>
                    <w:rPr>
                      <w:rFonts w:ascii="Cambria Math" w:eastAsia="Times New Roman" w:hAnsi="Cambria Math" w:cstheme="minorHAnsi"/>
                      <w:i/>
                    </w:rPr>
                  </m:ctrlPr>
                </m:sSubPr>
                <m:e>
                  <m:r>
                    <w:rPr>
                      <w:rFonts w:ascii="Cambria Math" w:eastAsia="Times New Roman" w:hAnsi="Cambria Math" w:cstheme="minorHAnsi"/>
                    </w:rPr>
                    <m:t>R2</m:t>
                  </m:r>
                </m:e>
                <m:sub>
                  <m:r>
                    <w:rPr>
                      <w:rFonts w:ascii="Cambria Math" w:eastAsia="Times New Roman" w:hAnsi="Cambria Math" w:cstheme="minorHAnsi"/>
                    </w:rPr>
                    <m:t>max</m:t>
                  </m:r>
                </m:sub>
              </m:sSub>
            </m:den>
          </m:f>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Y</m:t>
              </m:r>
            </m:e>
            <m:sub>
              <m:r>
                <w:rPr>
                  <w:rFonts w:ascii="Cambria Math" w:eastAsia="Times New Roman" w:hAnsi="Cambria Math" w:cstheme="minorHAnsi"/>
                </w:rPr>
                <m:t>2</m:t>
              </m:r>
            </m:sub>
          </m:sSub>
        </m:oMath>
      </m:oMathPara>
    </w:p>
    <w:p w14:paraId="110EB9EF" w14:textId="77777777" w:rsidR="004C2AD9" w:rsidRPr="004C2AD9" w:rsidRDefault="004C2AD9" w:rsidP="004C2AD9">
      <w:pPr>
        <w:tabs>
          <w:tab w:val="left" w:pos="567"/>
          <w:tab w:val="left" w:pos="993"/>
        </w:tabs>
        <w:ind w:left="360"/>
        <w:contextualSpacing/>
        <w:jc w:val="both"/>
        <w:rPr>
          <w:rFonts w:eastAsia="Times New Roman" w:cstheme="minorHAnsi"/>
        </w:rPr>
      </w:pPr>
    </w:p>
    <w:p w14:paraId="7CFFCEE0" w14:textId="77777777" w:rsidR="004C2AD9" w:rsidRPr="004C2AD9" w:rsidRDefault="004C2AD9" w:rsidP="004C2AD9">
      <w:pPr>
        <w:numPr>
          <w:ilvl w:val="0"/>
          <w:numId w:val="1"/>
        </w:numPr>
        <w:tabs>
          <w:tab w:val="left" w:pos="567"/>
          <w:tab w:val="left" w:pos="993"/>
        </w:tabs>
        <w:contextualSpacing/>
        <w:jc w:val="both"/>
        <w:rPr>
          <w:rFonts w:eastAsia="Aptos" w:cstheme="minorHAnsi"/>
          <w:lang w:eastAsia="en-US"/>
        </w:rPr>
      </w:pPr>
      <w:r w:rsidRPr="004C2AD9">
        <w:rPr>
          <w:rFonts w:eastAsia="Aptos" w:cstheme="minorHAnsi"/>
          <w:lang w:eastAsia="en-US"/>
        </w:rPr>
        <w:t>Pasiūlymo kainos (C) balai apskaičiuojami mažiausios pasiūlytos kainos (</w:t>
      </w:r>
      <w:proofErr w:type="spellStart"/>
      <w:r w:rsidRPr="004C2AD9">
        <w:rPr>
          <w:rFonts w:eastAsia="Aptos" w:cstheme="minorHAnsi"/>
          <w:lang w:eastAsia="en-US"/>
        </w:rPr>
        <w:t>Cmin</w:t>
      </w:r>
      <w:proofErr w:type="spellEnd"/>
      <w:r w:rsidRPr="004C2AD9">
        <w:rPr>
          <w:rFonts w:eastAsia="Aptos" w:cstheme="minorHAnsi"/>
          <w:lang w:eastAsia="en-US"/>
        </w:rPr>
        <w:t>) ir vertinamo pasiūlymo kainos (</w:t>
      </w:r>
      <w:proofErr w:type="spellStart"/>
      <w:r w:rsidRPr="004C2AD9">
        <w:rPr>
          <w:rFonts w:eastAsia="Aptos" w:cstheme="minorHAnsi"/>
          <w:lang w:eastAsia="en-US"/>
        </w:rPr>
        <w:t>Cp</w:t>
      </w:r>
      <w:proofErr w:type="spellEnd"/>
      <w:r w:rsidRPr="004C2AD9">
        <w:rPr>
          <w:rFonts w:eastAsia="Aptos" w:cstheme="minorHAnsi"/>
          <w:lang w:eastAsia="en-US"/>
        </w:rPr>
        <w:t>) santykį padauginant iš kainos lyginamojo svorio (X):</w:t>
      </w:r>
    </w:p>
    <w:p w14:paraId="7CB06B65" w14:textId="77777777" w:rsidR="004C2AD9" w:rsidRPr="004C2AD9" w:rsidRDefault="004C2AD9" w:rsidP="004C2AD9">
      <w:pPr>
        <w:tabs>
          <w:tab w:val="left" w:pos="567"/>
          <w:tab w:val="left" w:pos="993"/>
        </w:tabs>
        <w:ind w:left="360"/>
        <w:contextualSpacing/>
        <w:jc w:val="both"/>
        <w:rPr>
          <w:rFonts w:eastAsia="Aptos" w:cstheme="minorHAnsi"/>
          <w:lang w:eastAsia="en-US"/>
        </w:rPr>
      </w:pPr>
      <w:r w:rsidRPr="004C2AD9">
        <w:rPr>
          <w:rFonts w:eastAsia="Aptos" w:cstheme="minorHAnsi"/>
          <w:lang w:eastAsia="en-US"/>
        </w:rPr>
        <w:t>Kriterijaus parametras (C) įvertinamas pagal šią formulę:</w:t>
      </w:r>
    </w:p>
    <w:p w14:paraId="171503FF" w14:textId="77777777" w:rsidR="004C2AD9" w:rsidRPr="004C2AD9" w:rsidRDefault="004C2AD9" w:rsidP="004C2AD9">
      <w:pPr>
        <w:tabs>
          <w:tab w:val="left" w:pos="567"/>
          <w:tab w:val="left" w:pos="993"/>
        </w:tabs>
        <w:ind w:left="360"/>
        <w:contextualSpacing/>
        <w:jc w:val="both"/>
        <w:rPr>
          <w:rFonts w:eastAsia="Aptos" w:cstheme="minorHAnsi"/>
          <w:lang w:eastAsia="en-US"/>
        </w:rPr>
      </w:pPr>
    </w:p>
    <w:p w14:paraId="1C46FC52" w14:textId="77777777" w:rsidR="004C2AD9" w:rsidRPr="004C2AD9" w:rsidRDefault="004C2AD9" w:rsidP="004C2AD9">
      <w:pPr>
        <w:tabs>
          <w:tab w:val="left" w:pos="567"/>
          <w:tab w:val="left" w:pos="993"/>
        </w:tabs>
        <w:ind w:left="360"/>
        <w:contextualSpacing/>
        <w:jc w:val="both"/>
        <w:rPr>
          <w:rFonts w:eastAsia="Aptos" w:cstheme="minorHAnsi"/>
          <w:lang w:eastAsia="en-US"/>
        </w:rPr>
      </w:pPr>
      <m:oMathPara>
        <m:oMath>
          <m:r>
            <w:rPr>
              <w:rFonts w:ascii="Cambria Math" w:eastAsia="Times New Roman" w:hAnsi="Cambria Math" w:cstheme="minorHAnsi"/>
            </w:rPr>
            <m:t>C</m:t>
          </m:r>
          <m:r>
            <m:rPr>
              <m:sty m:val="p"/>
            </m:rPr>
            <w:rPr>
              <w:rFonts w:ascii="Cambria Math" w:eastAsia="Times New Roman" w:hAnsi="Cambria Math" w:cstheme="minorHAnsi"/>
            </w:rPr>
            <m:t>=</m:t>
          </m:r>
          <m:f>
            <m:fPr>
              <m:ctrlPr>
                <w:rPr>
                  <w:rFonts w:ascii="Cambria Math" w:eastAsia="Times New Roman" w:hAnsi="Cambria Math" w:cstheme="minorHAnsi"/>
                </w:rPr>
              </m:ctrlPr>
            </m:fPr>
            <m:num>
              <m:r>
                <w:rPr>
                  <w:rFonts w:ascii="Cambria Math" w:eastAsia="Times New Roman" w:hAnsi="Cambria Math" w:cstheme="minorHAnsi"/>
                </w:rPr>
                <m:t>Cmin</m:t>
              </m:r>
            </m:num>
            <m:den>
              <m:sSub>
                <m:sSubPr>
                  <m:ctrlPr>
                    <w:rPr>
                      <w:rFonts w:ascii="Cambria Math" w:eastAsia="Times New Roman" w:hAnsi="Cambria Math" w:cstheme="minorHAnsi"/>
                      <w:i/>
                    </w:rPr>
                  </m:ctrlPr>
                </m:sSubPr>
                <m:e>
                  <m:r>
                    <w:rPr>
                      <w:rFonts w:ascii="Cambria Math" w:eastAsia="Times New Roman" w:hAnsi="Cambria Math" w:cstheme="minorHAnsi"/>
                    </w:rPr>
                    <m:t>C</m:t>
                  </m:r>
                </m:e>
                <m:sub>
                  <m:r>
                    <w:rPr>
                      <w:rFonts w:ascii="Cambria Math" w:eastAsia="Times New Roman" w:hAnsi="Cambria Math" w:cstheme="minorHAnsi"/>
                    </w:rPr>
                    <m:t>p</m:t>
                  </m:r>
                </m:sub>
              </m:sSub>
            </m:den>
          </m:f>
          <m:r>
            <m:rPr>
              <m:sty m:val="p"/>
            </m:rPr>
            <w:rPr>
              <w:rFonts w:ascii="Cambria Math" w:eastAsia="Times New Roman" w:hAnsi="Cambria Math" w:cstheme="minorHAnsi"/>
            </w:rPr>
            <m:t>×</m:t>
          </m:r>
          <m:r>
            <w:rPr>
              <w:rFonts w:ascii="Cambria Math" w:eastAsia="Times New Roman" w:hAnsi="Cambria Math" w:cstheme="minorHAnsi"/>
            </w:rPr>
            <m:t>X</m:t>
          </m:r>
        </m:oMath>
      </m:oMathPara>
    </w:p>
    <w:p w14:paraId="6A4A8F7B" w14:textId="77777777" w:rsidR="004C2AD9" w:rsidRPr="004C2AD9" w:rsidRDefault="004C2AD9" w:rsidP="004C2AD9">
      <w:pPr>
        <w:tabs>
          <w:tab w:val="left" w:pos="567"/>
          <w:tab w:val="left" w:pos="993"/>
        </w:tabs>
        <w:ind w:left="360"/>
        <w:contextualSpacing/>
        <w:jc w:val="both"/>
        <w:rPr>
          <w:rFonts w:eastAsia="Aptos" w:cstheme="minorHAnsi"/>
          <w:lang w:eastAsia="en-US"/>
        </w:rPr>
      </w:pPr>
    </w:p>
    <w:p w14:paraId="496F5CA4" w14:textId="178CB55C" w:rsidR="004C2AD9" w:rsidRPr="004C2AD9" w:rsidRDefault="004C2AD9" w:rsidP="004C2AD9">
      <w:pPr>
        <w:numPr>
          <w:ilvl w:val="0"/>
          <w:numId w:val="1"/>
        </w:numPr>
        <w:tabs>
          <w:tab w:val="left" w:pos="567"/>
          <w:tab w:val="left" w:pos="993"/>
        </w:tabs>
        <w:spacing w:after="0"/>
        <w:contextualSpacing/>
        <w:jc w:val="both"/>
        <w:rPr>
          <w:rFonts w:eastAsia="Aptos" w:cstheme="minorHAnsi"/>
          <w:lang w:eastAsia="en-US"/>
        </w:rPr>
      </w:pPr>
      <w:r w:rsidRPr="004C2AD9">
        <w:rPr>
          <w:rFonts w:eastAsia="Aptos" w:cstheme="minorHAnsi"/>
          <w:b/>
          <w:bCs/>
          <w:lang w:eastAsia="en-US"/>
        </w:rPr>
        <w:t>Ekonominis naudingumas (S) apskaičiuojamas sudedant Tiekėjo pasiūlymo kainos C, T1 ir T2</w:t>
      </w:r>
      <w:r>
        <w:rPr>
          <w:rFonts w:eastAsia="Aptos" w:cstheme="minorHAnsi"/>
          <w:b/>
          <w:bCs/>
          <w:lang w:eastAsia="en-US"/>
        </w:rPr>
        <w:t xml:space="preserve"> </w:t>
      </w:r>
      <w:r w:rsidRPr="004C2AD9">
        <w:rPr>
          <w:rFonts w:eastAsia="Aptos" w:cstheme="minorHAnsi"/>
          <w:b/>
          <w:bCs/>
          <w:lang w:eastAsia="en-US"/>
        </w:rPr>
        <w:t xml:space="preserve"> kriterijų balus:</w:t>
      </w:r>
    </w:p>
    <w:p w14:paraId="5041DC30" w14:textId="77777777" w:rsidR="004C2AD9" w:rsidRPr="004C2AD9" w:rsidRDefault="004C2AD9" w:rsidP="004C2AD9">
      <w:pPr>
        <w:suppressAutoHyphens/>
        <w:ind w:left="360"/>
        <w:contextualSpacing/>
        <w:jc w:val="center"/>
        <w:rPr>
          <w:rFonts w:eastAsia="Aptos" w:cstheme="minorHAnsi"/>
          <w:lang w:eastAsia="en-US"/>
        </w:rPr>
      </w:pPr>
      <w:r w:rsidRPr="004C2AD9">
        <w:rPr>
          <w:rFonts w:eastAsia="Aptos" w:cstheme="minorHAnsi"/>
          <w:lang w:eastAsia="en-US"/>
        </w:rPr>
        <w:t xml:space="preserve">S = C + T1+T2 </w:t>
      </w:r>
    </w:p>
    <w:p w14:paraId="09A90AC3" w14:textId="77777777" w:rsidR="004C2AD9" w:rsidRPr="004C2AD9" w:rsidRDefault="004C2AD9" w:rsidP="004C2AD9">
      <w:pPr>
        <w:suppressAutoHyphens/>
        <w:ind w:left="360"/>
        <w:contextualSpacing/>
        <w:rPr>
          <w:rFonts w:eastAsia="Aptos" w:cstheme="minorHAnsi"/>
          <w:lang w:eastAsia="en-US"/>
        </w:rPr>
      </w:pPr>
    </w:p>
    <w:p w14:paraId="0C539CC4" w14:textId="485480EC" w:rsidR="004C2AD9" w:rsidRPr="002E323E" w:rsidRDefault="004C2AD9" w:rsidP="002E323E">
      <w:pPr>
        <w:spacing w:after="120" w:line="240" w:lineRule="auto"/>
        <w:jc w:val="both"/>
        <w:rPr>
          <w:rFonts w:eastAsia="Calibri" w:cstheme="minorHAnsi"/>
          <w:b/>
          <w:lang w:eastAsia="en-US"/>
        </w:rPr>
      </w:pPr>
    </w:p>
    <w:sectPr w:rsidR="004C2AD9" w:rsidRPr="002E323E" w:rsidSect="004E16BF">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D36A" w14:textId="77777777" w:rsidR="00E11D23" w:rsidRDefault="00E11D23" w:rsidP="00D010F4">
      <w:pPr>
        <w:spacing w:after="0" w:line="240" w:lineRule="auto"/>
      </w:pPr>
      <w:r>
        <w:separator/>
      </w:r>
    </w:p>
  </w:endnote>
  <w:endnote w:type="continuationSeparator" w:id="0">
    <w:p w14:paraId="49B9220D" w14:textId="77777777" w:rsidR="00E11D23" w:rsidRDefault="00E11D23" w:rsidP="00D0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DD85" w14:textId="77777777" w:rsidR="00E11D23" w:rsidRDefault="00E11D23" w:rsidP="00D010F4">
      <w:pPr>
        <w:spacing w:after="0" w:line="240" w:lineRule="auto"/>
      </w:pPr>
      <w:r>
        <w:separator/>
      </w:r>
    </w:p>
  </w:footnote>
  <w:footnote w:type="continuationSeparator" w:id="0">
    <w:p w14:paraId="2DB175A7" w14:textId="77777777" w:rsidR="00E11D23" w:rsidRDefault="00E11D23" w:rsidP="00D010F4">
      <w:pPr>
        <w:spacing w:after="0" w:line="240" w:lineRule="auto"/>
      </w:pPr>
      <w:r>
        <w:continuationSeparator/>
      </w:r>
    </w:p>
  </w:footnote>
  <w:footnote w:id="1">
    <w:p w14:paraId="02C60414" w14:textId="77777777" w:rsidR="004C2AD9" w:rsidRDefault="004C2AD9" w:rsidP="004C2AD9">
      <w:pPr>
        <w:pStyle w:val="FootnoteText"/>
      </w:pPr>
      <w:r>
        <w:rPr>
          <w:rStyle w:val="FootnoteReference"/>
        </w:rPr>
        <w:footnoteRef/>
      </w:r>
      <w:r>
        <w:t xml:space="preserve"> PĮ 64 straipsnio 11 dalis ir Socialiai atsakingų pirkimų gairių 12-13 psl. </w:t>
      </w:r>
      <w:r w:rsidRPr="009E30B4">
        <w:t>https://vpt.lrv.lt/media/viesa/saugykla/2024/7/tBhBH8kwY2I.pdf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54251596"/>
      <w:docPartObj>
        <w:docPartGallery w:val="Page Numbers (Top of Page)"/>
        <w:docPartUnique/>
      </w:docPartObj>
    </w:sdtPr>
    <w:sdtEndPr>
      <w:rPr>
        <w:rFonts w:ascii="Franklin Gothic Book" w:hAnsi="Franklin Gothic Book" w:cstheme="minorBidi"/>
        <w:sz w:val="12"/>
        <w:szCs w:val="12"/>
      </w:rPr>
    </w:sdtEndPr>
    <w:sdtContent>
      <w:p w14:paraId="361CABC3" w14:textId="77777777" w:rsidR="000F3D9B" w:rsidRPr="004E16BF" w:rsidRDefault="000F3D9B" w:rsidP="00BE7BF4">
        <w:pPr>
          <w:tabs>
            <w:tab w:val="center" w:pos="4819"/>
            <w:tab w:val="right" w:pos="9638"/>
          </w:tabs>
          <w:spacing w:after="0" w:line="240" w:lineRule="auto"/>
          <w:jc w:val="right"/>
          <w:rPr>
            <w:rFonts w:ascii="Arial" w:eastAsia="Calibri" w:hAnsi="Arial" w:cs="Arial"/>
            <w:sz w:val="20"/>
            <w:szCs w:val="20"/>
          </w:rPr>
        </w:pPr>
      </w:p>
      <w:p w14:paraId="361CABC4" w14:textId="77777777" w:rsidR="000F3D9B" w:rsidRPr="00BE7BF4" w:rsidRDefault="00000000" w:rsidP="00BE7BF4">
        <w:pPr>
          <w:tabs>
            <w:tab w:val="center" w:pos="4819"/>
            <w:tab w:val="right" w:pos="9638"/>
          </w:tabs>
          <w:spacing w:after="0" w:line="240" w:lineRule="auto"/>
          <w:rPr>
            <w:rFonts w:ascii="Franklin Gothic Book" w:hAnsi="Franklin Gothic Book"/>
            <w:sz w:val="12"/>
            <w:szCs w:val="12"/>
          </w:rPr>
        </w:pPr>
      </w:p>
    </w:sdtContent>
  </w:sdt>
  <w:p w14:paraId="361CABC5" w14:textId="77777777" w:rsidR="000F3D9B" w:rsidRDefault="000F3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76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10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64"/>
    <w:rsid w:val="000221F4"/>
    <w:rsid w:val="00032B0D"/>
    <w:rsid w:val="00043AC6"/>
    <w:rsid w:val="00052145"/>
    <w:rsid w:val="00066FE9"/>
    <w:rsid w:val="000802ED"/>
    <w:rsid w:val="00093C45"/>
    <w:rsid w:val="00095A2D"/>
    <w:rsid w:val="000A0447"/>
    <w:rsid w:val="000A6EAE"/>
    <w:rsid w:val="000B2657"/>
    <w:rsid w:val="000C264F"/>
    <w:rsid w:val="000C522C"/>
    <w:rsid w:val="000E2D3A"/>
    <w:rsid w:val="000E2D7E"/>
    <w:rsid w:val="000E2F35"/>
    <w:rsid w:val="000F23AA"/>
    <w:rsid w:val="000F3D9B"/>
    <w:rsid w:val="00107D64"/>
    <w:rsid w:val="00121838"/>
    <w:rsid w:val="00121EF5"/>
    <w:rsid w:val="00142EF8"/>
    <w:rsid w:val="001446C1"/>
    <w:rsid w:val="00146DDE"/>
    <w:rsid w:val="0015216C"/>
    <w:rsid w:val="00153ED4"/>
    <w:rsid w:val="001615CC"/>
    <w:rsid w:val="00174F5D"/>
    <w:rsid w:val="00184FE8"/>
    <w:rsid w:val="001919CB"/>
    <w:rsid w:val="00191C73"/>
    <w:rsid w:val="001A6B72"/>
    <w:rsid w:val="001B7278"/>
    <w:rsid w:val="001B7ED3"/>
    <w:rsid w:val="001C452E"/>
    <w:rsid w:val="001D1ED9"/>
    <w:rsid w:val="001D58C0"/>
    <w:rsid w:val="001D5EED"/>
    <w:rsid w:val="001D708C"/>
    <w:rsid w:val="001E1FCA"/>
    <w:rsid w:val="001E3CF6"/>
    <w:rsid w:val="001E482C"/>
    <w:rsid w:val="001E5C63"/>
    <w:rsid w:val="001F5928"/>
    <w:rsid w:val="0021010C"/>
    <w:rsid w:val="00211915"/>
    <w:rsid w:val="002206A1"/>
    <w:rsid w:val="00225BD9"/>
    <w:rsid w:val="00226BC8"/>
    <w:rsid w:val="00273445"/>
    <w:rsid w:val="00297BB4"/>
    <w:rsid w:val="002A20F7"/>
    <w:rsid w:val="002A7FD0"/>
    <w:rsid w:val="002B39FC"/>
    <w:rsid w:val="002B44D0"/>
    <w:rsid w:val="002C22DF"/>
    <w:rsid w:val="002D18EB"/>
    <w:rsid w:val="002E25D1"/>
    <w:rsid w:val="002E323E"/>
    <w:rsid w:val="002F0AF4"/>
    <w:rsid w:val="00304D09"/>
    <w:rsid w:val="003060E1"/>
    <w:rsid w:val="00320213"/>
    <w:rsid w:val="00321DC5"/>
    <w:rsid w:val="00342E19"/>
    <w:rsid w:val="0034770A"/>
    <w:rsid w:val="0036131E"/>
    <w:rsid w:val="003653D3"/>
    <w:rsid w:val="00367D6B"/>
    <w:rsid w:val="00371CB9"/>
    <w:rsid w:val="00374425"/>
    <w:rsid w:val="00377F0B"/>
    <w:rsid w:val="00394840"/>
    <w:rsid w:val="00395B67"/>
    <w:rsid w:val="0039654F"/>
    <w:rsid w:val="003A34CB"/>
    <w:rsid w:val="003B59C4"/>
    <w:rsid w:val="003C26C6"/>
    <w:rsid w:val="003C3A5F"/>
    <w:rsid w:val="003C4E47"/>
    <w:rsid w:val="003C58BF"/>
    <w:rsid w:val="003D0CDF"/>
    <w:rsid w:val="003D10C2"/>
    <w:rsid w:val="003D3CF2"/>
    <w:rsid w:val="003D7630"/>
    <w:rsid w:val="003E2556"/>
    <w:rsid w:val="003E7E9E"/>
    <w:rsid w:val="003F0D5A"/>
    <w:rsid w:val="003F34ED"/>
    <w:rsid w:val="0040242F"/>
    <w:rsid w:val="00430651"/>
    <w:rsid w:val="00435D0B"/>
    <w:rsid w:val="0043786C"/>
    <w:rsid w:val="00447332"/>
    <w:rsid w:val="00447805"/>
    <w:rsid w:val="00454AE1"/>
    <w:rsid w:val="004559A1"/>
    <w:rsid w:val="004565D5"/>
    <w:rsid w:val="00462D9E"/>
    <w:rsid w:val="00474328"/>
    <w:rsid w:val="00484397"/>
    <w:rsid w:val="004A2A80"/>
    <w:rsid w:val="004B250A"/>
    <w:rsid w:val="004C0D0E"/>
    <w:rsid w:val="004C2AD9"/>
    <w:rsid w:val="004C4DA2"/>
    <w:rsid w:val="004C7627"/>
    <w:rsid w:val="004D6886"/>
    <w:rsid w:val="004D7F73"/>
    <w:rsid w:val="004E2E55"/>
    <w:rsid w:val="004E477C"/>
    <w:rsid w:val="00505AA2"/>
    <w:rsid w:val="00514FBF"/>
    <w:rsid w:val="005312A8"/>
    <w:rsid w:val="00537356"/>
    <w:rsid w:val="00540055"/>
    <w:rsid w:val="00555443"/>
    <w:rsid w:val="00573D85"/>
    <w:rsid w:val="005C4922"/>
    <w:rsid w:val="005D2AE0"/>
    <w:rsid w:val="005E39AC"/>
    <w:rsid w:val="005F6E80"/>
    <w:rsid w:val="00602995"/>
    <w:rsid w:val="00626901"/>
    <w:rsid w:val="00633D22"/>
    <w:rsid w:val="0063461D"/>
    <w:rsid w:val="00651404"/>
    <w:rsid w:val="00656CB7"/>
    <w:rsid w:val="006614D0"/>
    <w:rsid w:val="0067241A"/>
    <w:rsid w:val="006823CB"/>
    <w:rsid w:val="00684C3A"/>
    <w:rsid w:val="00695B3E"/>
    <w:rsid w:val="00696876"/>
    <w:rsid w:val="006A018F"/>
    <w:rsid w:val="006A29A9"/>
    <w:rsid w:val="006A41C7"/>
    <w:rsid w:val="006B67F3"/>
    <w:rsid w:val="006C7286"/>
    <w:rsid w:val="006D10DF"/>
    <w:rsid w:val="006D2A43"/>
    <w:rsid w:val="006F552C"/>
    <w:rsid w:val="006F6CFF"/>
    <w:rsid w:val="00707DD7"/>
    <w:rsid w:val="007457E2"/>
    <w:rsid w:val="00745C05"/>
    <w:rsid w:val="007505C3"/>
    <w:rsid w:val="00752664"/>
    <w:rsid w:val="007758DC"/>
    <w:rsid w:val="0077754D"/>
    <w:rsid w:val="00786168"/>
    <w:rsid w:val="0078791F"/>
    <w:rsid w:val="00794F24"/>
    <w:rsid w:val="007B648C"/>
    <w:rsid w:val="007C066E"/>
    <w:rsid w:val="007C168E"/>
    <w:rsid w:val="00801B7D"/>
    <w:rsid w:val="00802774"/>
    <w:rsid w:val="00820DC9"/>
    <w:rsid w:val="00826040"/>
    <w:rsid w:val="008276DC"/>
    <w:rsid w:val="00831525"/>
    <w:rsid w:val="00842643"/>
    <w:rsid w:val="00844750"/>
    <w:rsid w:val="00880DB8"/>
    <w:rsid w:val="008902D7"/>
    <w:rsid w:val="008914BC"/>
    <w:rsid w:val="008A5BAF"/>
    <w:rsid w:val="008B5B63"/>
    <w:rsid w:val="008B7D9D"/>
    <w:rsid w:val="008D0250"/>
    <w:rsid w:val="008E04FB"/>
    <w:rsid w:val="009031C5"/>
    <w:rsid w:val="00903A07"/>
    <w:rsid w:val="0090434D"/>
    <w:rsid w:val="00932174"/>
    <w:rsid w:val="00932D7D"/>
    <w:rsid w:val="00935446"/>
    <w:rsid w:val="00943C2E"/>
    <w:rsid w:val="00946D34"/>
    <w:rsid w:val="00956826"/>
    <w:rsid w:val="0096090A"/>
    <w:rsid w:val="009638BD"/>
    <w:rsid w:val="0096569C"/>
    <w:rsid w:val="00966004"/>
    <w:rsid w:val="00971309"/>
    <w:rsid w:val="00975DD2"/>
    <w:rsid w:val="00983455"/>
    <w:rsid w:val="00983699"/>
    <w:rsid w:val="00990277"/>
    <w:rsid w:val="00995C9F"/>
    <w:rsid w:val="009A300B"/>
    <w:rsid w:val="009A36A5"/>
    <w:rsid w:val="009C11D9"/>
    <w:rsid w:val="009C2613"/>
    <w:rsid w:val="009D18E4"/>
    <w:rsid w:val="009E0D59"/>
    <w:rsid w:val="009E139A"/>
    <w:rsid w:val="009E30B4"/>
    <w:rsid w:val="009F2562"/>
    <w:rsid w:val="00A06803"/>
    <w:rsid w:val="00A07833"/>
    <w:rsid w:val="00A12717"/>
    <w:rsid w:val="00A12AC3"/>
    <w:rsid w:val="00A1487F"/>
    <w:rsid w:val="00A1623B"/>
    <w:rsid w:val="00A17FBE"/>
    <w:rsid w:val="00A17FE6"/>
    <w:rsid w:val="00A20A4E"/>
    <w:rsid w:val="00A2271B"/>
    <w:rsid w:val="00A2292F"/>
    <w:rsid w:val="00A24EBB"/>
    <w:rsid w:val="00A36516"/>
    <w:rsid w:val="00A41AE4"/>
    <w:rsid w:val="00A55E6C"/>
    <w:rsid w:val="00A80A3A"/>
    <w:rsid w:val="00A95293"/>
    <w:rsid w:val="00AA7721"/>
    <w:rsid w:val="00AC3F4B"/>
    <w:rsid w:val="00AD10A6"/>
    <w:rsid w:val="00AD111E"/>
    <w:rsid w:val="00AD5D1C"/>
    <w:rsid w:val="00AD7275"/>
    <w:rsid w:val="00AE3432"/>
    <w:rsid w:val="00AF1FDC"/>
    <w:rsid w:val="00AF5F22"/>
    <w:rsid w:val="00B1335B"/>
    <w:rsid w:val="00B3640B"/>
    <w:rsid w:val="00B443FA"/>
    <w:rsid w:val="00B55FDA"/>
    <w:rsid w:val="00B64AE5"/>
    <w:rsid w:val="00B64D85"/>
    <w:rsid w:val="00B76674"/>
    <w:rsid w:val="00B80E4D"/>
    <w:rsid w:val="00B85082"/>
    <w:rsid w:val="00B86E2B"/>
    <w:rsid w:val="00B95F08"/>
    <w:rsid w:val="00BB6113"/>
    <w:rsid w:val="00BB6F21"/>
    <w:rsid w:val="00BD6114"/>
    <w:rsid w:val="00BE50D2"/>
    <w:rsid w:val="00BE527B"/>
    <w:rsid w:val="00BF0996"/>
    <w:rsid w:val="00BF34E4"/>
    <w:rsid w:val="00C03327"/>
    <w:rsid w:val="00C033E1"/>
    <w:rsid w:val="00C035D3"/>
    <w:rsid w:val="00C0746C"/>
    <w:rsid w:val="00C07BED"/>
    <w:rsid w:val="00C17CAD"/>
    <w:rsid w:val="00C34A66"/>
    <w:rsid w:val="00C369B1"/>
    <w:rsid w:val="00C40C59"/>
    <w:rsid w:val="00C441AD"/>
    <w:rsid w:val="00C46DD6"/>
    <w:rsid w:val="00C53C5E"/>
    <w:rsid w:val="00C548DA"/>
    <w:rsid w:val="00C579C0"/>
    <w:rsid w:val="00C76815"/>
    <w:rsid w:val="00C7727D"/>
    <w:rsid w:val="00C8529E"/>
    <w:rsid w:val="00C96303"/>
    <w:rsid w:val="00CA0DE2"/>
    <w:rsid w:val="00CA1861"/>
    <w:rsid w:val="00CA2631"/>
    <w:rsid w:val="00CA4E22"/>
    <w:rsid w:val="00CC0F88"/>
    <w:rsid w:val="00CC3042"/>
    <w:rsid w:val="00CC31CD"/>
    <w:rsid w:val="00CD0EA0"/>
    <w:rsid w:val="00CD28A8"/>
    <w:rsid w:val="00CD5C34"/>
    <w:rsid w:val="00CD7EC3"/>
    <w:rsid w:val="00CE4609"/>
    <w:rsid w:val="00CF4048"/>
    <w:rsid w:val="00D010F4"/>
    <w:rsid w:val="00D05756"/>
    <w:rsid w:val="00D153D6"/>
    <w:rsid w:val="00D33FC8"/>
    <w:rsid w:val="00D42801"/>
    <w:rsid w:val="00D43045"/>
    <w:rsid w:val="00D54D79"/>
    <w:rsid w:val="00D6419A"/>
    <w:rsid w:val="00D70343"/>
    <w:rsid w:val="00D7621A"/>
    <w:rsid w:val="00D94ECB"/>
    <w:rsid w:val="00DC77A1"/>
    <w:rsid w:val="00DD2146"/>
    <w:rsid w:val="00DD55F8"/>
    <w:rsid w:val="00DD5C44"/>
    <w:rsid w:val="00DE39FA"/>
    <w:rsid w:val="00DE53B4"/>
    <w:rsid w:val="00DE60C1"/>
    <w:rsid w:val="00DF39A1"/>
    <w:rsid w:val="00E02710"/>
    <w:rsid w:val="00E07E6D"/>
    <w:rsid w:val="00E11D23"/>
    <w:rsid w:val="00E12862"/>
    <w:rsid w:val="00E1510C"/>
    <w:rsid w:val="00E3084C"/>
    <w:rsid w:val="00E44387"/>
    <w:rsid w:val="00E44E24"/>
    <w:rsid w:val="00E4606F"/>
    <w:rsid w:val="00E56FA1"/>
    <w:rsid w:val="00E62D8B"/>
    <w:rsid w:val="00E645D4"/>
    <w:rsid w:val="00E671B9"/>
    <w:rsid w:val="00E71248"/>
    <w:rsid w:val="00E82C2B"/>
    <w:rsid w:val="00E831E0"/>
    <w:rsid w:val="00E84FFC"/>
    <w:rsid w:val="00EA0ECE"/>
    <w:rsid w:val="00EA16F0"/>
    <w:rsid w:val="00EA3062"/>
    <w:rsid w:val="00EB2F25"/>
    <w:rsid w:val="00EC5136"/>
    <w:rsid w:val="00EC7A3E"/>
    <w:rsid w:val="00ED1A0E"/>
    <w:rsid w:val="00F0177F"/>
    <w:rsid w:val="00F16FC5"/>
    <w:rsid w:val="00F212AA"/>
    <w:rsid w:val="00F37811"/>
    <w:rsid w:val="00F41B12"/>
    <w:rsid w:val="00F4346B"/>
    <w:rsid w:val="00F45077"/>
    <w:rsid w:val="00F50DD2"/>
    <w:rsid w:val="00F54E08"/>
    <w:rsid w:val="00F56841"/>
    <w:rsid w:val="00F64813"/>
    <w:rsid w:val="00F76CF5"/>
    <w:rsid w:val="00F90EF5"/>
    <w:rsid w:val="00FA19E5"/>
    <w:rsid w:val="00FB4001"/>
    <w:rsid w:val="00FB4449"/>
    <w:rsid w:val="00FC7BD6"/>
    <w:rsid w:val="00FD7043"/>
    <w:rsid w:val="00FE0A33"/>
    <w:rsid w:val="00FF3734"/>
    <w:rsid w:val="00FF602A"/>
    <w:rsid w:val="00FF623C"/>
    <w:rsid w:val="00FF65D3"/>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AB36"/>
  <w15:chartTrackingRefBased/>
  <w15:docId w15:val="{B8CA1742-8880-4434-AD9C-17468841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F4"/>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0F4"/>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rsid w:val="00D010F4"/>
    <w:rPr>
      <w:rFonts w:eastAsiaTheme="minorEastAsia" w:cs="Times New Roman"/>
      <w:lang w:eastAsia="zh-CN"/>
    </w:rPr>
  </w:style>
  <w:style w:type="paragraph" w:styleId="Footer">
    <w:name w:val="footer"/>
    <w:basedOn w:val="Normal"/>
    <w:link w:val="FooterChar"/>
    <w:uiPriority w:val="99"/>
    <w:unhideWhenUsed/>
    <w:rsid w:val="00D01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F4"/>
    <w:rPr>
      <w:rFonts w:eastAsiaTheme="minorEastAsia"/>
      <w:lang w:eastAsia="zh-CN"/>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D010F4"/>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TableGrid">
    <w:name w:val="Table Grid"/>
    <w:basedOn w:val="TableNormal"/>
    <w:uiPriority w:val="59"/>
    <w:rsid w:val="00D010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rsid w:val="00D010F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C2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6C6"/>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A06803"/>
    <w:rPr>
      <w:sz w:val="16"/>
      <w:szCs w:val="16"/>
    </w:rPr>
  </w:style>
  <w:style w:type="paragraph" w:styleId="CommentText">
    <w:name w:val="annotation text"/>
    <w:basedOn w:val="Normal"/>
    <w:link w:val="CommentTextChar"/>
    <w:uiPriority w:val="99"/>
    <w:unhideWhenUsed/>
    <w:rsid w:val="00A06803"/>
    <w:pPr>
      <w:spacing w:line="240" w:lineRule="auto"/>
    </w:pPr>
    <w:rPr>
      <w:sz w:val="20"/>
      <w:szCs w:val="20"/>
    </w:rPr>
  </w:style>
  <w:style w:type="character" w:customStyle="1" w:styleId="CommentTextChar">
    <w:name w:val="Comment Text Char"/>
    <w:basedOn w:val="DefaultParagraphFont"/>
    <w:link w:val="CommentText"/>
    <w:uiPriority w:val="99"/>
    <w:rsid w:val="00A06803"/>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A06803"/>
    <w:rPr>
      <w:b/>
      <w:bCs/>
    </w:rPr>
  </w:style>
  <w:style w:type="character" w:customStyle="1" w:styleId="CommentSubjectChar">
    <w:name w:val="Comment Subject Char"/>
    <w:basedOn w:val="CommentTextChar"/>
    <w:link w:val="CommentSubject"/>
    <w:uiPriority w:val="99"/>
    <w:semiHidden/>
    <w:rsid w:val="00A06803"/>
    <w:rPr>
      <w:rFonts w:eastAsiaTheme="minorEastAsia"/>
      <w:b/>
      <w:bCs/>
      <w:sz w:val="20"/>
      <w:szCs w:val="20"/>
      <w:lang w:eastAsia="zh-CN"/>
    </w:rPr>
  </w:style>
  <w:style w:type="paragraph" w:styleId="Revision">
    <w:name w:val="Revision"/>
    <w:hidden/>
    <w:uiPriority w:val="99"/>
    <w:semiHidden/>
    <w:rsid w:val="00B1335B"/>
    <w:pPr>
      <w:spacing w:after="0" w:line="240" w:lineRule="auto"/>
    </w:pPr>
    <w:rPr>
      <w:rFonts w:eastAsiaTheme="minorEastAsia"/>
      <w:lang w:eastAsia="zh-CN"/>
    </w:rPr>
  </w:style>
  <w:style w:type="paragraph" w:customStyle="1" w:styleId="pf0">
    <w:name w:val="pf0"/>
    <w:basedOn w:val="Normal"/>
    <w:rsid w:val="00DC77A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C77A1"/>
    <w:rPr>
      <w:rFonts w:ascii="Segoe UI" w:hAnsi="Segoe UI" w:cs="Segoe UI" w:hint="default"/>
      <w:sz w:val="18"/>
      <w:szCs w:val="18"/>
    </w:rPr>
  </w:style>
  <w:style w:type="character" w:customStyle="1" w:styleId="cf11">
    <w:name w:val="cf11"/>
    <w:basedOn w:val="DefaultParagraphFont"/>
    <w:rsid w:val="00DC77A1"/>
    <w:rPr>
      <w:rFonts w:ascii="Segoe UI" w:hAnsi="Segoe UI" w:cs="Segoe UI" w:hint="default"/>
      <w:b/>
      <w:bCs/>
      <w:sz w:val="18"/>
      <w:szCs w:val="18"/>
    </w:rPr>
  </w:style>
  <w:style w:type="character" w:customStyle="1" w:styleId="cf21">
    <w:name w:val="cf21"/>
    <w:basedOn w:val="DefaultParagraphFont"/>
    <w:rsid w:val="00DC77A1"/>
    <w:rPr>
      <w:rFonts w:ascii="Segoe UI" w:hAnsi="Segoe UI" w:cs="Segoe UI" w:hint="default"/>
      <w:sz w:val="18"/>
      <w:szCs w:val="18"/>
      <w:u w:val="single"/>
    </w:rPr>
  </w:style>
  <w:style w:type="paragraph" w:styleId="FootnoteText">
    <w:name w:val="footnote text"/>
    <w:basedOn w:val="Normal"/>
    <w:link w:val="FootnoteTextChar"/>
    <w:uiPriority w:val="99"/>
    <w:semiHidden/>
    <w:unhideWhenUsed/>
    <w:rsid w:val="004D7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F73"/>
    <w:rPr>
      <w:rFonts w:eastAsiaTheme="minorEastAsia"/>
      <w:sz w:val="20"/>
      <w:szCs w:val="20"/>
      <w:lang w:eastAsia="zh-CN"/>
    </w:rPr>
  </w:style>
  <w:style w:type="character" w:styleId="FootnoteReference">
    <w:name w:val="footnote reference"/>
    <w:basedOn w:val="DefaultParagraphFont"/>
    <w:uiPriority w:val="99"/>
    <w:semiHidden/>
    <w:unhideWhenUsed/>
    <w:rsid w:val="004D7F73"/>
    <w:rPr>
      <w:vertAlign w:val="superscript"/>
    </w:rPr>
  </w:style>
  <w:style w:type="character" w:customStyle="1" w:styleId="Bodytext2">
    <w:name w:val="Body text (2)_"/>
    <w:link w:val="Bodytext20"/>
    <w:locked/>
    <w:rsid w:val="00C441AD"/>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C441AD"/>
    <w:pPr>
      <w:shd w:val="clear" w:color="auto" w:fill="FFFFFF"/>
      <w:spacing w:after="0" w:line="269" w:lineRule="exact"/>
      <w:ind w:hanging="400"/>
    </w:pPr>
    <w:rPr>
      <w:rFonts w:ascii="Times New Roman" w:eastAsiaTheme="minorHAnsi" w:hAnsi="Times New Roman" w:cs="Times New Roman"/>
      <w:i/>
      <w:iCs/>
      <w:sz w:val="23"/>
      <w:szCs w:val="23"/>
      <w:lang w:eastAsia="en-US"/>
    </w:rPr>
  </w:style>
  <w:style w:type="table" w:customStyle="1" w:styleId="5sraolenteltamsi1parykinimas1">
    <w:name w:val="5 sąrašo lentelė (tamsi) – 1 paryškinimas1"/>
    <w:basedOn w:val="TableNormal"/>
    <w:next w:val="ListTable5Dark-Accent1"/>
    <w:uiPriority w:val="50"/>
    <w:rsid w:val="004C2AD9"/>
    <w:pPr>
      <w:spacing w:after="0" w:line="240" w:lineRule="auto"/>
    </w:pPr>
    <w:rPr>
      <w:rFonts w:ascii="Calibri" w:eastAsia="Calibri" w:hAnsi="Calibri" w:cs="Times New Roman"/>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C2AD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3367">
      <w:bodyDiv w:val="1"/>
      <w:marLeft w:val="0"/>
      <w:marRight w:val="0"/>
      <w:marTop w:val="0"/>
      <w:marBottom w:val="0"/>
      <w:divBdr>
        <w:top w:val="none" w:sz="0" w:space="0" w:color="auto"/>
        <w:left w:val="none" w:sz="0" w:space="0" w:color="auto"/>
        <w:bottom w:val="none" w:sz="0" w:space="0" w:color="auto"/>
        <w:right w:val="none" w:sz="0" w:space="0" w:color="auto"/>
      </w:divBdr>
    </w:div>
    <w:div w:id="7611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0F1331DAF71A2498A9184806B4D2DCC" ma:contentTypeVersion="18" ma:contentTypeDescription="Kurkite naują dokumentą." ma:contentTypeScope="" ma:versionID="f942678cbf18759cc27d4050688f24b3">
  <xsd:schema xmlns:xsd="http://www.w3.org/2001/XMLSchema" xmlns:xs="http://www.w3.org/2001/XMLSchema" xmlns:p="http://schemas.microsoft.com/office/2006/metadata/properties" xmlns:ns2="9377c045-d2a4-4a1a-ba8f-18faa7726f7a" xmlns:ns3="6e9f86bc-44ee-496c-9830-33f9067c40e5" targetNamespace="http://schemas.microsoft.com/office/2006/metadata/properties" ma:root="true" ma:fieldsID="43d31ace43e829f38ca4482691e6d816" ns2:_="" ns3:_="">
    <xsd:import namespace="9377c045-d2a4-4a1a-ba8f-18faa7726f7a"/>
    <xsd:import namespace="6e9f86bc-44ee-496c-9830-33f9067c40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c045-d2a4-4a1a-ba8f-18faa7726f7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a17fbaa2-040e-4292-aa07-504e61d4dc2a}" ma:internalName="TaxCatchAll" ma:showField="CatchAllData" ma:web="9377c045-d2a4-4a1a-ba8f-18faa7726f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f86bc-44ee-496c-9830-33f9067c40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9f86bc-44ee-496c-9830-33f9067c40e5">
      <Terms xmlns="http://schemas.microsoft.com/office/infopath/2007/PartnerControls"/>
    </lcf76f155ced4ddcb4097134ff3c332f>
    <TaxCatchAll xmlns="9377c045-d2a4-4a1a-ba8f-18faa7726f7a" xsi:nil="true"/>
  </documentManagement>
</p:properties>
</file>

<file path=customXml/itemProps1.xml><?xml version="1.0" encoding="utf-8"?>
<ds:datastoreItem xmlns:ds="http://schemas.openxmlformats.org/officeDocument/2006/customXml" ds:itemID="{99E396DD-B7D3-4823-AE53-27D9742E822E}">
  <ds:schemaRefs>
    <ds:schemaRef ds:uri="http://schemas.openxmlformats.org/officeDocument/2006/bibliography"/>
  </ds:schemaRefs>
</ds:datastoreItem>
</file>

<file path=customXml/itemProps2.xml><?xml version="1.0" encoding="utf-8"?>
<ds:datastoreItem xmlns:ds="http://schemas.openxmlformats.org/officeDocument/2006/customXml" ds:itemID="{EAF5605C-298F-4B41-B79C-306DEA93B393}">
  <ds:schemaRefs>
    <ds:schemaRef ds:uri="http://schemas.microsoft.com/sharepoint/v3/contenttype/forms"/>
  </ds:schemaRefs>
</ds:datastoreItem>
</file>

<file path=customXml/itemProps3.xml><?xml version="1.0" encoding="utf-8"?>
<ds:datastoreItem xmlns:ds="http://schemas.openxmlformats.org/officeDocument/2006/customXml" ds:itemID="{78E81D9A-869C-4A0D-AF0A-40C531E3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c045-d2a4-4a1a-ba8f-18faa7726f7a"/>
    <ds:schemaRef ds:uri="6e9f86bc-44ee-496c-9830-33f9067c4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1A044-F24E-4FE1-A336-FBEB396C081E}">
  <ds:schemaRefs>
    <ds:schemaRef ds:uri="http://schemas.microsoft.com/office/2006/metadata/properties"/>
    <ds:schemaRef ds:uri="http://schemas.microsoft.com/office/infopath/2007/PartnerControls"/>
    <ds:schemaRef ds:uri="6e9f86bc-44ee-496c-9830-33f9067c40e5"/>
    <ds:schemaRef ds:uri="9377c045-d2a4-4a1a-ba8f-18faa7726f7a"/>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3046</Words>
  <Characters>1737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ARDICKAS</dc:creator>
  <cp:keywords/>
  <dc:description/>
  <cp:lastModifiedBy>Mantas  Pranskūnas</cp:lastModifiedBy>
  <cp:revision>115</cp:revision>
  <dcterms:created xsi:type="dcterms:W3CDTF">2022-09-29T08:43:00Z</dcterms:created>
  <dcterms:modified xsi:type="dcterms:W3CDTF">2025-02-10T09:50:00Z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0x01010000F1331DAF71A2498A9184806B4D2DCC</vt:lpwstr>
  </property>
</Properties>
</file>