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游ゴシック Light" w:cs="Times New Roman" w:asciiTheme="majorHAnsi" w:cstheme="majorBidi" w:eastAsiaTheme="majorEastAsia" w:hAnsiTheme="majorHAnsi"/>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eastAsia="游ゴシック Light" w:cs="Times New Roman" w:ascii="Calibri Light" w:hAnsi="Calibri Light" w:asciiTheme="majorHAnsi" w:cstheme="majorBidi" w:eastAsiaTheme="majorEastAsia" w:hAnsiTheme="majorHAnsi"/>
                        <w:color w:themeColor="accent1" w:val="4472C4"/>
                        <w:sz w:val="88"/>
                        <w:szCs w:val="88"/>
                        <w:lang w:val="lt-LT"/>
                      </w:rPr>
                    </w:r>
                    <w:r>
                      <w:rPr>
                        <w:rFonts w:eastAsia="游ゴシック Light" w:cs="Times New Roman" w:ascii="Calibri Light" w:hAnsi="Calibri Light" w:asciiTheme="majorHAnsi" w:cstheme="majorBidi" w:eastAsiaTheme="majorEastAsia" w:hAnsiTheme="majorHAnsi"/>
                        <w:color w:themeColor="accent1" w:val="4472C4"/>
                        <w:sz w:val="88"/>
                        <w:szCs w:val="88"/>
                        <w:lang w:val="lt-LT"/>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color w:themeColor="accent1" w:themeShade="bf" w:val="2F5496"/>
                        <w:sz w:val="24"/>
                        <w:szCs w:val="24"/>
                        <w:lang w:val="lt-LT"/>
                      </w:rPr>
                    </w:r>
                    <w:r>
                      <w:rPr>
                        <w:color w:themeColor="accent1" w:themeShade="bf" w:val="2F5496"/>
                        <w:sz w:val="24"/>
                        <w:szCs w:val="24"/>
                        <w:lang w:val="lt-LT"/>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TOCHeading"/>
            <w:rPr>
              <w:lang w:val="lt-LT"/>
            </w:rPr>
          </w:pPr>
          <w:r>
            <w:rPr>
              <w:lang w:val="lt-LT"/>
            </w:rPr>
            <w:t>Turinys</w:t>
          </w:r>
        </w:p>
        <w:p>
          <w:pPr>
            <w:pStyle w:val="TOC1"/>
            <w:rPr>
              <w:rFonts w:eastAsia="游明朝" w:cs="Arial" w:cstheme="minorBidi" w:eastAsiaTheme="minorEastAsia"/>
              <w:sz w:val="22"/>
              <w:szCs w:val="22"/>
              <w:lang w:val="en-US"/>
            </w:rPr>
          </w:pPr>
          <w:r>
            <w:fldChar w:fldCharType="begin"/>
          </w:r>
          <w:r>
            <w:rPr>
              <w:webHidden/>
              <w:rStyle w:val="Rodyklssaitas"/>
              <w:b w:val="false"/>
              <w:bCs w:val="false"/>
              <w:rFonts w:cs="Calibri"/>
            </w:rPr>
            <w:instrText xml:space="preserve"> TOC \z \o "1-3" \u \h</w:instrText>
          </w:r>
          <w:r>
            <w:rPr>
              <w:webHidden/>
              <w:rStyle w:val="Rodyklssaitas"/>
              <w:b w:val="false"/>
              <w:bCs w:val="false"/>
              <w:rFonts w:cs="Calibri"/>
            </w:rPr>
            <w:fldChar w:fldCharType="separate"/>
          </w:r>
          <w:hyperlink w:anchor="_Toc126263048">
            <w:r>
              <w:rPr>
                <w:webHidden/>
                <w:rStyle w:val="Rodyklssaitas"/>
                <w:rFonts w:cs="Calibri" w:cstheme="minorHAnsi"/>
                <w:b w:val="false"/>
                <w:bCs w:val="false"/>
              </w:rPr>
              <w:t>1.</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Rodyklssaitas"/>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49">
            <w:r>
              <w:rPr>
                <w:webHidden/>
                <w:rStyle w:val="Rodyklssaitas"/>
                <w:rFonts w:cs="Calibri" w:cstheme="minorHAnsi"/>
                <w:b w:val="false"/>
                <w:bCs w:val="false"/>
              </w:rPr>
              <w:t>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Rodyklssaitas"/>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50">
            <w:r>
              <w:rPr>
                <w:webHidden/>
                <w:rStyle w:val="Rodyklssaitas"/>
                <w:rFonts w:cs="Calibri" w:cstheme="minorHAnsi"/>
                <w:b w:val="false"/>
                <w:bCs w:val="false"/>
              </w:rPr>
              <w:t>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Rodyklssaitas"/>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1">
            <w:r>
              <w:rPr>
                <w:webHidden/>
                <w:rStyle w:val="Rodyklssaitas"/>
                <w:rFonts w:cs="Calibri" w:cstheme="minorHAnsi"/>
                <w:b w:val="false"/>
                <w:bCs w:val="false"/>
              </w:rPr>
              <w:t>4.</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Rodyklssaitas"/>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2">
            <w:r>
              <w:rPr>
                <w:webHidden/>
                <w:rStyle w:val="Rodyklssaitas"/>
                <w:rFonts w:cs="Calibri" w:cstheme="minorHAnsi"/>
                <w:b w:val="false"/>
                <w:bCs w:val="false"/>
              </w:rPr>
              <w:t>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Rodyklssaitas"/>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3">
            <w:r>
              <w:rPr>
                <w:webHidden/>
                <w:rStyle w:val="Rodyklssaitas"/>
                <w:rFonts w:cs="Calibri" w:cstheme="minorHAnsi"/>
                <w:b w:val="false"/>
                <w:bCs w:val="false"/>
              </w:rPr>
              <w:t>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Rodyklssaitas"/>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4">
            <w:r>
              <w:rPr>
                <w:webHidden/>
                <w:rStyle w:val="Rodyklssaitas"/>
                <w:rFonts w:cs="Calibri" w:cstheme="minorHAnsi"/>
                <w:b w:val="false"/>
                <w:bCs w:val="false"/>
              </w:rPr>
              <w:t>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Rodyklssaitas"/>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5">
            <w:r>
              <w:rPr>
                <w:webHidden/>
                <w:rStyle w:val="Rodyklssaitas"/>
                <w:rFonts w:cs="Calibri" w:cstheme="minorHAnsi"/>
                <w:b w:val="false"/>
                <w:bCs w:val="false"/>
              </w:rPr>
              <w:t>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Rodyklssaitas"/>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6">
            <w:r>
              <w:rPr>
                <w:webHidden/>
                <w:rStyle w:val="Rodyklssaitas"/>
                <w:rFonts w:cs="Calibri" w:cstheme="minorHAnsi"/>
                <w:b w:val="false"/>
                <w:bCs w:val="false"/>
              </w:rPr>
              <w:t>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Rodyklssaitas"/>
                <w:vanish w:val="false"/>
              </w:rPr>
              <w:tab/>
              <w:t>7</w:t>
            </w:r>
            <w:r>
              <w:rPr>
                <w:webHidden/>
              </w:rPr>
              <w:fldChar w:fldCharType="end"/>
            </w:r>
          </w:hyperlink>
        </w:p>
        <w:p>
          <w:pPr>
            <w:pStyle w:val="TOC1"/>
            <w:rPr>
              <w:rFonts w:eastAsia="游明朝" w:cs="Arial" w:cstheme="minorBidi" w:eastAsiaTheme="minorEastAsia"/>
              <w:sz w:val="22"/>
              <w:szCs w:val="22"/>
              <w:lang w:val="en-US"/>
            </w:rPr>
          </w:pPr>
          <w:hyperlink w:anchor="_Toc126263057">
            <w:r>
              <w:rPr>
                <w:webHidden/>
                <w:rStyle w:val="Rodyklssaitas"/>
                <w:rFonts w:cs="Calibri" w:cstheme="minorHAnsi"/>
                <w:b w:val="false"/>
                <w:bCs w:val="false"/>
              </w:rPr>
              <w:t>10.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Rodyklssaitas"/>
                <w:vanish w:val="false"/>
              </w:rPr>
              <w:tab/>
              <w:t>8</w:t>
            </w:r>
            <w:r>
              <w:rPr>
                <w:webHidden/>
              </w:rPr>
              <w:fldChar w:fldCharType="end"/>
            </w:r>
          </w:hyperlink>
        </w:p>
        <w:p>
          <w:pPr>
            <w:pStyle w:val="TOC1"/>
            <w:rPr>
              <w:rFonts w:eastAsia="游明朝" w:cs="Arial" w:cstheme="minorBidi" w:eastAsiaTheme="minorEastAsia"/>
              <w:sz w:val="22"/>
              <w:szCs w:val="22"/>
              <w:lang w:val="en-US"/>
            </w:rPr>
          </w:pPr>
          <w:hyperlink w:anchor="_Toc126263058">
            <w:r>
              <w:rPr>
                <w:webHidden/>
                <w:rStyle w:val="Rodyklssaitas"/>
                <w:rFonts w:cs="Calibri"/>
                <w:b w:val="false"/>
                <w:bCs w:val="false"/>
              </w:rPr>
              <w:t>11.</w:t>
            </w:r>
            <w:r>
              <w:rPr>
                <w:rStyle w:val="Rodyklssaitas"/>
                <w:rFonts w:eastAsia="游明朝" w:cs="Arial" w:cstheme="minorBidi" w:eastAsiaTheme="minorEastAsia"/>
                <w:sz w:val="22"/>
                <w:szCs w:val="22"/>
                <w:lang w:val="en-US"/>
              </w:rPr>
              <w:tab/>
            </w:r>
            <w:r>
              <w:rPr>
                <w:rStyle w:val="Rodyklssaitas"/>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59">
            <w:r>
              <w:rPr>
                <w:webHidden/>
                <w:rStyle w:val="Rodyklssaitas"/>
                <w:rFonts w:cs="Calibri" w:cstheme="minorHAnsi"/>
                <w:b w:val="false"/>
                <w:bCs w:val="false"/>
              </w:rPr>
              <w:t>12.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0">
            <w:r>
              <w:rPr>
                <w:webHidden/>
                <w:rStyle w:val="Rodyklssaitas"/>
                <w:rFonts w:cs="Calibri" w:cstheme="minorHAnsi"/>
                <w:b w:val="false"/>
                <w:bCs w:val="false"/>
              </w:rPr>
              <w:t>13.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1">
            <w:r>
              <w:rPr>
                <w:webHidden/>
                <w:rStyle w:val="Rodyklssaitas"/>
                <w:rFonts w:cs="Calibri" w:cstheme="minorHAnsi"/>
                <w:b w:val="false"/>
                <w:bCs w:val="false"/>
              </w:rPr>
              <w:t>14.          Pasiūlymų šifravimas</w:t>
            </w:r>
            <w:r>
              <w:rPr>
                <w:webHidden/>
              </w:rPr>
              <w:fldChar w:fldCharType="begin"/>
            </w:r>
            <w:r>
              <w:rPr>
                <w:webHidden/>
              </w:rPr>
              <w:instrText xml:space="preserve">PAGEREF _Toc126263061 \h</w:instrText>
            </w:r>
            <w:r>
              <w:rPr>
                <w:webHidden/>
              </w:rPr>
              <w:fldChar w:fldCharType="separate"/>
            </w:r>
            <w:r>
              <w:rPr>
                <w:rStyle w:val="Rodyklssaitas"/>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2">
            <w:r>
              <w:rPr>
                <w:webHidden/>
                <w:rStyle w:val="Rodyklssaitas"/>
                <w:rFonts w:cs="Calibri" w:cstheme="minorHAnsi"/>
                <w:b w:val="false"/>
                <w:bCs w:val="false"/>
              </w:rPr>
              <w:t>15.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Rodyklssaitas"/>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3">
            <w:r>
              <w:rPr>
                <w:webHidden/>
                <w:rStyle w:val="Rodyklssaitas"/>
                <w:rFonts w:cs="Calibri" w:cstheme="minorHAnsi"/>
                <w:b w:val="false"/>
                <w:bCs w:val="false"/>
              </w:rPr>
              <w:t>16.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Rodyklssaitas"/>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4">
            <w:r>
              <w:rPr>
                <w:webHidden/>
                <w:rStyle w:val="Rodyklssaitas"/>
                <w:rFonts w:cs="Calibri" w:cstheme="minorHAnsi"/>
                <w:b w:val="false"/>
                <w:bCs w:val="false"/>
              </w:rPr>
              <w:t>17.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Rodyklssaitas"/>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5">
            <w:r>
              <w:rPr>
                <w:webHidden/>
                <w:rStyle w:val="Rodyklssaitas"/>
                <w:rFonts w:eastAsia="Calibri" w:cs="Calibri" w:cstheme="minorHAnsi" w:eastAsiaTheme="minorHAnsi"/>
                <w:b w:val="false"/>
                <w:bCs w:val="false"/>
                <w:iCs/>
              </w:rPr>
              <w:t>18.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Rodyklssaitas"/>
                <w:vanish w:val="false"/>
              </w:rPr>
              <w:tab/>
              <w:t>13</w:t>
            </w:r>
            <w:r>
              <w:rPr>
                <w:webHidden/>
              </w:rPr>
              <w:fldChar w:fldCharType="end"/>
            </w:r>
          </w:hyperlink>
        </w:p>
        <w:p>
          <w:pPr>
            <w:pStyle w:val="TOC1"/>
            <w:rPr>
              <w:rFonts w:eastAsia="游明朝" w:cs="Arial" w:cstheme="minorBidi" w:eastAsiaTheme="minorEastAsia"/>
              <w:sz w:val="22"/>
              <w:szCs w:val="22"/>
              <w:lang w:val="en-US"/>
            </w:rPr>
          </w:pPr>
          <w:hyperlink w:anchor="_Toc126263066">
            <w:r>
              <w:rPr>
                <w:webHidden/>
                <w:rStyle w:val="Rodyklssaitas"/>
                <w:rFonts w:eastAsia="Times New Roman" w:cs="Calibri" w:cstheme="minorHAnsi"/>
                <w:b w:val="false"/>
                <w:bCs w:val="false"/>
              </w:rPr>
              <w:t>19.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Rodyklssaitas"/>
                <w:vanish w:val="false"/>
              </w:rPr>
              <w:tab/>
              <w:t>14</w:t>
            </w:r>
            <w:r>
              <w:rPr>
                <w:webHidden/>
              </w:rPr>
              <w:fldChar w:fldCharType="end"/>
            </w:r>
          </w:hyperlink>
        </w:p>
        <w:p>
          <w:pPr>
            <w:pStyle w:val="TOC1"/>
            <w:rPr>
              <w:rFonts w:eastAsia="游明朝" w:cs="Arial" w:cstheme="minorBidi" w:eastAsiaTheme="minorEastAsia"/>
              <w:sz w:val="22"/>
              <w:szCs w:val="22"/>
              <w:lang w:val="en-US"/>
            </w:rPr>
          </w:pPr>
          <w:hyperlink w:anchor="_Toc126263067">
            <w:r>
              <w:rPr>
                <w:webHidden/>
                <w:rStyle w:val="Rodyklssaitas"/>
                <w:rFonts w:eastAsia="Times New Roman" w:cs="Calibri" w:cstheme="minorHAnsi"/>
                <w:b w:val="false"/>
                <w:bCs w:val="false"/>
              </w:rPr>
              <w:t>20.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Rodyklssaitas"/>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8">
            <w:r>
              <w:rPr>
                <w:webHidden/>
                <w:rStyle w:val="Rodyklssaitas"/>
                <w:rFonts w:eastAsia="Times New Roman"/>
                <w:b w:val="false"/>
                <w:bCs w:val="false"/>
              </w:rPr>
              <w:t>21.</w:t>
            </w:r>
            <w:r>
              <w:rPr>
                <w:rStyle w:val="Rodyklssaitas"/>
                <w:rFonts w:eastAsia="游明朝" w:cs="Arial" w:cstheme="minorBidi" w:eastAsiaTheme="minorEastAsia"/>
                <w:sz w:val="22"/>
                <w:szCs w:val="22"/>
                <w:lang w:val="en-US"/>
              </w:rPr>
              <w:tab/>
            </w:r>
            <w:r>
              <w:rPr>
                <w:rStyle w:val="Rodyklssaitas"/>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Rodyklssaitas"/>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9">
            <w:r>
              <w:rPr>
                <w:webHidden/>
                <w:rStyle w:val="Rodyklssaitas"/>
                <w:rFonts w:eastAsia="Times New Roman" w:cs="Calibri" w:cstheme="minorHAnsi"/>
                <w:b w:val="false"/>
                <w:bCs w:val="false"/>
              </w:rPr>
              <w:t>22.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Rodyklssaitas"/>
                <w:vanish w:val="false"/>
              </w:rPr>
              <w:tab/>
              <w:t>16</w:t>
            </w:r>
            <w:r>
              <w:rPr>
                <w:webHidden/>
              </w:rPr>
              <w:fldChar w:fldCharType="end"/>
            </w:r>
          </w:hyperlink>
        </w:p>
        <w:p>
          <w:pPr>
            <w:pStyle w:val="Normal"/>
            <w:rPr>
              <w:lang w:val="lt-LT"/>
            </w:rPr>
          </w:pPr>
          <w:r>
            <w:rPr>
              <w:lang w:val="lt-LT"/>
            </w:rPr>
          </w:r>
          <w:r>
            <w:rPr>
              <w:lang w:val="lt-LT"/>
            </w:rPr>
            <w:fldChar w:fldCharType="end"/>
          </w:r>
        </w:p>
      </w:sdtContent>
    </w:sdt>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rPr/>
        <w:t>(</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4"/>
      <w:bookmarkEnd w:id="75"/>
      <w:bookmarkEnd w:id="76"/>
      <w:bookmarkEnd w:id="77"/>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Hlk91497587"/>
      <w:bookmarkStart w:id="87" w:name="_Toc126263061"/>
      <w:bookmarkStart w:id="88" w:name="_Toc48053175"/>
      <w:bookmarkEnd w:id="86"/>
      <w:r>
        <w:rPr>
          <w:rFonts w:cs="Calibri" w:ascii="Calibri" w:hAnsi="Calibri" w:asciiTheme="minorHAnsi" w:cstheme="minorHAnsi" w:hAnsiTheme="minorHAnsi"/>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Hlk91497587"/>
      <w:bookmarkStart w:id="90" w:name="_Ref39754676"/>
      <w:bookmarkEnd w:id="89"/>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90"/>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Hlk91497725"/>
      <w:bookmarkStart w:id="95" w:name="_Toc126263062"/>
      <w:bookmarkStart w:id="96" w:name="_Toc48053176"/>
      <w:bookmarkStart w:id="97" w:name="_Ref38971207"/>
      <w:bookmarkStart w:id="98" w:name="_Ref38971193"/>
      <w:bookmarkEnd w:id="94"/>
      <w:r>
        <w:rPr>
          <w:rFonts w:cs="Calibri" w:ascii="Calibri" w:hAnsi="Calibri" w:asciiTheme="minorHAnsi" w:cstheme="minorHAnsi" w:hAnsiTheme="minorHAnsi"/>
          <w:color w:val="auto"/>
          <w:lang w:val="lt-LT"/>
        </w:rPr>
        <w:t>Susipažinimas su pasiūlymais</w:t>
      </w:r>
      <w:bookmarkEnd w:id="95"/>
      <w:bookmarkEnd w:id="96"/>
      <w:bookmarkEnd w:id="97"/>
      <w:bookmarkEnd w:id="98"/>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Hlk91497725"/>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Calibri" w:ascii="Calibri" w:hAnsi="Calibri" w:asciiTheme="minorHAnsi" w:cstheme="minorHAnsi" w:hAnsiTheme="minorHAnsi"/>
          <w:color w:val="auto"/>
          <w:lang w:val="lt-LT"/>
        </w:rPr>
        <w:t>Elektroninis aukcionas</w:t>
      </w:r>
      <w:bookmarkEnd w:id="103"/>
      <w:bookmarkEnd w:id="104"/>
      <w:bookmarkEnd w:id="105"/>
      <w:bookmarkEnd w:id="106"/>
      <w:bookmarkEnd w:id="107"/>
      <w:bookmarkEnd w:id="108"/>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Bendrosios sąlygos - 2024-11-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Inaosrameny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p>
    <w:p>
      <w:pPr>
        <w:pStyle w:val="FootnoteText"/>
        <w:spacing w:before="0" w:after="0"/>
        <w:rPr>
          <w:lang w:val="lt-LT"/>
        </w:rPr>
      </w:pPr>
      <w:r>
        <w:rPr/>
      </w:r>
    </w:p>
  </w:footnote>
  <w:footnote w:id="3">
    <w:p>
      <w:pPr>
        <w:pStyle w:val="FootnoteText"/>
        <w:spacing w:lineRule="auto" w:line="240" w:before="0" w:after="0"/>
        <w:rPr>
          <w:lang w:val="lt-LT"/>
        </w:rPr>
      </w:pPr>
      <w:r>
        <w:rPr>
          <w:rStyle w:val="Inaosrameny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Inaosrameny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Inaosrameny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184b8c"/>
    <w:rPr>
      <w:lang w:val="lt-LT"/>
    </w:rPr>
  </w:style>
  <w:style w:type="character" w:styleId="FooterChar" w:customStyle="1">
    <w:name w:val="Footer Char"/>
    <w:basedOn w:val="DefaultParagraphFont"/>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uiPriority w:val="99"/>
    <w:qFormat/>
    <w:rsid w:val="00f42204"/>
    <w:rPr>
      <w:rFonts w:eastAsia="游明朝" w:eastAsiaTheme="minorEastAsia"/>
      <w:sz w:val="20"/>
      <w:szCs w:val="20"/>
      <w:lang w:val="lt-LT" w:eastAsia="lt-LT"/>
    </w:rPr>
  </w:style>
  <w:style w:type="character" w:styleId="Inaosramenys">
    <w:name w:val="Išnašos rašmeny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Rodyklssaitas">
    <w:name w:val="Rodyklės saitas"/>
    <w:qFormat/>
    <w:rPr/>
  </w:style>
  <w:style w:type="character" w:styleId="EndnoteReference">
    <w:name w:val="Endnote Reference"/>
    <w:rPr>
      <w:vertAlign w:val="superscript"/>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Antrat"/>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20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17</Pages>
  <Words>7602</Words>
  <Characters>55661</Characters>
  <CharactersWithSpaces>62933</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lt-LT</dc:language>
  <cp:lastModifiedBy/>
  <dcterms:modified xsi:type="dcterms:W3CDTF">2024-11-27T11:57:00Z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