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2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>Karlo Gustavo Emilio Manerheimo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2528BE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2528BE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0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1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3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Karlo Gustavo Emilio Manerheimo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  <w:endnote w:type="continuationNotice" w:id="1">
    <w:p w14:paraId="42AE09ED" w14:textId="77777777" w:rsidR="002528BE" w:rsidRDefault="00252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type="continuationNotice" w:id="1">
    <w:p w14:paraId="1C65E066" w14:textId="77777777" w:rsidR="002528BE" w:rsidRDefault="002528BE"/>
  </w:footnote>
  <w:footnote w:id="2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28BB"/>
    <w:rsid w:val="002362F0"/>
    <w:rsid w:val="00236744"/>
    <w:rsid w:val="00243AB7"/>
    <w:rsid w:val="00247577"/>
    <w:rsid w:val="002528BE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61EB8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D2212"/>
    <w:rsid w:val="007D6BC5"/>
    <w:rsid w:val="007E5FC5"/>
    <w:rsid w:val="007E7D69"/>
    <w:rsid w:val="007F701A"/>
    <w:rsid w:val="00806351"/>
    <w:rsid w:val="00825428"/>
    <w:rsid w:val="008255B6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B7AE2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C6EAF"/>
    <w:rsid w:val="00DD2CDD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45135"/>
  <w15:chartTrackingRefBased/>
  <w15:docId w15:val="{A4EA646A-E7D2-4FEC-8134-B981B94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252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8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saskait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s.peppol.eu/edelivery/as4/specific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ppol.eu/who-is-who/peppol-certified-ap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1A968A2657F46AD156403FC2971AE" ma:contentTypeVersion="13" ma:contentTypeDescription="Create a new document." ma:contentTypeScope="" ma:versionID="665fa958d50b4c4b9c86b686b12f1da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4ace649aec96bbbdb558f549a94d17eb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A3DD1-BDE4-41F1-8808-A231A21CFF2F}"/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  <ds:schemaRef ds:uri="8605939f-1cfc-4471-a243-a7c05fd71520"/>
    <ds:schemaRef ds:uri="04db478a-6c81-4b04-b1b4-c3abb414f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1640</Words>
  <Characters>9350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Aušra Želvienė</cp:lastModifiedBy>
  <cp:revision>28</cp:revision>
  <cp:lastPrinted>2020-03-04T21:58:00Z</cp:lastPrinted>
  <dcterms:created xsi:type="dcterms:W3CDTF">2020-04-06T14:39:00Z</dcterms:created>
  <dcterms:modified xsi:type="dcterms:W3CDTF">2024-09-18T19:54:00Z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0x010100FC41A968A2657F46AD156403FC2971AE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  <property fmtid="{D5CDD505-2E9C-101B-9397-08002B2CF9AE}" pid="28" name="MediaServiceImageTags">
    <vt:lpwstr/>
  </property>
</Properties>
</file>