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1A78DD23" w:rsidR="004D0B62" w:rsidRPr="00B46D5B" w:rsidRDefault="00702D7D" w:rsidP="004D0B62">
      <w:pPr>
        <w:pStyle w:val="Pavadinimas"/>
        <w:spacing w:line="276" w:lineRule="auto"/>
        <w:rPr>
          <w:rFonts w:ascii="Arial" w:hAnsi="Arial" w:cs="Arial"/>
          <w:noProof/>
          <w:sz w:val="20"/>
          <w:lang w:val="lt-LT"/>
        </w:rPr>
      </w:pPr>
      <w:bookmarkStart w:id="0" w:name="_Hlk92286278"/>
      <w:bookmarkStart w:id="1" w:name="_Hlk78355290"/>
      <w:permStart w:id="1192720300" w:edGrp="everyone"/>
      <w:r>
        <w:rPr>
          <w:rFonts w:ascii="Arial" w:hAnsi="Arial" w:cs="Arial"/>
          <w:noProof/>
          <w:sz w:val="20"/>
          <w:lang w:val="lt-LT"/>
        </w:rPr>
        <w:t xml:space="preserve">Elektros prekių </w:t>
      </w:r>
      <w:r w:rsidR="004D0B62" w:rsidRPr="00B46D5B">
        <w:rPr>
          <w:rFonts w:ascii="Arial" w:hAnsi="Arial" w:cs="Arial"/>
          <w:noProof/>
          <w:sz w:val="20"/>
          <w:lang w:val="lt-LT"/>
        </w:rPr>
        <w:t>PIRKIMO–PARDAVIMO sutartis</w:t>
      </w:r>
      <w:r w:rsidR="00C34B79" w:rsidRPr="00B46D5B">
        <w:rPr>
          <w:rFonts w:ascii="Arial" w:hAnsi="Arial" w:cs="Arial"/>
          <w:noProof/>
          <w:sz w:val="20"/>
          <w:lang w:val="lt-LT"/>
        </w:rPr>
        <w:t xml:space="preserve"> </w:t>
      </w:r>
      <w:r w:rsidR="00493716" w:rsidRPr="00B46D5B">
        <w:rPr>
          <w:rFonts w:ascii="Arial" w:hAnsi="Arial" w:cs="Arial"/>
          <w:noProof/>
          <w:sz w:val="20"/>
          <w:lang w:val="lt-LT"/>
        </w:rPr>
        <w:t>NR.____________</w:t>
      </w:r>
    </w:p>
    <w:p w14:paraId="3D903A01" w14:textId="1D48A30A"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702D7D">
        <w:rPr>
          <w:rFonts w:ascii="Arial" w:hAnsi="Arial" w:cs="Arial"/>
          <w:noProof/>
          <w:sz w:val="20"/>
          <w:szCs w:val="20"/>
          <w:lang w:val="lt-LT"/>
        </w:rPr>
        <w:t>5</w:t>
      </w:r>
      <w:r w:rsidRPr="00B46D5B">
        <w:rPr>
          <w:rFonts w:ascii="Arial" w:hAnsi="Arial" w:cs="Arial"/>
          <w:noProof/>
          <w:sz w:val="20"/>
          <w:szCs w:val="20"/>
          <w:lang w:val="lt-LT"/>
        </w:rPr>
        <w:t xml:space="preserve">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shd w:val="clear" w:color="auto" w:fill="auto"/>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shd w:val="clear" w:color="auto" w:fill="auto"/>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shd w:val="clear" w:color="auto" w:fill="auto"/>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shd w:val="clear" w:color="auto" w:fill="auto"/>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shd w:val="clear" w:color="auto" w:fill="auto"/>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shd w:val="clear" w:color="auto" w:fill="auto"/>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shd w:val="clear" w:color="auto" w:fill="auto"/>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shd w:val="clear" w:color="auto" w:fill="auto"/>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shd w:val="clear" w:color="auto" w:fill="auto"/>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shd w:val="clear" w:color="auto" w:fill="auto"/>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shd w:val="clear" w:color="auto" w:fill="auto"/>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shd w:val="clear" w:color="auto" w:fill="auto"/>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shd w:val="clear" w:color="auto" w:fill="auto"/>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shd w:val="clear" w:color="auto" w:fill="auto"/>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shd w:val="clear" w:color="auto" w:fill="auto"/>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shd w:val="clear" w:color="auto" w:fill="auto"/>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shd w:val="clear" w:color="auto" w:fill="auto"/>
          </w:tcPr>
          <w:p w14:paraId="1D3EEEE9" w14:textId="77777777" w:rsidR="009F797C" w:rsidRPr="00B46D5B" w:rsidRDefault="009F797C" w:rsidP="009F797C">
            <w:pPr>
              <w:jc w:val="both"/>
              <w:rPr>
                <w:rFonts w:ascii="Arial" w:hAnsi="Arial" w:cs="Arial"/>
                <w:bCs/>
                <w:noProof/>
                <w:sz w:val="20"/>
                <w:szCs w:val="20"/>
                <w:lang w:val="lt-LT"/>
              </w:rPr>
            </w:pPr>
            <w:r w:rsidRPr="00B46D5B">
              <w:rPr>
                <w:rFonts w:ascii="Arial" w:hAnsi="Arial" w:cs="Arial"/>
                <w:bCs/>
                <w:noProof/>
                <w:sz w:val="20"/>
                <w:szCs w:val="20"/>
                <w:lang w:val="lt-LT"/>
              </w:rPr>
              <w:t>Atstovaujamas</w:t>
            </w:r>
            <w:r w:rsidR="007B5BC9" w:rsidRPr="00B46D5B">
              <w:rPr>
                <w:rFonts w:ascii="Arial" w:hAnsi="Arial" w:cs="Arial"/>
                <w:bCs/>
                <w:noProof/>
                <w:sz w:val="20"/>
                <w:szCs w:val="20"/>
                <w:lang w:val="lt-LT"/>
              </w:rPr>
              <w:t xml:space="preserve"> generalinio direktoriaus</w:t>
            </w:r>
          </w:p>
          <w:p w14:paraId="12601792" w14:textId="2BBD04C3" w:rsidR="007B5BC9" w:rsidRPr="00B46D5B" w:rsidRDefault="30C72468" w:rsidP="594AB177">
            <w:pPr>
              <w:jc w:val="both"/>
              <w:rPr>
                <w:rFonts w:ascii="Arial" w:hAnsi="Arial" w:cs="Arial"/>
                <w:noProof/>
                <w:sz w:val="20"/>
                <w:szCs w:val="20"/>
                <w:lang w:val="lt-LT"/>
              </w:rPr>
            </w:pPr>
            <w:r w:rsidRPr="00B46D5B">
              <w:rPr>
                <w:rFonts w:ascii="Arial" w:hAnsi="Arial" w:cs="Arial"/>
                <w:noProof/>
                <w:sz w:val="20"/>
                <w:szCs w:val="20"/>
                <w:lang w:val="lt-LT"/>
              </w:rPr>
              <w:t>Tomo Garasimavičiaus</w:t>
            </w:r>
          </w:p>
        </w:tc>
        <w:tc>
          <w:tcPr>
            <w:tcW w:w="5544" w:type="dxa"/>
            <w:shd w:val="clear" w:color="auto" w:fill="auto"/>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Tekstoblokas"/>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276"/>
        <w:gridCol w:w="4381"/>
      </w:tblGrid>
      <w:tr w:rsidR="006E3778" w:rsidRPr="00B46D5B" w14:paraId="2DECBE7E" w14:textId="77777777" w:rsidTr="002F4F14">
        <w:trPr>
          <w:trHeight w:val="48"/>
        </w:trPr>
        <w:tc>
          <w:tcPr>
            <w:tcW w:w="2263" w:type="dxa"/>
            <w:shd w:val="clear" w:color="auto" w:fill="auto"/>
          </w:tcPr>
          <w:p w14:paraId="4D63B661" w14:textId="41AC5424" w:rsidR="0080095A" w:rsidRPr="00B46D5B" w:rsidRDefault="00DA6A5D" w:rsidP="00C17A98">
            <w:pPr>
              <w:rPr>
                <w:rFonts w:ascii="Arial" w:hAnsi="Arial" w:cs="Arial"/>
                <w:noProof/>
                <w:sz w:val="20"/>
                <w:szCs w:val="20"/>
                <w:lang w:val="lt-LT"/>
              </w:rPr>
            </w:pPr>
            <w:bookmarkStart w:id="2" w:name="_Hlk78355459"/>
            <w:r>
              <w:rPr>
                <w:rFonts w:ascii="Arial" w:hAnsi="Arial" w:cs="Arial"/>
                <w:noProof/>
                <w:sz w:val="20"/>
                <w:szCs w:val="20"/>
                <w:lang w:val="lt-LT"/>
              </w:rPr>
              <w:t xml:space="preserve">1. </w:t>
            </w:r>
            <w:r w:rsidR="00493716" w:rsidRPr="00B46D5B">
              <w:rPr>
                <w:rFonts w:ascii="Arial" w:hAnsi="Arial" w:cs="Arial"/>
                <w:noProof/>
                <w:sz w:val="20"/>
                <w:szCs w:val="20"/>
                <w:lang w:val="lt-LT"/>
              </w:rPr>
              <w:t xml:space="preserve">Prekių pavadinimas: </w:t>
            </w:r>
          </w:p>
        </w:tc>
        <w:tc>
          <w:tcPr>
            <w:tcW w:w="7925" w:type="dxa"/>
            <w:gridSpan w:val="3"/>
            <w:shd w:val="clear" w:color="auto" w:fill="auto"/>
          </w:tcPr>
          <w:p w14:paraId="0558777E" w14:textId="4EF23257" w:rsidR="0080095A" w:rsidRPr="00702D7D" w:rsidRDefault="00702D7D" w:rsidP="594AB177">
            <w:pPr>
              <w:jc w:val="both"/>
              <w:rPr>
                <w:rFonts w:ascii="Arial" w:hAnsi="Arial" w:cs="Arial"/>
                <w:noProof/>
                <w:sz w:val="20"/>
                <w:szCs w:val="20"/>
                <w:lang w:val="lt-LT"/>
              </w:rPr>
            </w:pPr>
            <w:r w:rsidRPr="00702D7D">
              <w:rPr>
                <w:rFonts w:ascii="Arial" w:hAnsi="Arial" w:cs="Arial"/>
                <w:noProof/>
                <w:sz w:val="20"/>
                <w:szCs w:val="20"/>
                <w:lang w:val="lt-LT"/>
              </w:rPr>
              <w:t>Elektros prekės</w:t>
            </w:r>
          </w:p>
        </w:tc>
      </w:tr>
      <w:tr w:rsidR="006E3778" w:rsidRPr="00B46D5B" w14:paraId="503179F7" w14:textId="77777777" w:rsidTr="002F4F14">
        <w:trPr>
          <w:trHeight w:val="48"/>
        </w:trPr>
        <w:tc>
          <w:tcPr>
            <w:tcW w:w="2263" w:type="dxa"/>
            <w:shd w:val="clear" w:color="auto" w:fill="auto"/>
          </w:tcPr>
          <w:p w14:paraId="6B8CB07E" w14:textId="135F0788" w:rsidR="00186006" w:rsidRPr="00B46D5B" w:rsidRDefault="00DA6A5D" w:rsidP="00C17A98">
            <w:pPr>
              <w:tabs>
                <w:tab w:val="left" w:pos="426"/>
              </w:tabs>
              <w:ind w:left="22" w:hanging="22"/>
              <w:rPr>
                <w:rFonts w:ascii="Arial" w:hAnsi="Arial" w:cs="Arial"/>
                <w:noProof/>
                <w:sz w:val="20"/>
                <w:szCs w:val="20"/>
                <w:lang w:val="lt-LT"/>
              </w:rPr>
            </w:pPr>
            <w:r>
              <w:rPr>
                <w:rFonts w:ascii="Arial" w:hAnsi="Arial" w:cs="Arial"/>
                <w:noProof/>
                <w:sz w:val="20"/>
                <w:szCs w:val="20"/>
                <w:lang w:val="lt-LT"/>
              </w:rPr>
              <w:t xml:space="preserve">2. </w:t>
            </w:r>
            <w:r w:rsidR="006516F2" w:rsidRPr="00B46D5B">
              <w:rPr>
                <w:rFonts w:ascii="Arial" w:hAnsi="Arial" w:cs="Arial"/>
                <w:noProof/>
                <w:sz w:val="20"/>
                <w:szCs w:val="20"/>
                <w:lang w:val="lt-LT"/>
              </w:rPr>
              <w:t>Sutarties terminas:</w:t>
            </w:r>
          </w:p>
        </w:tc>
        <w:tc>
          <w:tcPr>
            <w:tcW w:w="7925" w:type="dxa"/>
            <w:gridSpan w:val="3"/>
            <w:shd w:val="clear" w:color="auto" w:fill="auto"/>
          </w:tcPr>
          <w:p w14:paraId="0F5BCF6E" w14:textId="12B04393" w:rsidR="000D00A7" w:rsidRPr="00B46D5B" w:rsidRDefault="00CF5AD4" w:rsidP="000D00A7">
            <w:pPr>
              <w:jc w:val="both"/>
              <w:rPr>
                <w:rFonts w:ascii="Arial" w:hAnsi="Arial" w:cs="Arial"/>
                <w:noProof/>
                <w:sz w:val="20"/>
                <w:szCs w:val="20"/>
                <w:lang w:val="lt-LT"/>
              </w:rPr>
            </w:pPr>
            <w:r>
              <w:rPr>
                <w:rFonts w:ascii="Arial" w:hAnsi="Arial" w:cs="Arial"/>
                <w:noProof/>
                <w:sz w:val="20"/>
                <w:szCs w:val="20"/>
                <w:lang w:val="lt-LT"/>
              </w:rPr>
              <w:t xml:space="preserve">Sutarties </w:t>
            </w:r>
            <w:r w:rsidRPr="00CF5AD4">
              <w:rPr>
                <w:rFonts w:ascii="Arial" w:hAnsi="Arial" w:cs="Arial"/>
                <w:noProof/>
                <w:sz w:val="20"/>
                <w:szCs w:val="20"/>
                <w:lang w:val="lt-LT"/>
              </w:rPr>
              <w:t>galioj</w:t>
            </w:r>
            <w:r>
              <w:rPr>
                <w:rFonts w:ascii="Arial" w:hAnsi="Arial" w:cs="Arial"/>
                <w:noProof/>
                <w:sz w:val="20"/>
                <w:szCs w:val="20"/>
                <w:lang w:val="lt-LT"/>
              </w:rPr>
              <w:t>imo terminas</w:t>
            </w:r>
            <w:r w:rsidRPr="00CF5AD4">
              <w:rPr>
                <w:rFonts w:ascii="Arial" w:hAnsi="Arial" w:cs="Arial"/>
                <w:noProof/>
                <w:sz w:val="20"/>
                <w:szCs w:val="20"/>
                <w:lang w:val="lt-LT"/>
              </w:rPr>
              <w:t xml:space="preserve"> 12 (dvylika) mėnesių nuo Sutarties </w:t>
            </w:r>
            <w:r>
              <w:rPr>
                <w:rFonts w:ascii="Arial" w:hAnsi="Arial" w:cs="Arial"/>
                <w:noProof/>
                <w:sz w:val="20"/>
                <w:szCs w:val="20"/>
                <w:lang w:val="lt-LT"/>
              </w:rPr>
              <w:t>įsigaliojimo</w:t>
            </w:r>
            <w:r w:rsidRPr="00CF5AD4">
              <w:rPr>
                <w:rFonts w:ascii="Arial" w:hAnsi="Arial" w:cs="Arial"/>
                <w:noProof/>
                <w:sz w:val="20"/>
                <w:szCs w:val="20"/>
                <w:lang w:val="lt-LT"/>
              </w:rPr>
              <w:t xml:space="preserve"> dienos, įskaitant apmokėjimo termin</w:t>
            </w:r>
            <w:r>
              <w:rPr>
                <w:rFonts w:ascii="Arial" w:hAnsi="Arial" w:cs="Arial"/>
                <w:noProof/>
                <w:sz w:val="20"/>
                <w:szCs w:val="20"/>
                <w:lang w:val="lt-LT"/>
              </w:rPr>
              <w:t>ą</w:t>
            </w:r>
            <w:r w:rsidRPr="00CF5AD4">
              <w:rPr>
                <w:rFonts w:ascii="Arial" w:hAnsi="Arial" w:cs="Arial"/>
                <w:noProof/>
                <w:sz w:val="20"/>
                <w:szCs w:val="20"/>
                <w:lang w:val="lt-LT"/>
              </w:rPr>
              <w:t xml:space="preserve">. Jei nei viena iš Šalių likus 30 (trisdešimt) dienų iki Sutarties galiojimo termino pabaigos raštu nepraneša apie nesutikimą pratęsti Sutarties galiojimo terminą, suėjus Sutarties galiojimo terminui Sutartis automatiškai pratęsiama 12 (dvylikos) mėnesių laikotarpiui. Tokiu būdu Sutartis gali būti pratęsiama </w:t>
            </w:r>
            <w:r>
              <w:rPr>
                <w:rFonts w:ascii="Arial" w:hAnsi="Arial" w:cs="Arial"/>
                <w:noProof/>
                <w:sz w:val="20"/>
                <w:szCs w:val="20"/>
                <w:lang w:val="lt-LT"/>
              </w:rPr>
              <w:t>2</w:t>
            </w:r>
            <w:r w:rsidRPr="00CF5AD4">
              <w:rPr>
                <w:rFonts w:ascii="Arial" w:hAnsi="Arial" w:cs="Arial"/>
                <w:noProof/>
                <w:sz w:val="20"/>
                <w:szCs w:val="20"/>
                <w:lang w:val="lt-LT"/>
              </w:rPr>
              <w:t xml:space="preserve"> (</w:t>
            </w:r>
            <w:r>
              <w:rPr>
                <w:rFonts w:ascii="Arial" w:hAnsi="Arial" w:cs="Arial"/>
                <w:noProof/>
                <w:sz w:val="20"/>
                <w:szCs w:val="20"/>
                <w:lang w:val="lt-LT"/>
              </w:rPr>
              <w:t>du</w:t>
            </w:r>
            <w:r w:rsidRPr="00CF5AD4">
              <w:rPr>
                <w:rFonts w:ascii="Arial" w:hAnsi="Arial" w:cs="Arial"/>
                <w:noProof/>
                <w:sz w:val="20"/>
                <w:szCs w:val="20"/>
                <w:lang w:val="lt-LT"/>
              </w:rPr>
              <w:t>) kart</w:t>
            </w:r>
            <w:r>
              <w:rPr>
                <w:rFonts w:ascii="Arial" w:hAnsi="Arial" w:cs="Arial"/>
                <w:noProof/>
                <w:sz w:val="20"/>
                <w:szCs w:val="20"/>
                <w:lang w:val="lt-LT"/>
              </w:rPr>
              <w:t>us</w:t>
            </w:r>
            <w:r w:rsidRPr="00CF5AD4">
              <w:rPr>
                <w:rFonts w:ascii="Arial" w:hAnsi="Arial" w:cs="Arial"/>
                <w:noProof/>
                <w:sz w:val="20"/>
                <w:szCs w:val="20"/>
                <w:lang w:val="lt-LT"/>
              </w:rPr>
              <w:t xml:space="preserve">. Sutarties trukmė, įskaitant pratęsimą - </w:t>
            </w:r>
            <w:r>
              <w:rPr>
                <w:rFonts w:ascii="Arial" w:hAnsi="Arial" w:cs="Arial"/>
                <w:noProof/>
                <w:sz w:val="20"/>
                <w:szCs w:val="20"/>
                <w:lang w:val="lt-LT"/>
              </w:rPr>
              <w:t>36</w:t>
            </w:r>
            <w:r w:rsidRPr="00CF5AD4">
              <w:rPr>
                <w:rFonts w:ascii="Arial" w:hAnsi="Arial" w:cs="Arial"/>
                <w:noProof/>
                <w:sz w:val="20"/>
                <w:szCs w:val="20"/>
                <w:lang w:val="lt-LT"/>
              </w:rPr>
              <w:t xml:space="preserve"> (</w:t>
            </w:r>
            <w:r>
              <w:rPr>
                <w:rFonts w:ascii="Arial" w:hAnsi="Arial" w:cs="Arial"/>
                <w:noProof/>
                <w:sz w:val="20"/>
                <w:szCs w:val="20"/>
                <w:lang w:val="lt-LT"/>
              </w:rPr>
              <w:t>trisdešimt šeši</w:t>
            </w:r>
            <w:r w:rsidRPr="00CF5AD4">
              <w:rPr>
                <w:rFonts w:ascii="Arial" w:hAnsi="Arial" w:cs="Arial"/>
                <w:noProof/>
                <w:sz w:val="20"/>
                <w:szCs w:val="20"/>
                <w:lang w:val="lt-LT"/>
              </w:rPr>
              <w:t>) mėnesiai, skaičiuojant nuo Sutarties įsigaliojimo dienos.</w:t>
            </w:r>
            <w:r>
              <w:rPr>
                <w:rFonts w:ascii="Arial" w:hAnsi="Arial" w:cs="Arial"/>
                <w:noProof/>
                <w:sz w:val="20"/>
                <w:szCs w:val="20"/>
                <w:lang w:val="lt-LT"/>
              </w:rPr>
              <w:t xml:space="preserve"> </w:t>
            </w:r>
            <w:r w:rsidRPr="00CF5AD4">
              <w:rPr>
                <w:rFonts w:ascii="Arial" w:hAnsi="Arial" w:cs="Arial"/>
                <w:noProof/>
                <w:sz w:val="20"/>
                <w:szCs w:val="20"/>
                <w:lang w:val="lt-LT"/>
              </w:rPr>
              <w:t>Įsigaliojimo data yra laikoma diena, kai Sutartį pasirašo paskutinioji Šalis. Sutartis baigiasi anksčiau termino, išnaudojus maksimalią Sutarties kainą</w:t>
            </w:r>
            <w:r>
              <w:rPr>
                <w:rFonts w:ascii="Arial" w:hAnsi="Arial" w:cs="Arial"/>
                <w:noProof/>
                <w:sz w:val="20"/>
                <w:szCs w:val="20"/>
                <w:lang w:val="lt-LT"/>
              </w:rPr>
              <w:t>.</w:t>
            </w:r>
          </w:p>
        </w:tc>
      </w:tr>
      <w:tr w:rsidR="006E3778" w:rsidRPr="00B46D5B" w14:paraId="69F60774" w14:textId="77777777" w:rsidTr="002F4F14">
        <w:trPr>
          <w:trHeight w:val="48"/>
        </w:trPr>
        <w:tc>
          <w:tcPr>
            <w:tcW w:w="2263" w:type="dxa"/>
            <w:shd w:val="clear" w:color="auto" w:fill="auto"/>
          </w:tcPr>
          <w:p w14:paraId="1520CBC1" w14:textId="64C7AE14" w:rsidR="0080095A" w:rsidRPr="00B46D5B" w:rsidRDefault="00DA6A5D" w:rsidP="00C17A98">
            <w:pPr>
              <w:tabs>
                <w:tab w:val="left" w:pos="426"/>
              </w:tabs>
              <w:rPr>
                <w:rFonts w:ascii="Arial" w:hAnsi="Arial" w:cs="Arial"/>
                <w:noProof/>
                <w:sz w:val="20"/>
                <w:szCs w:val="20"/>
                <w:lang w:val="lt-LT"/>
              </w:rPr>
            </w:pPr>
            <w:r>
              <w:rPr>
                <w:rFonts w:ascii="Arial" w:hAnsi="Arial" w:cs="Arial"/>
                <w:noProof/>
                <w:sz w:val="20"/>
                <w:szCs w:val="20"/>
                <w:lang w:val="lt-LT"/>
              </w:rPr>
              <w:t xml:space="preserve">3. </w:t>
            </w:r>
            <w:r w:rsidR="00156E77" w:rsidRPr="00B46D5B">
              <w:rPr>
                <w:rFonts w:ascii="Arial" w:hAnsi="Arial" w:cs="Arial"/>
                <w:noProof/>
                <w:sz w:val="20"/>
                <w:szCs w:val="20"/>
                <w:lang w:val="lt-LT"/>
              </w:rPr>
              <w:t xml:space="preserve">Sutarties užtikrinimas: </w:t>
            </w:r>
          </w:p>
        </w:tc>
        <w:tc>
          <w:tcPr>
            <w:tcW w:w="7925" w:type="dxa"/>
            <w:gridSpan w:val="3"/>
            <w:shd w:val="clear" w:color="auto" w:fill="auto"/>
          </w:tcPr>
          <w:p w14:paraId="2635687B" w14:textId="1B19E3B2" w:rsidR="0080095A" w:rsidRPr="00B46D5B" w:rsidRDefault="00CF5AD4" w:rsidP="009F797C">
            <w:pPr>
              <w:jc w:val="both"/>
              <w:rPr>
                <w:rFonts w:ascii="Arial" w:hAnsi="Arial" w:cs="Arial"/>
                <w:noProof/>
                <w:sz w:val="20"/>
                <w:szCs w:val="20"/>
                <w:lang w:val="lt-LT"/>
              </w:rPr>
            </w:pPr>
            <w:r w:rsidRPr="00CF5AD4">
              <w:rPr>
                <w:rFonts w:ascii="Arial" w:hAnsi="Arial" w:cs="Arial"/>
                <w:noProof/>
                <w:sz w:val="20"/>
                <w:szCs w:val="20"/>
                <w:lang w:val="lt-LT"/>
              </w:rPr>
              <w:t>Netaikoma Sutarties bendrosios dalies 5.1 – 5.5 ir 6.4 punktai.</w:t>
            </w:r>
          </w:p>
        </w:tc>
      </w:tr>
      <w:tr w:rsidR="002F4F14" w:rsidRPr="00B46D5B" w14:paraId="34B059F7" w14:textId="77777777" w:rsidTr="002F4F14">
        <w:trPr>
          <w:trHeight w:val="48"/>
        </w:trPr>
        <w:tc>
          <w:tcPr>
            <w:tcW w:w="2263" w:type="dxa"/>
            <w:shd w:val="clear" w:color="auto" w:fill="auto"/>
          </w:tcPr>
          <w:p w14:paraId="0D04543A" w14:textId="7E9BCEAD" w:rsidR="002F4F14" w:rsidRPr="00B46D5B" w:rsidRDefault="00DA6A5D" w:rsidP="00C17A98">
            <w:pPr>
              <w:tabs>
                <w:tab w:val="left" w:pos="426"/>
              </w:tabs>
              <w:rPr>
                <w:rFonts w:ascii="Arial" w:hAnsi="Arial" w:cs="Arial"/>
                <w:noProof/>
                <w:sz w:val="20"/>
                <w:szCs w:val="20"/>
                <w:lang w:val="lt-LT"/>
              </w:rPr>
            </w:pPr>
            <w:r>
              <w:rPr>
                <w:rFonts w:ascii="Arial" w:hAnsi="Arial" w:cs="Arial"/>
                <w:noProof/>
                <w:sz w:val="20"/>
                <w:szCs w:val="20"/>
                <w:lang w:val="lt-LT"/>
              </w:rPr>
              <w:t xml:space="preserve">4. </w:t>
            </w:r>
            <w:r w:rsidR="002F4F14" w:rsidRPr="00B46D5B">
              <w:rPr>
                <w:rFonts w:ascii="Arial" w:hAnsi="Arial" w:cs="Arial"/>
                <w:noProof/>
                <w:sz w:val="20"/>
                <w:szCs w:val="20"/>
                <w:lang w:val="lt-LT"/>
              </w:rPr>
              <w:t xml:space="preserve">Sutarties kainodara: </w:t>
            </w:r>
          </w:p>
        </w:tc>
        <w:tc>
          <w:tcPr>
            <w:tcW w:w="7925" w:type="dxa"/>
            <w:gridSpan w:val="3"/>
            <w:shd w:val="clear" w:color="auto" w:fill="auto"/>
          </w:tcPr>
          <w:p w14:paraId="7A1FE565" w14:textId="302CB272" w:rsidR="002F4F14" w:rsidRPr="00B46D5B" w:rsidRDefault="00CF5AD4" w:rsidP="009F797C">
            <w:pPr>
              <w:jc w:val="both"/>
              <w:rPr>
                <w:rFonts w:ascii="Arial" w:hAnsi="Arial" w:cs="Arial"/>
                <w:noProof/>
                <w:sz w:val="20"/>
                <w:szCs w:val="20"/>
                <w:lang w:val="lt-LT"/>
              </w:rPr>
            </w:pPr>
            <w:r>
              <w:rPr>
                <w:rFonts w:ascii="Arial" w:hAnsi="Arial" w:cs="Arial"/>
                <w:noProof/>
                <w:sz w:val="20"/>
                <w:szCs w:val="20"/>
                <w:lang w:val="lt-LT"/>
              </w:rPr>
              <w:t>Fiksuoto įkainio kainodara ir sutarties vykdymo išlaidų atlyginimo kainodara.</w:t>
            </w:r>
          </w:p>
        </w:tc>
      </w:tr>
      <w:tr w:rsidR="006E3778" w:rsidRPr="00B46D5B" w14:paraId="1CC8E131" w14:textId="77777777" w:rsidTr="002F4F14">
        <w:trPr>
          <w:trHeight w:val="103"/>
        </w:trPr>
        <w:tc>
          <w:tcPr>
            <w:tcW w:w="2263" w:type="dxa"/>
            <w:vMerge w:val="restart"/>
            <w:shd w:val="clear" w:color="auto" w:fill="auto"/>
            <w:vAlign w:val="center"/>
          </w:tcPr>
          <w:p w14:paraId="1E761FC2" w14:textId="2D54E6BF" w:rsidR="004C1342" w:rsidRPr="00B46D5B" w:rsidRDefault="00DA6A5D" w:rsidP="00C17A98">
            <w:pPr>
              <w:rPr>
                <w:rFonts w:ascii="Arial" w:hAnsi="Arial" w:cs="Arial"/>
                <w:noProof/>
                <w:sz w:val="20"/>
                <w:szCs w:val="20"/>
                <w:lang w:val="lt-LT"/>
              </w:rPr>
            </w:pPr>
            <w:r>
              <w:rPr>
                <w:rFonts w:ascii="Arial" w:hAnsi="Arial" w:cs="Arial"/>
                <w:noProof/>
                <w:sz w:val="20"/>
                <w:szCs w:val="20"/>
                <w:lang w:val="lt-LT"/>
              </w:rPr>
              <w:t xml:space="preserve">5. </w:t>
            </w:r>
            <w:r w:rsidR="004C1342" w:rsidRPr="00B46D5B">
              <w:rPr>
                <w:rFonts w:ascii="Arial" w:hAnsi="Arial" w:cs="Arial"/>
                <w:noProof/>
                <w:sz w:val="20"/>
                <w:szCs w:val="20"/>
                <w:lang w:val="lt-LT"/>
              </w:rPr>
              <w:t xml:space="preserve">Maksimali sutarties kaina </w:t>
            </w:r>
          </w:p>
        </w:tc>
        <w:tc>
          <w:tcPr>
            <w:tcW w:w="2268" w:type="dxa"/>
            <w:shd w:val="clear" w:color="auto" w:fill="auto"/>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276" w:type="dxa"/>
            <w:shd w:val="clear" w:color="auto" w:fill="auto"/>
          </w:tcPr>
          <w:p w14:paraId="3DD8AC46" w14:textId="687CF275" w:rsidR="004C1342" w:rsidRPr="00B46D5B" w:rsidRDefault="00CF5AD4" w:rsidP="00156E77">
            <w:pPr>
              <w:rPr>
                <w:rFonts w:ascii="Arial" w:hAnsi="Arial" w:cs="Arial"/>
                <w:noProof/>
                <w:sz w:val="20"/>
                <w:szCs w:val="20"/>
                <w:lang w:val="lt-LT"/>
              </w:rPr>
            </w:pPr>
            <w:r>
              <w:rPr>
                <w:rFonts w:ascii="Arial" w:hAnsi="Arial" w:cs="Arial"/>
                <w:noProof/>
                <w:sz w:val="20"/>
                <w:szCs w:val="20"/>
                <w:lang w:val="lt-LT"/>
              </w:rPr>
              <w:t>69309,00</w:t>
            </w:r>
            <w:r w:rsidR="00C17A98" w:rsidRPr="00B46D5B">
              <w:rPr>
                <w:rFonts w:ascii="Arial" w:hAnsi="Arial" w:cs="Arial"/>
                <w:noProof/>
                <w:sz w:val="20"/>
                <w:szCs w:val="20"/>
                <w:lang w:val="lt-LT"/>
              </w:rPr>
              <w:t xml:space="preserve"> Eur</w:t>
            </w:r>
          </w:p>
        </w:tc>
        <w:tc>
          <w:tcPr>
            <w:tcW w:w="4381" w:type="dxa"/>
            <w:shd w:val="clear" w:color="auto" w:fill="auto"/>
          </w:tcPr>
          <w:p w14:paraId="16FDAC54" w14:textId="4D924D6A" w:rsidR="004C1342" w:rsidRPr="00B46D5B" w:rsidRDefault="00CF5AD4" w:rsidP="00156E77">
            <w:pPr>
              <w:rPr>
                <w:rFonts w:ascii="Arial" w:hAnsi="Arial" w:cs="Arial"/>
                <w:noProof/>
                <w:sz w:val="20"/>
                <w:szCs w:val="20"/>
                <w:lang w:val="lt-LT"/>
              </w:rPr>
            </w:pPr>
            <w:r>
              <w:rPr>
                <w:rFonts w:ascii="Arial" w:hAnsi="Arial" w:cs="Arial"/>
                <w:noProof/>
                <w:sz w:val="20"/>
                <w:szCs w:val="20"/>
                <w:lang w:val="lt-LT"/>
              </w:rPr>
              <w:t xml:space="preserve">Šešiasdešimt devyni tūkstančiai </w:t>
            </w:r>
            <w:r w:rsidR="00DA6A5D">
              <w:rPr>
                <w:rFonts w:ascii="Arial" w:hAnsi="Arial" w:cs="Arial"/>
                <w:noProof/>
                <w:sz w:val="20"/>
                <w:szCs w:val="20"/>
                <w:lang w:val="lt-LT"/>
              </w:rPr>
              <w:t>trys šimtai devyni Eur</w:t>
            </w:r>
          </w:p>
        </w:tc>
      </w:tr>
      <w:tr w:rsidR="006E3778" w:rsidRPr="00B46D5B" w14:paraId="3A875A93" w14:textId="77777777" w:rsidTr="002F4F14">
        <w:trPr>
          <w:trHeight w:val="369"/>
        </w:trPr>
        <w:tc>
          <w:tcPr>
            <w:tcW w:w="2263" w:type="dxa"/>
            <w:vMerge/>
            <w:shd w:val="clear" w:color="auto" w:fill="auto"/>
          </w:tcPr>
          <w:p w14:paraId="0F0B6046" w14:textId="77777777" w:rsidR="004C1342" w:rsidRPr="00B46D5B" w:rsidRDefault="004C1342" w:rsidP="00C17A98">
            <w:pPr>
              <w:rPr>
                <w:rFonts w:ascii="Arial" w:hAnsi="Arial" w:cs="Arial"/>
                <w:noProof/>
                <w:sz w:val="20"/>
                <w:szCs w:val="20"/>
                <w:lang w:val="lt-LT"/>
              </w:rPr>
            </w:pPr>
          </w:p>
        </w:tc>
        <w:tc>
          <w:tcPr>
            <w:tcW w:w="2268" w:type="dxa"/>
            <w:shd w:val="clear" w:color="auto" w:fill="auto"/>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276" w:type="dxa"/>
            <w:shd w:val="clear" w:color="auto" w:fill="auto"/>
          </w:tcPr>
          <w:p w14:paraId="02621182" w14:textId="6825215B" w:rsidR="004C1342" w:rsidRPr="00B46D5B" w:rsidRDefault="00324394" w:rsidP="00156E77">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381" w:type="dxa"/>
            <w:shd w:val="clear" w:color="auto" w:fill="auto"/>
          </w:tcPr>
          <w:p w14:paraId="42791780" w14:textId="196542EA" w:rsidR="004C1342" w:rsidRPr="00B46D5B" w:rsidRDefault="004C1342" w:rsidP="00156E77">
            <w:pPr>
              <w:rPr>
                <w:rFonts w:ascii="Arial" w:hAnsi="Arial" w:cs="Arial"/>
                <w:noProof/>
                <w:sz w:val="20"/>
                <w:szCs w:val="20"/>
                <w:lang w:val="lt-LT"/>
              </w:rPr>
            </w:pPr>
          </w:p>
        </w:tc>
      </w:tr>
      <w:tr w:rsidR="006E3778" w:rsidRPr="00B46D5B" w14:paraId="33427C94" w14:textId="77777777" w:rsidTr="002F4F14">
        <w:trPr>
          <w:trHeight w:val="102"/>
        </w:trPr>
        <w:tc>
          <w:tcPr>
            <w:tcW w:w="2263" w:type="dxa"/>
            <w:vMerge/>
            <w:shd w:val="clear" w:color="auto" w:fill="auto"/>
          </w:tcPr>
          <w:p w14:paraId="75AA8168" w14:textId="77777777" w:rsidR="004C1342" w:rsidRPr="00B46D5B" w:rsidRDefault="004C1342" w:rsidP="00C17A98">
            <w:pPr>
              <w:rPr>
                <w:rFonts w:ascii="Arial" w:hAnsi="Arial" w:cs="Arial"/>
                <w:noProof/>
                <w:sz w:val="20"/>
                <w:szCs w:val="20"/>
                <w:lang w:val="lt-LT"/>
              </w:rPr>
            </w:pPr>
          </w:p>
        </w:tc>
        <w:tc>
          <w:tcPr>
            <w:tcW w:w="2268" w:type="dxa"/>
            <w:shd w:val="clear" w:color="auto" w:fill="auto"/>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276" w:type="dxa"/>
            <w:shd w:val="clear" w:color="auto" w:fill="auto"/>
          </w:tcPr>
          <w:p w14:paraId="4FEEDB70" w14:textId="737D8968" w:rsidR="004C1342" w:rsidRPr="00B46D5B" w:rsidRDefault="00324394" w:rsidP="00156E77">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381" w:type="dxa"/>
            <w:shd w:val="clear" w:color="auto" w:fill="auto"/>
          </w:tcPr>
          <w:p w14:paraId="293361FA" w14:textId="3FFABBCD" w:rsidR="004C1342" w:rsidRPr="00B46D5B" w:rsidRDefault="004C1342" w:rsidP="00156E77">
            <w:pPr>
              <w:rPr>
                <w:rFonts w:ascii="Arial" w:hAnsi="Arial" w:cs="Arial"/>
                <w:noProof/>
                <w:sz w:val="20"/>
                <w:szCs w:val="20"/>
                <w:lang w:val="lt-LT"/>
              </w:rPr>
            </w:pPr>
          </w:p>
        </w:tc>
      </w:tr>
      <w:tr w:rsidR="00650EBA" w:rsidRPr="00B46D5B" w14:paraId="019C6723" w14:textId="77777777" w:rsidTr="000D3FEA">
        <w:trPr>
          <w:trHeight w:val="96"/>
        </w:trPr>
        <w:tc>
          <w:tcPr>
            <w:tcW w:w="2263" w:type="dxa"/>
            <w:shd w:val="clear" w:color="auto" w:fill="auto"/>
            <w:vAlign w:val="center"/>
          </w:tcPr>
          <w:p w14:paraId="3AD5F32F" w14:textId="6A733C10" w:rsidR="00650EBA" w:rsidRPr="00B46D5B" w:rsidRDefault="00DA6A5D" w:rsidP="00941BF7">
            <w:pPr>
              <w:tabs>
                <w:tab w:val="left" w:pos="313"/>
              </w:tabs>
              <w:rPr>
                <w:rFonts w:ascii="Arial" w:hAnsi="Arial" w:cs="Arial"/>
                <w:noProof/>
                <w:sz w:val="20"/>
                <w:szCs w:val="20"/>
                <w:lang w:val="lt-LT"/>
              </w:rPr>
            </w:pPr>
            <w:r>
              <w:rPr>
                <w:rFonts w:ascii="Arial" w:hAnsi="Arial" w:cs="Arial"/>
                <w:noProof/>
                <w:sz w:val="20"/>
                <w:szCs w:val="20"/>
                <w:lang w:val="lt-LT"/>
              </w:rPr>
              <w:t xml:space="preserve">6. </w:t>
            </w:r>
            <w:r w:rsidR="00650EBA" w:rsidRPr="00B46D5B">
              <w:rPr>
                <w:rFonts w:ascii="Arial" w:hAnsi="Arial" w:cs="Arial"/>
                <w:noProof/>
                <w:sz w:val="20"/>
                <w:szCs w:val="20"/>
                <w:lang w:val="lt-LT"/>
              </w:rPr>
              <w:t>Prekių įkaini</w:t>
            </w:r>
            <w:r>
              <w:rPr>
                <w:rFonts w:ascii="Arial" w:hAnsi="Arial" w:cs="Arial"/>
                <w:noProof/>
                <w:sz w:val="20"/>
                <w:szCs w:val="20"/>
                <w:lang w:val="lt-LT"/>
              </w:rPr>
              <w:t>ai</w:t>
            </w:r>
            <w:r w:rsidR="00650EBA" w:rsidRPr="00B46D5B">
              <w:rPr>
                <w:rFonts w:ascii="Arial" w:hAnsi="Arial" w:cs="Arial"/>
                <w:noProof/>
                <w:sz w:val="20"/>
                <w:szCs w:val="20"/>
                <w:lang w:val="lt-LT"/>
              </w:rPr>
              <w:t xml:space="preserve"> už 1 vnt </w:t>
            </w:r>
          </w:p>
        </w:tc>
        <w:tc>
          <w:tcPr>
            <w:tcW w:w="7925" w:type="dxa"/>
            <w:gridSpan w:val="3"/>
            <w:shd w:val="clear" w:color="auto" w:fill="auto"/>
          </w:tcPr>
          <w:p w14:paraId="2A9A6EE1" w14:textId="5B3FBA16" w:rsidR="00650EBA" w:rsidRPr="00DA6A5D" w:rsidRDefault="00650EBA" w:rsidP="00650EBA">
            <w:pPr>
              <w:tabs>
                <w:tab w:val="left" w:pos="313"/>
              </w:tabs>
              <w:rPr>
                <w:rFonts w:ascii="Arial" w:hAnsi="Arial" w:cs="Arial"/>
                <w:noProof/>
                <w:sz w:val="20"/>
                <w:szCs w:val="20"/>
                <w:lang w:val="lt-LT"/>
              </w:rPr>
            </w:pPr>
            <w:r w:rsidRPr="00DA6A5D">
              <w:rPr>
                <w:rFonts w:ascii="Arial" w:hAnsi="Arial" w:cs="Arial"/>
                <w:noProof/>
                <w:sz w:val="20"/>
                <w:szCs w:val="20"/>
                <w:lang w:val="lt-LT"/>
              </w:rPr>
              <w:t>nurodyta Pardavėjo pasiūlyme</w:t>
            </w:r>
          </w:p>
        </w:tc>
      </w:tr>
      <w:tr w:rsidR="006E3778" w:rsidRPr="00B46D5B" w14:paraId="368838BA" w14:textId="77777777" w:rsidTr="002F4F14">
        <w:trPr>
          <w:trHeight w:val="152"/>
        </w:trPr>
        <w:tc>
          <w:tcPr>
            <w:tcW w:w="2263" w:type="dxa"/>
            <w:vMerge w:val="restart"/>
            <w:shd w:val="clear" w:color="auto" w:fill="auto"/>
            <w:vAlign w:val="center"/>
          </w:tcPr>
          <w:p w14:paraId="76A8403B" w14:textId="62B1BF0B" w:rsidR="00BB09F3" w:rsidRPr="00B46D5B" w:rsidRDefault="00DA6A5D" w:rsidP="00BB09F3">
            <w:pPr>
              <w:tabs>
                <w:tab w:val="left" w:pos="313"/>
              </w:tabs>
              <w:rPr>
                <w:rFonts w:ascii="Arial" w:hAnsi="Arial" w:cs="Arial"/>
                <w:noProof/>
                <w:sz w:val="20"/>
                <w:szCs w:val="20"/>
                <w:lang w:val="lt-LT"/>
              </w:rPr>
            </w:pPr>
            <w:r>
              <w:rPr>
                <w:rFonts w:ascii="Arial" w:hAnsi="Arial" w:cs="Arial"/>
                <w:noProof/>
                <w:sz w:val="20"/>
                <w:szCs w:val="20"/>
                <w:lang w:val="lt-LT"/>
              </w:rPr>
              <w:t xml:space="preserve">7. </w:t>
            </w:r>
            <w:r w:rsidR="00BB09F3"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00BB09F3" w:rsidRPr="00B46D5B">
              <w:rPr>
                <w:rFonts w:ascii="Arial" w:hAnsi="Arial" w:cs="Arial"/>
                <w:noProof/>
                <w:sz w:val="20"/>
                <w:szCs w:val="20"/>
                <w:lang w:val="lt-LT"/>
              </w:rPr>
              <w:t xml:space="preserve"> sąlygos</w:t>
            </w:r>
          </w:p>
        </w:tc>
        <w:tc>
          <w:tcPr>
            <w:tcW w:w="2268" w:type="dxa"/>
            <w:shd w:val="clear" w:color="auto" w:fill="auto"/>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657" w:type="dxa"/>
            <w:gridSpan w:val="2"/>
            <w:shd w:val="clear" w:color="auto" w:fill="auto"/>
          </w:tcPr>
          <w:p w14:paraId="6E365C84" w14:textId="41CAD42D" w:rsidR="00BB09F3" w:rsidRPr="00B46D5B" w:rsidRDefault="00DA6A5D" w:rsidP="00BB09F3">
            <w:pPr>
              <w:tabs>
                <w:tab w:val="left" w:pos="313"/>
              </w:tabs>
              <w:rPr>
                <w:rFonts w:ascii="Arial" w:hAnsi="Arial" w:cs="Arial"/>
                <w:noProof/>
                <w:sz w:val="20"/>
                <w:szCs w:val="20"/>
                <w:lang w:val="lt-LT"/>
              </w:rPr>
            </w:pPr>
            <w:r>
              <w:rPr>
                <w:rFonts w:ascii="Arial" w:hAnsi="Arial" w:cs="Arial"/>
                <w:noProof/>
                <w:sz w:val="20"/>
                <w:szCs w:val="20"/>
                <w:lang w:val="lt-LT"/>
              </w:rPr>
              <w:t>Petrašiūnų elektrinė, Jėgainės g. 12C, Kaunas</w:t>
            </w:r>
          </w:p>
        </w:tc>
      </w:tr>
      <w:tr w:rsidR="006E3778" w:rsidRPr="00B46D5B" w14:paraId="28A2C26C" w14:textId="77777777" w:rsidTr="002F4F14">
        <w:trPr>
          <w:trHeight w:val="152"/>
        </w:trPr>
        <w:tc>
          <w:tcPr>
            <w:tcW w:w="2263" w:type="dxa"/>
            <w:vMerge/>
            <w:shd w:val="clear" w:color="auto" w:fill="auto"/>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268" w:type="dxa"/>
            <w:shd w:val="clear" w:color="auto" w:fill="auto"/>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657" w:type="dxa"/>
            <w:gridSpan w:val="2"/>
            <w:shd w:val="clear" w:color="auto" w:fill="auto"/>
          </w:tcPr>
          <w:p w14:paraId="7A2CED91" w14:textId="50AAE2D5" w:rsidR="000F4576" w:rsidRPr="00B46D5B" w:rsidRDefault="00DA6A5D" w:rsidP="000F4576">
            <w:pPr>
              <w:tabs>
                <w:tab w:val="left" w:pos="313"/>
              </w:tabs>
              <w:rPr>
                <w:rFonts w:ascii="Arial" w:hAnsi="Arial" w:cs="Arial"/>
                <w:noProof/>
                <w:sz w:val="20"/>
                <w:szCs w:val="20"/>
                <w:lang w:val="lt-LT"/>
              </w:rPr>
            </w:pPr>
            <w:r>
              <w:rPr>
                <w:rFonts w:ascii="Arial" w:hAnsi="Arial" w:cs="Arial"/>
                <w:noProof/>
                <w:sz w:val="20"/>
                <w:szCs w:val="20"/>
                <w:lang w:val="lt-LT"/>
              </w:rPr>
              <w:t>Nurodyta techninėje specifikacijoje (Sutarties 1 priedas)</w:t>
            </w:r>
          </w:p>
        </w:tc>
      </w:tr>
      <w:tr w:rsidR="006E3778" w:rsidRPr="00B46D5B" w14:paraId="616DFB88" w14:textId="77777777" w:rsidTr="002F4F14">
        <w:trPr>
          <w:trHeight w:val="152"/>
        </w:trPr>
        <w:tc>
          <w:tcPr>
            <w:tcW w:w="2263" w:type="dxa"/>
            <w:vMerge/>
            <w:shd w:val="clear" w:color="auto" w:fill="auto"/>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268" w:type="dxa"/>
            <w:shd w:val="clear" w:color="auto" w:fill="auto"/>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657" w:type="dxa"/>
            <w:gridSpan w:val="2"/>
            <w:shd w:val="clear" w:color="auto" w:fill="auto"/>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2F4F14">
        <w:trPr>
          <w:trHeight w:val="144"/>
        </w:trPr>
        <w:tc>
          <w:tcPr>
            <w:tcW w:w="2263" w:type="dxa"/>
            <w:vMerge w:val="restart"/>
            <w:shd w:val="clear" w:color="auto" w:fill="auto"/>
          </w:tcPr>
          <w:p w14:paraId="592F066D" w14:textId="43E12D03" w:rsidR="00BB09F3" w:rsidRPr="00B46D5B" w:rsidRDefault="00DA6A5D" w:rsidP="00BB09F3">
            <w:pPr>
              <w:tabs>
                <w:tab w:val="left" w:pos="313"/>
              </w:tabs>
              <w:rPr>
                <w:rFonts w:ascii="Arial" w:hAnsi="Arial" w:cs="Arial"/>
                <w:noProof/>
                <w:sz w:val="20"/>
                <w:szCs w:val="20"/>
                <w:lang w:val="lt-LT"/>
              </w:rPr>
            </w:pPr>
            <w:r>
              <w:rPr>
                <w:rFonts w:ascii="Arial" w:hAnsi="Arial" w:cs="Arial"/>
                <w:noProof/>
                <w:sz w:val="20"/>
                <w:szCs w:val="20"/>
                <w:lang w:val="lt-LT"/>
              </w:rPr>
              <w:t xml:space="preserve">8. </w:t>
            </w:r>
            <w:r w:rsidR="00BB09F3" w:rsidRPr="00B46D5B">
              <w:rPr>
                <w:rFonts w:ascii="Arial" w:hAnsi="Arial" w:cs="Arial"/>
                <w:noProof/>
                <w:sz w:val="20"/>
                <w:szCs w:val="20"/>
                <w:lang w:val="lt-LT"/>
              </w:rPr>
              <w:t>Už Sutarties vykdymą atsakingi asmenys</w:t>
            </w:r>
          </w:p>
        </w:tc>
        <w:tc>
          <w:tcPr>
            <w:tcW w:w="2268" w:type="dxa"/>
            <w:shd w:val="clear" w:color="auto" w:fill="auto"/>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657" w:type="dxa"/>
            <w:gridSpan w:val="2"/>
            <w:shd w:val="clear" w:color="auto" w:fill="auto"/>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2F4F14">
        <w:trPr>
          <w:trHeight w:val="144"/>
        </w:trPr>
        <w:tc>
          <w:tcPr>
            <w:tcW w:w="2263" w:type="dxa"/>
            <w:vMerge/>
            <w:shd w:val="clear" w:color="auto" w:fill="auto"/>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268" w:type="dxa"/>
            <w:shd w:val="clear" w:color="auto" w:fill="auto"/>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657" w:type="dxa"/>
            <w:gridSpan w:val="2"/>
            <w:shd w:val="clear" w:color="auto" w:fill="auto"/>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shd w:val="clear" w:color="auto" w:fill="auto"/>
          </w:tcPr>
          <w:p w14:paraId="3D1A33E1" w14:textId="7D644E3D" w:rsidR="00434756" w:rsidRPr="00B46D5B" w:rsidRDefault="00DA6A5D" w:rsidP="00C17A98">
            <w:pPr>
              <w:tabs>
                <w:tab w:val="left" w:pos="426"/>
                <w:tab w:val="left" w:pos="601"/>
              </w:tabs>
              <w:rPr>
                <w:rFonts w:ascii="Arial" w:hAnsi="Arial" w:cs="Arial"/>
                <w:noProof/>
                <w:sz w:val="20"/>
                <w:szCs w:val="20"/>
                <w:lang w:val="lt-LT"/>
              </w:rPr>
            </w:pPr>
            <w:bookmarkStart w:id="3" w:name="_Hlk79735763"/>
            <w:r>
              <w:rPr>
                <w:rFonts w:ascii="Arial" w:hAnsi="Arial" w:cs="Arial"/>
                <w:noProof/>
                <w:sz w:val="20"/>
                <w:szCs w:val="20"/>
                <w:lang w:val="lt-LT"/>
              </w:rPr>
              <w:t xml:space="preserve">9. </w:t>
            </w:r>
            <w:r w:rsidR="00434756" w:rsidRPr="00B46D5B">
              <w:rPr>
                <w:rFonts w:ascii="Arial" w:hAnsi="Arial" w:cs="Arial"/>
                <w:noProof/>
                <w:sz w:val="20"/>
                <w:szCs w:val="20"/>
                <w:lang w:val="lt-LT"/>
              </w:rPr>
              <w:t>Sutarties priedai:</w:t>
            </w:r>
          </w:p>
        </w:tc>
        <w:tc>
          <w:tcPr>
            <w:tcW w:w="7925" w:type="dxa"/>
            <w:gridSpan w:val="3"/>
            <w:shd w:val="clear" w:color="auto" w:fill="auto"/>
          </w:tcPr>
          <w:p w14:paraId="786504F5" w14:textId="721121F5"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1 priedas – Techninė specifikacija</w:t>
            </w:r>
            <w:r w:rsidR="00DA6A5D">
              <w:rPr>
                <w:rFonts w:ascii="Arial" w:hAnsi="Arial" w:cs="Arial"/>
                <w:noProof/>
                <w:sz w:val="20"/>
                <w:szCs w:val="20"/>
                <w:lang w:val="lt-LT"/>
              </w:rPr>
              <w:t xml:space="preserve"> elektros prekių pirkimo</w:t>
            </w:r>
            <w:r w:rsidRPr="00B46D5B">
              <w:rPr>
                <w:rFonts w:ascii="Arial" w:hAnsi="Arial" w:cs="Arial"/>
                <w:noProof/>
                <w:sz w:val="20"/>
                <w:szCs w:val="20"/>
                <w:lang w:val="lt-LT"/>
              </w:rPr>
              <w:t xml:space="preserve">, </w:t>
            </w:r>
            <w:r w:rsidR="00DA6A5D">
              <w:rPr>
                <w:rFonts w:ascii="Arial" w:hAnsi="Arial" w:cs="Arial"/>
                <w:noProof/>
                <w:sz w:val="20"/>
                <w:szCs w:val="20"/>
                <w:lang w:val="lt-LT"/>
              </w:rPr>
              <w:t>34</w:t>
            </w:r>
            <w:r w:rsidRPr="00B46D5B">
              <w:rPr>
                <w:rFonts w:ascii="Arial" w:hAnsi="Arial" w:cs="Arial"/>
                <w:noProof/>
                <w:sz w:val="20"/>
                <w:szCs w:val="20"/>
                <w:lang w:val="lt-LT"/>
              </w:rPr>
              <w:t xml:space="preserve"> lapai;</w:t>
            </w:r>
          </w:p>
          <w:p w14:paraId="42F4F5A1" w14:textId="631E27A0"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tc>
      </w:tr>
      <w:tr w:rsidR="006E3778" w:rsidRPr="00B46D5B" w14:paraId="2C9640E5" w14:textId="77777777" w:rsidTr="002F4F14">
        <w:trPr>
          <w:trHeight w:val="145"/>
        </w:trPr>
        <w:tc>
          <w:tcPr>
            <w:tcW w:w="2263" w:type="dxa"/>
            <w:shd w:val="clear" w:color="auto" w:fill="auto"/>
          </w:tcPr>
          <w:p w14:paraId="5CA17705" w14:textId="6A0A97B1" w:rsidR="00434756" w:rsidRPr="00B46D5B" w:rsidRDefault="00DA6A5D" w:rsidP="00C17A98">
            <w:pPr>
              <w:spacing w:after="120"/>
              <w:rPr>
                <w:rFonts w:ascii="Arial" w:hAnsi="Arial" w:cs="Arial"/>
                <w:noProof/>
                <w:sz w:val="20"/>
                <w:szCs w:val="20"/>
                <w:lang w:val="lt-LT"/>
              </w:rPr>
            </w:pPr>
            <w:r>
              <w:rPr>
                <w:rFonts w:ascii="Arial" w:hAnsi="Arial" w:cs="Arial"/>
                <w:noProof/>
                <w:sz w:val="20"/>
                <w:szCs w:val="20"/>
                <w:lang w:val="lt-LT"/>
              </w:rPr>
              <w:t xml:space="preserve">10. </w:t>
            </w:r>
            <w:r w:rsidR="00434756"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00434756"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shd w:val="clear" w:color="auto" w:fill="auto"/>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shd w:val="clear" w:color="auto" w:fill="auto"/>
          </w:tcPr>
          <w:p w14:paraId="5341CA26" w14:textId="45C2F469"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w:t>
            </w:r>
            <w:r w:rsidR="00DA6A5D">
              <w:rPr>
                <w:rFonts w:ascii="Arial" w:hAnsi="Arial" w:cs="Arial"/>
                <w:noProof/>
                <w:sz w:val="20"/>
                <w:szCs w:val="20"/>
                <w:lang w:val="lt-LT"/>
              </w:rPr>
              <w:t xml:space="preserve">11. </w:t>
            </w:r>
            <w:r w:rsidRPr="00B46D5B">
              <w:rPr>
                <w:rFonts w:ascii="Arial" w:hAnsi="Arial" w:cs="Arial"/>
                <w:noProof/>
                <w:sz w:val="20"/>
                <w:szCs w:val="20"/>
                <w:lang w:val="lt-LT"/>
              </w:rPr>
              <w:t>Kitos sąlygos:</w:t>
            </w:r>
          </w:p>
        </w:tc>
        <w:tc>
          <w:tcPr>
            <w:tcW w:w="7925" w:type="dxa"/>
            <w:gridSpan w:val="3"/>
            <w:shd w:val="clear" w:color="auto" w:fill="auto"/>
          </w:tcPr>
          <w:p w14:paraId="248EACA9" w14:textId="77777777" w:rsidR="00434756" w:rsidRDefault="00DA6A5D" w:rsidP="00434756">
            <w:pPr>
              <w:spacing w:after="120"/>
              <w:ind w:left="35"/>
              <w:rPr>
                <w:rFonts w:ascii="Arial" w:hAnsi="Arial" w:cs="Arial"/>
                <w:noProof/>
                <w:sz w:val="20"/>
                <w:szCs w:val="20"/>
                <w:lang w:val="lt-LT"/>
              </w:rPr>
            </w:pPr>
            <w:r>
              <w:rPr>
                <w:rFonts w:ascii="Arial" w:hAnsi="Arial" w:cs="Arial"/>
                <w:noProof/>
                <w:sz w:val="20"/>
                <w:szCs w:val="20"/>
                <w:lang w:val="lt-LT"/>
              </w:rPr>
              <w:t xml:space="preserve">11.1. </w:t>
            </w:r>
            <w:r w:rsidRPr="00DA6A5D">
              <w:rPr>
                <w:rFonts w:ascii="Arial" w:hAnsi="Arial" w:cs="Arial"/>
                <w:noProof/>
                <w:sz w:val="20"/>
                <w:szCs w:val="20"/>
                <w:lang w:val="lt-LT"/>
              </w:rPr>
              <w:t>Prekes Pirkėjas pirks pagal poreikį. Galutinė Sutarties vertė priklausys nuo faktiškai nupirktų prekių kiekio, pagal Sutartyje nurodyt</w:t>
            </w:r>
            <w:r>
              <w:rPr>
                <w:rFonts w:ascii="Arial" w:hAnsi="Arial" w:cs="Arial"/>
                <w:noProof/>
                <w:sz w:val="20"/>
                <w:szCs w:val="20"/>
                <w:lang w:val="lt-LT"/>
              </w:rPr>
              <w:t>us</w:t>
            </w:r>
            <w:r w:rsidRPr="00DA6A5D">
              <w:rPr>
                <w:rFonts w:ascii="Arial" w:hAnsi="Arial" w:cs="Arial"/>
                <w:noProof/>
                <w:sz w:val="20"/>
                <w:szCs w:val="20"/>
                <w:lang w:val="lt-LT"/>
              </w:rPr>
              <w:t xml:space="preserve"> Pardavėjo įkain</w:t>
            </w:r>
            <w:r>
              <w:rPr>
                <w:rFonts w:ascii="Arial" w:hAnsi="Arial" w:cs="Arial"/>
                <w:noProof/>
                <w:sz w:val="20"/>
                <w:szCs w:val="20"/>
                <w:lang w:val="lt-LT"/>
              </w:rPr>
              <w:t>ius</w:t>
            </w:r>
            <w:r w:rsidRPr="00DA6A5D">
              <w:rPr>
                <w:rFonts w:ascii="Arial" w:hAnsi="Arial" w:cs="Arial"/>
                <w:noProof/>
                <w:sz w:val="20"/>
                <w:szCs w:val="20"/>
                <w:lang w:val="lt-LT"/>
              </w:rPr>
              <w:t>, bet negalės būti didesnė nei nurodyta maksimali Sutarties kaina. Nurodytas Prekių kiekis yra preliminarus, Pirkėjas neįsipareigoja išpirkti viso nurodyto preliminaraus Prekių kiekio.</w:t>
            </w:r>
          </w:p>
          <w:p w14:paraId="3B77EA1A" w14:textId="77777777" w:rsidR="00DA6A5D" w:rsidRDefault="00DA6A5D" w:rsidP="00434756">
            <w:pPr>
              <w:spacing w:after="120"/>
              <w:ind w:left="35"/>
              <w:rPr>
                <w:rFonts w:ascii="Arial" w:hAnsi="Arial" w:cs="Arial"/>
                <w:noProof/>
                <w:sz w:val="20"/>
                <w:szCs w:val="20"/>
                <w:lang w:val="lt-LT"/>
              </w:rPr>
            </w:pPr>
            <w:r>
              <w:rPr>
                <w:rFonts w:ascii="Arial" w:hAnsi="Arial" w:cs="Arial"/>
                <w:noProof/>
                <w:sz w:val="20"/>
                <w:szCs w:val="20"/>
                <w:lang w:val="lt-LT"/>
              </w:rPr>
              <w:lastRenderedPageBreak/>
              <w:t xml:space="preserve">11.2. </w:t>
            </w:r>
            <w:r w:rsidRPr="00DA6A5D">
              <w:rPr>
                <w:rFonts w:ascii="Arial" w:hAnsi="Arial" w:cs="Arial"/>
                <w:noProof/>
                <w:sz w:val="20"/>
                <w:szCs w:val="20"/>
                <w:lang w:val="lt-LT"/>
              </w:rPr>
              <w:t xml:space="preserve">Esant poreikiui, </w:t>
            </w:r>
            <w:r>
              <w:rPr>
                <w:rFonts w:ascii="Arial" w:hAnsi="Arial" w:cs="Arial"/>
                <w:noProof/>
                <w:sz w:val="20"/>
                <w:szCs w:val="20"/>
                <w:lang w:val="lt-LT"/>
              </w:rPr>
              <w:t>Pirkėjas</w:t>
            </w:r>
            <w:r w:rsidRPr="00DA6A5D">
              <w:rPr>
                <w:rFonts w:ascii="Arial" w:hAnsi="Arial" w:cs="Arial"/>
                <w:noProof/>
                <w:sz w:val="20"/>
                <w:szCs w:val="20"/>
                <w:lang w:val="lt-LT"/>
              </w:rPr>
              <w:t xml:space="preserve"> gali įsigyti techninėje specifikacijoje nenurodytų, tačiau su pirkimo objektu susijusių prekių, neviršijant 10 procentų </w:t>
            </w:r>
            <w:r w:rsidR="00195E57">
              <w:rPr>
                <w:rFonts w:ascii="Arial" w:hAnsi="Arial" w:cs="Arial"/>
                <w:noProof/>
                <w:sz w:val="20"/>
                <w:szCs w:val="20"/>
                <w:lang w:val="lt-LT"/>
              </w:rPr>
              <w:t>maksimalios</w:t>
            </w:r>
            <w:r w:rsidRPr="00DA6A5D">
              <w:rPr>
                <w:rFonts w:ascii="Arial" w:hAnsi="Arial" w:cs="Arial"/>
                <w:noProof/>
                <w:sz w:val="20"/>
                <w:szCs w:val="20"/>
                <w:lang w:val="lt-LT"/>
              </w:rPr>
              <w:t xml:space="preserve"> Sutarties vertės, už kurias bus apmokama ne didesnėmis nei užsakymo dieną </w:t>
            </w:r>
            <w:r w:rsidR="00195E57">
              <w:rPr>
                <w:rFonts w:ascii="Arial" w:hAnsi="Arial" w:cs="Arial"/>
                <w:noProof/>
                <w:sz w:val="20"/>
                <w:szCs w:val="20"/>
                <w:lang w:val="lt-LT"/>
              </w:rPr>
              <w:t>Pardavėjo</w:t>
            </w:r>
            <w:r w:rsidRPr="00DA6A5D">
              <w:rPr>
                <w:rFonts w:ascii="Arial" w:hAnsi="Arial" w:cs="Arial"/>
                <w:noProof/>
                <w:sz w:val="20"/>
                <w:szCs w:val="20"/>
                <w:lang w:val="lt-LT"/>
              </w:rPr>
              <w:t xml:space="preserve"> prekybos vietoje, kataloge ar interneto svetainėje nurodytomis galiojančiomis šių prekių kainomis arba, jei tokios kainos neskelbiamos, </w:t>
            </w:r>
            <w:r w:rsidR="00195E57">
              <w:rPr>
                <w:rFonts w:ascii="Arial" w:hAnsi="Arial" w:cs="Arial"/>
                <w:noProof/>
                <w:sz w:val="20"/>
                <w:szCs w:val="20"/>
                <w:lang w:val="lt-LT"/>
              </w:rPr>
              <w:t>Pardavėjo</w:t>
            </w:r>
            <w:r w:rsidRPr="00DA6A5D">
              <w:rPr>
                <w:rFonts w:ascii="Arial" w:hAnsi="Arial" w:cs="Arial"/>
                <w:noProof/>
                <w:sz w:val="20"/>
                <w:szCs w:val="20"/>
                <w:lang w:val="lt-LT"/>
              </w:rPr>
              <w:t xml:space="preserve"> pasiūlytomis, konkurencingomis ir rinką atitinkančiomis kainomis.</w:t>
            </w:r>
          </w:p>
          <w:p w14:paraId="2E63476A" w14:textId="77777777" w:rsidR="002A56E1" w:rsidRPr="002A56E1" w:rsidRDefault="00035128" w:rsidP="002A56E1">
            <w:pPr>
              <w:spacing w:after="120"/>
              <w:ind w:left="35"/>
              <w:rPr>
                <w:rFonts w:ascii="Arial" w:hAnsi="Arial" w:cs="Arial"/>
                <w:noProof/>
                <w:sz w:val="20"/>
                <w:szCs w:val="20"/>
                <w:lang w:val="lt-LT"/>
              </w:rPr>
            </w:pPr>
            <w:r>
              <w:rPr>
                <w:rFonts w:ascii="Arial" w:hAnsi="Arial" w:cs="Arial"/>
                <w:noProof/>
                <w:sz w:val="20"/>
                <w:szCs w:val="20"/>
                <w:lang w:val="lt-LT"/>
              </w:rPr>
              <w:t xml:space="preserve">11.3. </w:t>
            </w:r>
            <w:r w:rsidR="002A56E1" w:rsidRPr="002A56E1">
              <w:rPr>
                <w:rFonts w:ascii="Arial" w:hAnsi="Arial" w:cs="Arial"/>
                <w:noProof/>
                <w:sz w:val="20"/>
                <w:szCs w:val="20"/>
                <w:lang w:val="lt-LT"/>
              </w:rPr>
              <w:t xml:space="preserve">Sutarties Bendrosios dalies sąlygų 2.5.3 punktas išdėstomas aktualia redakcija sekančiai: </w:t>
            </w:r>
          </w:p>
          <w:p w14:paraId="4F3418D2" w14:textId="77777777" w:rsidR="00035128" w:rsidRDefault="002A56E1" w:rsidP="002A56E1">
            <w:pPr>
              <w:spacing w:after="120"/>
              <w:ind w:left="35"/>
              <w:rPr>
                <w:rFonts w:ascii="Arial" w:hAnsi="Arial" w:cs="Arial"/>
                <w:noProof/>
                <w:sz w:val="20"/>
                <w:szCs w:val="20"/>
                <w:lang w:val="lt-LT"/>
              </w:rPr>
            </w:pPr>
            <w:r w:rsidRPr="002A56E1">
              <w:rPr>
                <w:rFonts w:ascii="Arial" w:hAnsi="Arial" w:cs="Arial"/>
                <w:noProof/>
                <w:sz w:val="20"/>
                <w:szCs w:val="20"/>
                <w:lang w:val="lt-LT"/>
              </w:rPr>
              <w:t>Sutarties kaina (be PVM) yra perskaičiuojama vadovaujantis Valstybės duomenų agentūros skelbiamais duomenimis, pagal ekonominės veiklos rūšies rodiklį (Apdirbamoji gamyba), kurie skelbiami internete adresu: https://osp.stat.gov.lt/ (arba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Valstybės duomenų agentūros ar kitos institucijos išduoto dokumento ar patvirtinimo.</w:t>
            </w:r>
          </w:p>
          <w:p w14:paraId="57814860" w14:textId="77777777" w:rsidR="002A56E1" w:rsidRDefault="002A56E1" w:rsidP="002A56E1">
            <w:pPr>
              <w:spacing w:after="120"/>
              <w:ind w:left="35"/>
              <w:rPr>
                <w:rFonts w:ascii="Arial" w:hAnsi="Arial" w:cs="Arial"/>
                <w:noProof/>
                <w:sz w:val="20"/>
                <w:szCs w:val="20"/>
                <w:lang w:val="lt-LT"/>
              </w:rPr>
            </w:pPr>
            <w:r>
              <w:rPr>
                <w:rFonts w:ascii="Arial" w:hAnsi="Arial" w:cs="Arial"/>
                <w:noProof/>
                <w:sz w:val="20"/>
                <w:szCs w:val="20"/>
                <w:lang w:val="lt-LT"/>
              </w:rPr>
              <w:t xml:space="preserve">11.4. </w:t>
            </w:r>
            <w:r w:rsidR="00FF3975" w:rsidRPr="00FF3975">
              <w:rPr>
                <w:rFonts w:ascii="Arial" w:hAnsi="Arial" w:cs="Arial"/>
                <w:noProof/>
                <w:sz w:val="20"/>
                <w:szCs w:val="20"/>
                <w:lang w:val="lt-LT"/>
              </w:rPr>
              <w:t>Pirkimas laikomas žaliuoju, vadovaujantis tvarkos aprašo, patvirtinto Lietuvos Respublikos aplinkos ministro 2011 m. birželio 28 d. įsakymu Nr. D1-508[1], 4.4.4.1 punktu.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w:t>
            </w:r>
          </w:p>
          <w:p w14:paraId="482F5DF2" w14:textId="77777777" w:rsidR="0023720A" w:rsidRPr="0023720A" w:rsidRDefault="0023720A" w:rsidP="0023720A">
            <w:pPr>
              <w:spacing w:after="120"/>
              <w:ind w:left="35"/>
              <w:rPr>
                <w:rFonts w:ascii="Arial" w:hAnsi="Arial" w:cs="Arial"/>
                <w:noProof/>
                <w:sz w:val="20"/>
                <w:szCs w:val="20"/>
                <w:lang w:val="lt-LT"/>
              </w:rPr>
            </w:pPr>
            <w:r>
              <w:rPr>
                <w:rFonts w:ascii="Arial" w:hAnsi="Arial" w:cs="Arial"/>
                <w:noProof/>
                <w:sz w:val="20"/>
                <w:szCs w:val="20"/>
                <w:lang w:val="lt-LT"/>
              </w:rPr>
              <w:t xml:space="preserve">11.5. </w:t>
            </w:r>
            <w:r w:rsidRPr="0023720A">
              <w:rPr>
                <w:rFonts w:ascii="Arial" w:hAnsi="Arial" w:cs="Arial"/>
                <w:noProof/>
                <w:sz w:val="20"/>
                <w:szCs w:val="20"/>
                <w:lang w:val="lt-LT"/>
              </w:rPr>
              <w:t>Jungtinės veiklos sąlygos (jeigu taikoma):</w:t>
            </w:r>
          </w:p>
          <w:p w14:paraId="5C33D824" w14:textId="167B2B36" w:rsidR="0023720A" w:rsidRPr="0023720A" w:rsidRDefault="0023720A" w:rsidP="0023720A">
            <w:pPr>
              <w:spacing w:after="120"/>
              <w:ind w:left="35"/>
              <w:rPr>
                <w:rFonts w:ascii="Arial" w:hAnsi="Arial" w:cs="Arial"/>
                <w:noProof/>
                <w:sz w:val="20"/>
                <w:szCs w:val="20"/>
                <w:lang w:val="lt-LT"/>
              </w:rPr>
            </w:pPr>
            <w:r w:rsidRPr="0023720A">
              <w:rPr>
                <w:rFonts w:ascii="Arial" w:hAnsi="Arial" w:cs="Arial"/>
                <w:noProof/>
                <w:sz w:val="20"/>
                <w:szCs w:val="20"/>
                <w:lang w:val="lt-LT"/>
              </w:rPr>
              <w:t>1</w:t>
            </w:r>
            <w:r>
              <w:rPr>
                <w:rFonts w:ascii="Arial" w:hAnsi="Arial" w:cs="Arial"/>
                <w:noProof/>
                <w:sz w:val="20"/>
                <w:szCs w:val="20"/>
                <w:lang w:val="lt-LT"/>
              </w:rPr>
              <w:t>1</w:t>
            </w:r>
            <w:r w:rsidRPr="0023720A">
              <w:rPr>
                <w:rFonts w:ascii="Arial" w:hAnsi="Arial" w:cs="Arial"/>
                <w:noProof/>
                <w:sz w:val="20"/>
                <w:szCs w:val="20"/>
                <w:lang w:val="lt-LT"/>
              </w:rPr>
              <w:t>.</w:t>
            </w:r>
            <w:r>
              <w:rPr>
                <w:rFonts w:ascii="Arial" w:hAnsi="Arial" w:cs="Arial"/>
                <w:noProof/>
                <w:sz w:val="20"/>
                <w:szCs w:val="20"/>
                <w:lang w:val="lt-LT"/>
              </w:rPr>
              <w:t>5</w:t>
            </w:r>
            <w:r w:rsidRPr="0023720A">
              <w:rPr>
                <w:rFonts w:ascii="Arial" w:hAnsi="Arial" w:cs="Arial"/>
                <w:noProof/>
                <w:sz w:val="20"/>
                <w:szCs w:val="20"/>
                <w:lang w:val="lt-LT"/>
              </w:rPr>
              <w:t xml:space="preserve">.1 Jungtinės veiklos sutartyse (toliau - JVS) nurodytus partnerius galima keisti tik šiuo atveju, kai dėl pradinio </w:t>
            </w:r>
            <w:r>
              <w:rPr>
                <w:rFonts w:ascii="Arial" w:hAnsi="Arial" w:cs="Arial"/>
                <w:noProof/>
                <w:sz w:val="20"/>
                <w:szCs w:val="20"/>
                <w:lang w:val="lt-LT"/>
              </w:rPr>
              <w:t>Pardavėjo</w:t>
            </w:r>
            <w:r w:rsidRPr="0023720A">
              <w:rPr>
                <w:rFonts w:ascii="Arial" w:hAnsi="Arial" w:cs="Arial"/>
                <w:noProof/>
                <w:sz w:val="20"/>
                <w:szCs w:val="20"/>
                <w:lang w:val="lt-LT"/>
              </w:rPr>
              <w:t xml:space="preserve"> reorganizavimo, likvidavimo, restruktūrizavimo ar bankroto procedūros naujas </w:t>
            </w:r>
            <w:r>
              <w:rPr>
                <w:rFonts w:ascii="Arial" w:hAnsi="Arial" w:cs="Arial"/>
                <w:noProof/>
                <w:sz w:val="20"/>
                <w:szCs w:val="20"/>
                <w:lang w:val="lt-LT"/>
              </w:rPr>
              <w:t>Pardavėjas</w:t>
            </w:r>
            <w:r w:rsidRPr="0023720A">
              <w:rPr>
                <w:rFonts w:ascii="Arial" w:hAnsi="Arial" w:cs="Arial"/>
                <w:noProof/>
                <w:sz w:val="20"/>
                <w:szCs w:val="20"/>
                <w:lang w:val="lt-LT"/>
              </w:rPr>
              <w:t xml:space="preserve">, atitinkantis anksčiau nustatytus reikalavimus, visiškai arba iš dalies perima pradinio </w:t>
            </w:r>
            <w:r>
              <w:rPr>
                <w:rFonts w:ascii="Arial" w:hAnsi="Arial" w:cs="Arial"/>
                <w:noProof/>
                <w:sz w:val="20"/>
                <w:szCs w:val="20"/>
                <w:lang w:val="lt-LT"/>
              </w:rPr>
              <w:t>Pardavėjo</w:t>
            </w:r>
            <w:r w:rsidRPr="0023720A">
              <w:rPr>
                <w:rFonts w:ascii="Arial" w:hAnsi="Arial" w:cs="Arial"/>
                <w:noProof/>
                <w:sz w:val="20"/>
                <w:szCs w:val="20"/>
                <w:lang w:val="lt-LT"/>
              </w:rPr>
              <w:t xml:space="preserve"> teises ir pareigas. Tokiu atveju jungtinės veiklos partneriai privalo pateikti </w:t>
            </w:r>
            <w:r>
              <w:rPr>
                <w:rFonts w:ascii="Arial" w:hAnsi="Arial" w:cs="Arial"/>
                <w:noProof/>
                <w:sz w:val="20"/>
                <w:szCs w:val="20"/>
                <w:lang w:val="lt-LT"/>
              </w:rPr>
              <w:t>Pirkėjui</w:t>
            </w:r>
            <w:r w:rsidRPr="0023720A">
              <w:rPr>
                <w:rFonts w:ascii="Arial" w:hAnsi="Arial" w:cs="Arial"/>
                <w:noProof/>
                <w:sz w:val="20"/>
                <w:szCs w:val="20"/>
                <w:lang w:val="lt-LT"/>
              </w:rPr>
              <w:t xml:space="preserve"> šiuos dokumentus:</w:t>
            </w:r>
          </w:p>
          <w:p w14:paraId="4BF7C501" w14:textId="4765530A" w:rsidR="0023720A" w:rsidRPr="0023720A" w:rsidRDefault="0023720A" w:rsidP="0023720A">
            <w:pPr>
              <w:spacing w:after="120"/>
              <w:ind w:left="35"/>
              <w:rPr>
                <w:rFonts w:ascii="Arial" w:hAnsi="Arial" w:cs="Arial"/>
                <w:noProof/>
                <w:sz w:val="20"/>
                <w:szCs w:val="20"/>
                <w:lang w:val="lt-LT"/>
              </w:rPr>
            </w:pPr>
            <w:r w:rsidRPr="0023720A">
              <w:rPr>
                <w:rFonts w:ascii="Arial" w:hAnsi="Arial" w:cs="Arial"/>
                <w:noProof/>
                <w:sz w:val="20"/>
                <w:szCs w:val="20"/>
                <w:lang w:val="lt-LT"/>
              </w:rPr>
              <w:t>1</w:t>
            </w:r>
            <w:r>
              <w:rPr>
                <w:rFonts w:ascii="Arial" w:hAnsi="Arial" w:cs="Arial"/>
                <w:noProof/>
                <w:sz w:val="20"/>
                <w:szCs w:val="20"/>
                <w:lang w:val="lt-LT"/>
              </w:rPr>
              <w:t>1</w:t>
            </w:r>
            <w:r w:rsidRPr="0023720A">
              <w:rPr>
                <w:rFonts w:ascii="Arial" w:hAnsi="Arial" w:cs="Arial"/>
                <w:noProof/>
                <w:sz w:val="20"/>
                <w:szCs w:val="20"/>
                <w:lang w:val="lt-LT"/>
              </w:rPr>
              <w:t>.</w:t>
            </w:r>
            <w:r>
              <w:rPr>
                <w:rFonts w:ascii="Arial" w:hAnsi="Arial" w:cs="Arial"/>
                <w:noProof/>
                <w:sz w:val="20"/>
                <w:szCs w:val="20"/>
                <w:lang w:val="lt-LT"/>
              </w:rPr>
              <w:t>5</w:t>
            </w:r>
            <w:r w:rsidRPr="0023720A">
              <w:rPr>
                <w:rFonts w:ascii="Arial" w:hAnsi="Arial" w:cs="Arial"/>
                <w:noProof/>
                <w:sz w:val="20"/>
                <w:szCs w:val="20"/>
                <w:lang w:val="lt-LT"/>
              </w:rPr>
              <w:t>.1.1.</w:t>
            </w:r>
            <w:r>
              <w:rPr>
                <w:rFonts w:ascii="Arial" w:hAnsi="Arial" w:cs="Arial"/>
                <w:noProof/>
                <w:sz w:val="20"/>
                <w:szCs w:val="20"/>
                <w:lang w:val="lt-LT"/>
              </w:rPr>
              <w:t xml:space="preserve"> </w:t>
            </w:r>
            <w:r w:rsidRPr="0023720A">
              <w:rPr>
                <w:rFonts w:ascii="Arial" w:hAnsi="Arial" w:cs="Arial"/>
                <w:noProof/>
                <w:sz w:val="20"/>
                <w:szCs w:val="20"/>
                <w:lang w:val="lt-LT"/>
              </w:rPr>
              <w:t>pasiliekančio(-ių) jungtinės veiklos partnerio(-ių) prašymą dėl jungtinės veiklos partnerio(-ių) keitimo;</w:t>
            </w:r>
          </w:p>
          <w:p w14:paraId="7B4D8EBA" w14:textId="3A86CFC1" w:rsidR="0023720A" w:rsidRPr="0023720A" w:rsidRDefault="0023720A" w:rsidP="0023720A">
            <w:pPr>
              <w:spacing w:after="120"/>
              <w:ind w:left="35"/>
              <w:rPr>
                <w:rFonts w:ascii="Arial" w:hAnsi="Arial" w:cs="Arial"/>
                <w:noProof/>
                <w:sz w:val="20"/>
                <w:szCs w:val="20"/>
                <w:lang w:val="lt-LT"/>
              </w:rPr>
            </w:pPr>
            <w:r w:rsidRPr="0023720A">
              <w:rPr>
                <w:rFonts w:ascii="Arial" w:hAnsi="Arial" w:cs="Arial"/>
                <w:noProof/>
                <w:sz w:val="20"/>
                <w:szCs w:val="20"/>
                <w:lang w:val="lt-LT"/>
              </w:rPr>
              <w:t>1</w:t>
            </w:r>
            <w:r>
              <w:rPr>
                <w:rFonts w:ascii="Arial" w:hAnsi="Arial" w:cs="Arial"/>
                <w:noProof/>
                <w:sz w:val="20"/>
                <w:szCs w:val="20"/>
                <w:lang w:val="lt-LT"/>
              </w:rPr>
              <w:t>1</w:t>
            </w:r>
            <w:r w:rsidRPr="0023720A">
              <w:rPr>
                <w:rFonts w:ascii="Arial" w:hAnsi="Arial" w:cs="Arial"/>
                <w:noProof/>
                <w:sz w:val="20"/>
                <w:szCs w:val="20"/>
                <w:lang w:val="lt-LT"/>
              </w:rPr>
              <w:t>.</w:t>
            </w:r>
            <w:r>
              <w:rPr>
                <w:rFonts w:ascii="Arial" w:hAnsi="Arial" w:cs="Arial"/>
                <w:noProof/>
                <w:sz w:val="20"/>
                <w:szCs w:val="20"/>
                <w:lang w:val="lt-LT"/>
              </w:rPr>
              <w:t>5</w:t>
            </w:r>
            <w:r w:rsidRPr="0023720A">
              <w:rPr>
                <w:rFonts w:ascii="Arial" w:hAnsi="Arial" w:cs="Arial"/>
                <w:noProof/>
                <w:sz w:val="20"/>
                <w:szCs w:val="20"/>
                <w:lang w:val="lt-LT"/>
              </w:rPr>
              <w:t>.1.2.</w:t>
            </w:r>
            <w:r>
              <w:rPr>
                <w:rFonts w:ascii="Arial" w:hAnsi="Arial" w:cs="Arial"/>
                <w:noProof/>
                <w:sz w:val="20"/>
                <w:szCs w:val="20"/>
                <w:lang w:val="lt-LT"/>
              </w:rPr>
              <w:t xml:space="preserve"> </w:t>
            </w:r>
            <w:r w:rsidRPr="0023720A">
              <w:rPr>
                <w:rFonts w:ascii="Arial" w:hAnsi="Arial" w:cs="Arial"/>
                <w:noProof/>
                <w:sz w:val="20"/>
                <w:szCs w:val="20"/>
                <w:lang w:val="lt-LT"/>
              </w:rPr>
              <w:t>pasitraukiančio(-ių) jungtinės veiklos partnerio(-ių) prašymą pasitraukti iš JVS partnerių ir perduoti visus įsipareigojimus pagal JVS naujajam(-iems) / pasiliekančiam(-iams) jungtinės veiklos partneriui(-iams);</w:t>
            </w:r>
          </w:p>
          <w:p w14:paraId="69696DD4" w14:textId="70ED2A2B" w:rsidR="0023720A" w:rsidRPr="0023720A" w:rsidRDefault="0023720A" w:rsidP="0023720A">
            <w:pPr>
              <w:spacing w:after="120"/>
              <w:ind w:left="35"/>
              <w:rPr>
                <w:rFonts w:ascii="Arial" w:hAnsi="Arial" w:cs="Arial"/>
                <w:noProof/>
                <w:sz w:val="20"/>
                <w:szCs w:val="20"/>
                <w:lang w:val="lt-LT"/>
              </w:rPr>
            </w:pPr>
            <w:r w:rsidRPr="0023720A">
              <w:rPr>
                <w:rFonts w:ascii="Arial" w:hAnsi="Arial" w:cs="Arial"/>
                <w:noProof/>
                <w:sz w:val="20"/>
                <w:szCs w:val="20"/>
                <w:lang w:val="lt-LT"/>
              </w:rPr>
              <w:t>1</w:t>
            </w:r>
            <w:r>
              <w:rPr>
                <w:rFonts w:ascii="Arial" w:hAnsi="Arial" w:cs="Arial"/>
                <w:noProof/>
                <w:sz w:val="20"/>
                <w:szCs w:val="20"/>
                <w:lang w:val="lt-LT"/>
              </w:rPr>
              <w:t>1</w:t>
            </w:r>
            <w:r w:rsidRPr="0023720A">
              <w:rPr>
                <w:rFonts w:ascii="Arial" w:hAnsi="Arial" w:cs="Arial"/>
                <w:noProof/>
                <w:sz w:val="20"/>
                <w:szCs w:val="20"/>
                <w:lang w:val="lt-LT"/>
              </w:rPr>
              <w:t>.</w:t>
            </w:r>
            <w:r>
              <w:rPr>
                <w:rFonts w:ascii="Arial" w:hAnsi="Arial" w:cs="Arial"/>
                <w:noProof/>
                <w:sz w:val="20"/>
                <w:szCs w:val="20"/>
                <w:lang w:val="lt-LT"/>
              </w:rPr>
              <w:t>5</w:t>
            </w:r>
            <w:r w:rsidRPr="0023720A">
              <w:rPr>
                <w:rFonts w:ascii="Arial" w:hAnsi="Arial" w:cs="Arial"/>
                <w:noProof/>
                <w:sz w:val="20"/>
                <w:szCs w:val="20"/>
                <w:lang w:val="lt-LT"/>
              </w:rPr>
              <w:t>.1.3.</w:t>
            </w:r>
            <w:r>
              <w:rPr>
                <w:rFonts w:ascii="Arial" w:hAnsi="Arial" w:cs="Arial"/>
                <w:noProof/>
                <w:sz w:val="20"/>
                <w:szCs w:val="20"/>
                <w:lang w:val="lt-LT"/>
              </w:rPr>
              <w:t xml:space="preserve"> </w:t>
            </w:r>
            <w:r w:rsidRPr="0023720A">
              <w:rPr>
                <w:rFonts w:ascii="Arial" w:hAnsi="Arial" w:cs="Arial"/>
                <w:noProof/>
                <w:sz w:val="20"/>
                <w:szCs w:val="20"/>
                <w:lang w:val="lt-LT"/>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p>
          <w:p w14:paraId="0CA74C63" w14:textId="61191E21" w:rsidR="0023720A" w:rsidRPr="0023720A" w:rsidRDefault="0023720A" w:rsidP="0023720A">
            <w:pPr>
              <w:spacing w:after="120"/>
              <w:ind w:left="35"/>
              <w:rPr>
                <w:rFonts w:ascii="Arial" w:hAnsi="Arial" w:cs="Arial"/>
                <w:noProof/>
                <w:sz w:val="20"/>
                <w:szCs w:val="20"/>
                <w:lang w:val="lt-LT"/>
              </w:rPr>
            </w:pPr>
            <w:r w:rsidRPr="0023720A">
              <w:rPr>
                <w:rFonts w:ascii="Arial" w:hAnsi="Arial" w:cs="Arial"/>
                <w:noProof/>
                <w:sz w:val="20"/>
                <w:szCs w:val="20"/>
                <w:lang w:val="lt-LT"/>
              </w:rPr>
              <w:t>1</w:t>
            </w:r>
            <w:r>
              <w:rPr>
                <w:rFonts w:ascii="Arial" w:hAnsi="Arial" w:cs="Arial"/>
                <w:noProof/>
                <w:sz w:val="20"/>
                <w:szCs w:val="20"/>
                <w:lang w:val="lt-LT"/>
              </w:rPr>
              <w:t>1</w:t>
            </w:r>
            <w:r w:rsidRPr="0023720A">
              <w:rPr>
                <w:rFonts w:ascii="Arial" w:hAnsi="Arial" w:cs="Arial"/>
                <w:noProof/>
                <w:sz w:val="20"/>
                <w:szCs w:val="20"/>
                <w:lang w:val="lt-LT"/>
              </w:rPr>
              <w:t>.</w:t>
            </w:r>
            <w:r>
              <w:rPr>
                <w:rFonts w:ascii="Arial" w:hAnsi="Arial" w:cs="Arial"/>
                <w:noProof/>
                <w:sz w:val="20"/>
                <w:szCs w:val="20"/>
                <w:lang w:val="lt-LT"/>
              </w:rPr>
              <w:t>5</w:t>
            </w:r>
            <w:r w:rsidRPr="0023720A">
              <w:rPr>
                <w:rFonts w:ascii="Arial" w:hAnsi="Arial" w:cs="Arial"/>
                <w:noProof/>
                <w:sz w:val="20"/>
                <w:szCs w:val="20"/>
                <w:lang w:val="lt-LT"/>
              </w:rPr>
              <w:t>.1.4.</w:t>
            </w:r>
            <w:r>
              <w:rPr>
                <w:rFonts w:ascii="Arial" w:hAnsi="Arial" w:cs="Arial"/>
                <w:noProof/>
                <w:sz w:val="20"/>
                <w:szCs w:val="20"/>
                <w:lang w:val="lt-LT"/>
              </w:rPr>
              <w:t xml:space="preserve"> Pardavėjas</w:t>
            </w:r>
            <w:r w:rsidRPr="0023720A">
              <w:rPr>
                <w:rFonts w:ascii="Arial" w:hAnsi="Arial" w:cs="Arial"/>
                <w:noProof/>
                <w:sz w:val="20"/>
                <w:szCs w:val="20"/>
                <w:lang w:val="lt-LT"/>
              </w:rPr>
              <w:t xml:space="preserve"> turi įrodyti </w:t>
            </w:r>
            <w:r>
              <w:rPr>
                <w:rFonts w:ascii="Arial" w:hAnsi="Arial" w:cs="Arial"/>
                <w:noProof/>
                <w:sz w:val="20"/>
                <w:szCs w:val="20"/>
                <w:lang w:val="lt-LT"/>
              </w:rPr>
              <w:t>Pirkėjui</w:t>
            </w:r>
            <w:r w:rsidRPr="0023720A">
              <w:rPr>
                <w:rFonts w:ascii="Arial" w:hAnsi="Arial" w:cs="Arial"/>
                <w:noProof/>
                <w:sz w:val="20"/>
                <w:szCs w:val="20"/>
                <w:lang w:val="lt-LT"/>
              </w:rPr>
              <w:t xml:space="preserve"> naujojo(-ųjų) / pasiliekančio(-ių) jungtinės veiklos partnerio(-ių) patikimumą ir gebėjimą vykdyti paskirtas funkcijas. </w:t>
            </w:r>
          </w:p>
          <w:p w14:paraId="092A3ACC" w14:textId="3802C0D7" w:rsidR="0023720A" w:rsidRPr="0023720A" w:rsidRDefault="0023720A" w:rsidP="0023720A">
            <w:pPr>
              <w:spacing w:after="120"/>
              <w:ind w:left="35"/>
              <w:rPr>
                <w:rFonts w:ascii="Arial" w:hAnsi="Arial" w:cs="Arial"/>
                <w:noProof/>
                <w:sz w:val="20"/>
                <w:szCs w:val="20"/>
                <w:lang w:val="lt-LT"/>
              </w:rPr>
            </w:pPr>
            <w:r w:rsidRPr="0023720A">
              <w:rPr>
                <w:rFonts w:ascii="Arial" w:hAnsi="Arial" w:cs="Arial"/>
                <w:noProof/>
                <w:sz w:val="20"/>
                <w:szCs w:val="20"/>
                <w:lang w:val="lt-LT"/>
              </w:rPr>
              <w:t>1</w:t>
            </w:r>
            <w:r>
              <w:rPr>
                <w:rFonts w:ascii="Arial" w:hAnsi="Arial" w:cs="Arial"/>
                <w:noProof/>
                <w:sz w:val="20"/>
                <w:szCs w:val="20"/>
                <w:lang w:val="lt-LT"/>
              </w:rPr>
              <w:t>1</w:t>
            </w:r>
            <w:r w:rsidRPr="0023720A">
              <w:rPr>
                <w:rFonts w:ascii="Arial" w:hAnsi="Arial" w:cs="Arial"/>
                <w:noProof/>
                <w:sz w:val="20"/>
                <w:szCs w:val="20"/>
                <w:lang w:val="lt-LT"/>
              </w:rPr>
              <w:t>.</w:t>
            </w:r>
            <w:r>
              <w:rPr>
                <w:rFonts w:ascii="Arial" w:hAnsi="Arial" w:cs="Arial"/>
                <w:noProof/>
                <w:sz w:val="20"/>
                <w:szCs w:val="20"/>
                <w:lang w:val="lt-LT"/>
              </w:rPr>
              <w:t>5</w:t>
            </w:r>
            <w:r w:rsidRPr="0023720A">
              <w:rPr>
                <w:rFonts w:ascii="Arial" w:hAnsi="Arial" w:cs="Arial"/>
                <w:noProof/>
                <w:sz w:val="20"/>
                <w:szCs w:val="20"/>
                <w:lang w:val="lt-LT"/>
              </w:rPr>
              <w:t>.1.5.</w:t>
            </w:r>
            <w:r>
              <w:rPr>
                <w:rFonts w:ascii="Arial" w:hAnsi="Arial" w:cs="Arial"/>
                <w:noProof/>
                <w:sz w:val="20"/>
                <w:szCs w:val="20"/>
                <w:lang w:val="lt-LT"/>
              </w:rPr>
              <w:t xml:space="preserve"> Pardavėjas</w:t>
            </w:r>
            <w:r w:rsidRPr="0023720A">
              <w:rPr>
                <w:rFonts w:ascii="Arial" w:hAnsi="Arial" w:cs="Arial"/>
                <w:noProof/>
                <w:sz w:val="20"/>
                <w:szCs w:val="20"/>
                <w:lang w:val="lt-LT"/>
              </w:rPr>
              <w:t xml:space="preserve"> turi gauti </w:t>
            </w:r>
            <w:r>
              <w:rPr>
                <w:rFonts w:ascii="Arial" w:hAnsi="Arial" w:cs="Arial"/>
                <w:noProof/>
                <w:sz w:val="20"/>
                <w:szCs w:val="20"/>
                <w:lang w:val="lt-LT"/>
              </w:rPr>
              <w:t>Pirkėjo</w:t>
            </w:r>
            <w:r w:rsidRPr="0023720A">
              <w:rPr>
                <w:rFonts w:ascii="Arial" w:hAnsi="Arial" w:cs="Arial"/>
                <w:noProof/>
                <w:sz w:val="20"/>
                <w:szCs w:val="20"/>
                <w:lang w:val="lt-LT"/>
              </w:rPr>
              <w:t xml:space="preserve"> rašytinį sutikimą keisti jungtinės veiklos partnerius;</w:t>
            </w:r>
          </w:p>
          <w:p w14:paraId="23F69547" w14:textId="77777777" w:rsidR="0023720A" w:rsidRDefault="0023720A" w:rsidP="0023720A">
            <w:pPr>
              <w:spacing w:after="120"/>
              <w:ind w:left="35"/>
              <w:rPr>
                <w:rFonts w:ascii="Arial" w:hAnsi="Arial" w:cs="Arial"/>
                <w:noProof/>
                <w:sz w:val="20"/>
                <w:szCs w:val="20"/>
                <w:lang w:val="lt-LT"/>
              </w:rPr>
            </w:pPr>
            <w:r w:rsidRPr="0023720A">
              <w:rPr>
                <w:rFonts w:ascii="Arial" w:hAnsi="Arial" w:cs="Arial"/>
                <w:noProof/>
                <w:sz w:val="20"/>
                <w:szCs w:val="20"/>
                <w:lang w:val="lt-LT"/>
              </w:rPr>
              <w:lastRenderedPageBreak/>
              <w:t>1</w:t>
            </w:r>
            <w:r w:rsidR="00407A42">
              <w:rPr>
                <w:rFonts w:ascii="Arial" w:hAnsi="Arial" w:cs="Arial"/>
                <w:noProof/>
                <w:sz w:val="20"/>
                <w:szCs w:val="20"/>
                <w:lang w:val="lt-LT"/>
              </w:rPr>
              <w:t>1</w:t>
            </w:r>
            <w:r w:rsidRPr="0023720A">
              <w:rPr>
                <w:rFonts w:ascii="Arial" w:hAnsi="Arial" w:cs="Arial"/>
                <w:noProof/>
                <w:sz w:val="20"/>
                <w:szCs w:val="20"/>
                <w:lang w:val="lt-LT"/>
              </w:rPr>
              <w:t>.</w:t>
            </w:r>
            <w:r w:rsidR="00407A42">
              <w:rPr>
                <w:rFonts w:ascii="Arial" w:hAnsi="Arial" w:cs="Arial"/>
                <w:noProof/>
                <w:sz w:val="20"/>
                <w:szCs w:val="20"/>
                <w:lang w:val="lt-LT"/>
              </w:rPr>
              <w:t>5</w:t>
            </w:r>
            <w:r w:rsidRPr="0023720A">
              <w:rPr>
                <w:rFonts w:ascii="Arial" w:hAnsi="Arial" w:cs="Arial"/>
                <w:noProof/>
                <w:sz w:val="20"/>
                <w:szCs w:val="20"/>
                <w:lang w:val="lt-LT"/>
              </w:rPr>
              <w:t>.1.6.</w:t>
            </w:r>
            <w:r w:rsidR="00407A42">
              <w:rPr>
                <w:rFonts w:ascii="Arial" w:hAnsi="Arial" w:cs="Arial"/>
                <w:noProof/>
                <w:sz w:val="20"/>
                <w:szCs w:val="20"/>
                <w:lang w:val="lt-LT"/>
              </w:rPr>
              <w:t xml:space="preserve"> Pardavėjas</w:t>
            </w:r>
            <w:r w:rsidRPr="0023720A">
              <w:rPr>
                <w:rFonts w:ascii="Arial" w:hAnsi="Arial" w:cs="Arial"/>
                <w:noProof/>
                <w:sz w:val="20"/>
                <w:szCs w:val="20"/>
                <w:lang w:val="lt-LT"/>
              </w:rPr>
              <w:t xml:space="preserve"> turi pateikti </w:t>
            </w:r>
            <w:r w:rsidR="00407A42">
              <w:rPr>
                <w:rFonts w:ascii="Arial" w:hAnsi="Arial" w:cs="Arial"/>
                <w:noProof/>
                <w:sz w:val="20"/>
                <w:szCs w:val="20"/>
                <w:lang w:val="lt-LT"/>
              </w:rPr>
              <w:t>Pirkėjui</w:t>
            </w:r>
            <w:r w:rsidRPr="0023720A">
              <w:rPr>
                <w:rFonts w:ascii="Arial" w:hAnsi="Arial" w:cs="Arial"/>
                <w:noProof/>
                <w:sz w:val="20"/>
                <w:szCs w:val="20"/>
                <w:lang w:val="lt-LT"/>
              </w:rPr>
              <w:t xml:space="preserve">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w:t>
            </w:r>
          </w:p>
          <w:p w14:paraId="15777348" w14:textId="77777777" w:rsidR="00407A42" w:rsidRDefault="00407A42" w:rsidP="0023720A">
            <w:pPr>
              <w:spacing w:after="120"/>
              <w:ind w:left="35"/>
              <w:rPr>
                <w:rFonts w:ascii="Arial" w:hAnsi="Arial" w:cs="Arial"/>
                <w:noProof/>
                <w:sz w:val="20"/>
                <w:szCs w:val="20"/>
                <w:lang w:val="lt-LT"/>
              </w:rPr>
            </w:pPr>
            <w:r>
              <w:rPr>
                <w:rFonts w:ascii="Arial" w:hAnsi="Arial" w:cs="Arial"/>
                <w:noProof/>
                <w:sz w:val="20"/>
                <w:szCs w:val="20"/>
                <w:lang w:val="lt-LT"/>
              </w:rPr>
              <w:t>11.6. Subtiekimas (jei taikoma):</w:t>
            </w:r>
          </w:p>
          <w:p w14:paraId="1C7FAA1D" w14:textId="77777777" w:rsidR="00407A42" w:rsidRDefault="00407A42" w:rsidP="0023720A">
            <w:pPr>
              <w:spacing w:after="120"/>
              <w:ind w:left="35"/>
              <w:rPr>
                <w:rFonts w:ascii="Arial" w:hAnsi="Arial" w:cs="Arial"/>
                <w:noProof/>
                <w:sz w:val="20"/>
                <w:szCs w:val="20"/>
                <w:lang w:val="lt-LT"/>
              </w:rPr>
            </w:pPr>
            <w:r>
              <w:rPr>
                <w:rFonts w:ascii="Arial" w:hAnsi="Arial" w:cs="Arial"/>
                <w:noProof/>
                <w:sz w:val="20"/>
                <w:szCs w:val="20"/>
                <w:lang w:val="lt-LT"/>
              </w:rPr>
              <w:t xml:space="preserve">11.6.1. </w:t>
            </w:r>
            <w:r w:rsidRPr="00407A42">
              <w:rPr>
                <w:rFonts w:ascii="Arial" w:hAnsi="Arial" w:cs="Arial"/>
                <w:noProof/>
                <w:sz w:val="20"/>
                <w:szCs w:val="20"/>
                <w:lang w:val="lt-LT"/>
              </w:rPr>
              <w:tab/>
              <w:t xml:space="preserve">Sudarius Sutartį, tačiau ne vėliau negu Sutartis pradedama vykdyti, </w:t>
            </w:r>
            <w:r>
              <w:rPr>
                <w:rFonts w:ascii="Arial" w:hAnsi="Arial" w:cs="Arial"/>
                <w:noProof/>
                <w:sz w:val="20"/>
                <w:szCs w:val="20"/>
                <w:lang w:val="lt-LT"/>
              </w:rPr>
              <w:t>Pardavėjas</w:t>
            </w:r>
            <w:r w:rsidRPr="00407A42">
              <w:rPr>
                <w:rFonts w:ascii="Arial" w:hAnsi="Arial" w:cs="Arial"/>
                <w:noProof/>
                <w:sz w:val="20"/>
                <w:szCs w:val="20"/>
                <w:lang w:val="lt-LT"/>
              </w:rPr>
              <w:t xml:space="preserve"> įsipareigoja </w:t>
            </w:r>
            <w:r>
              <w:rPr>
                <w:rFonts w:ascii="Arial" w:hAnsi="Arial" w:cs="Arial"/>
                <w:noProof/>
                <w:sz w:val="20"/>
                <w:szCs w:val="20"/>
                <w:lang w:val="lt-LT"/>
              </w:rPr>
              <w:t>Pirkėjui</w:t>
            </w:r>
            <w:r w:rsidRPr="00407A42">
              <w:rPr>
                <w:rFonts w:ascii="Arial" w:hAnsi="Arial" w:cs="Arial"/>
                <w:noProof/>
                <w:sz w:val="20"/>
                <w:szCs w:val="20"/>
                <w:lang w:val="lt-LT"/>
              </w:rPr>
              <w:t xml:space="preserve"> pranešti tuo metu žinomų subteikėjų ir visų kitų trečiųjų asmenų, kuriuos pasitelks subteikėjas (toliau visi bendrai vadinami subteikėjų) pavadinimus, kontaktinius duomenis ir jų atstovus. </w:t>
            </w:r>
            <w:r>
              <w:rPr>
                <w:rFonts w:ascii="Arial" w:hAnsi="Arial" w:cs="Arial"/>
                <w:noProof/>
                <w:sz w:val="20"/>
                <w:szCs w:val="20"/>
                <w:lang w:val="lt-LT"/>
              </w:rPr>
              <w:t>Pirkėjas</w:t>
            </w:r>
            <w:r w:rsidRPr="00407A42">
              <w:rPr>
                <w:rFonts w:ascii="Arial" w:hAnsi="Arial" w:cs="Arial"/>
                <w:noProof/>
                <w:sz w:val="20"/>
                <w:szCs w:val="20"/>
                <w:lang w:val="lt-LT"/>
              </w:rPr>
              <w:t xml:space="preserve"> taip pat reikalauja, kad </w:t>
            </w:r>
            <w:r>
              <w:rPr>
                <w:rFonts w:ascii="Arial" w:hAnsi="Arial" w:cs="Arial"/>
                <w:noProof/>
                <w:sz w:val="20"/>
                <w:szCs w:val="20"/>
                <w:lang w:val="lt-LT"/>
              </w:rPr>
              <w:t>Pardavėjas</w:t>
            </w:r>
            <w:r w:rsidRPr="00407A42">
              <w:rPr>
                <w:rFonts w:ascii="Arial" w:hAnsi="Arial" w:cs="Arial"/>
                <w:noProof/>
                <w:sz w:val="20"/>
                <w:szCs w:val="20"/>
                <w:lang w:val="lt-LT"/>
              </w:rPr>
              <w:t xml:space="preserve"> informuotų apie šios informacijos pasikeitimus visu Sutarties vykdymo metu, taip pat apie naujus subteikėjus, kuriuos jis ketina pasitelkti vėliau.</w:t>
            </w:r>
          </w:p>
          <w:p w14:paraId="038B2EEF" w14:textId="77777777" w:rsidR="00407A42" w:rsidRDefault="00407A42" w:rsidP="0023720A">
            <w:pPr>
              <w:spacing w:after="120"/>
              <w:ind w:left="35"/>
              <w:rPr>
                <w:rFonts w:ascii="Arial" w:hAnsi="Arial" w:cs="Arial"/>
                <w:noProof/>
                <w:sz w:val="20"/>
                <w:szCs w:val="20"/>
                <w:lang w:val="lt-LT"/>
              </w:rPr>
            </w:pPr>
            <w:r>
              <w:rPr>
                <w:rFonts w:ascii="Arial" w:hAnsi="Arial" w:cs="Arial"/>
                <w:noProof/>
                <w:sz w:val="20"/>
                <w:szCs w:val="20"/>
                <w:lang w:val="lt-LT"/>
              </w:rPr>
              <w:t>11.6.2.</w:t>
            </w:r>
            <w:r w:rsidRPr="00407A42">
              <w:rPr>
                <w:rFonts w:ascii="Arial" w:hAnsi="Arial" w:cs="Arial"/>
                <w:noProof/>
                <w:sz w:val="20"/>
                <w:szCs w:val="20"/>
                <w:lang w:val="lt-LT"/>
              </w:rPr>
              <w:t xml:space="preserve"> Subteikimas nesukuria sutartinių santykių tarp </w:t>
            </w:r>
            <w:r>
              <w:rPr>
                <w:rFonts w:ascii="Arial" w:hAnsi="Arial" w:cs="Arial"/>
                <w:noProof/>
                <w:sz w:val="20"/>
                <w:szCs w:val="20"/>
                <w:lang w:val="lt-LT"/>
              </w:rPr>
              <w:t>Pirkėjo</w:t>
            </w:r>
            <w:r w:rsidRPr="00407A42">
              <w:rPr>
                <w:rFonts w:ascii="Arial" w:hAnsi="Arial" w:cs="Arial"/>
                <w:noProof/>
                <w:sz w:val="20"/>
                <w:szCs w:val="20"/>
                <w:lang w:val="lt-LT"/>
              </w:rPr>
              <w:t xml:space="preserve"> ir subteikėjo. </w:t>
            </w:r>
            <w:r>
              <w:rPr>
                <w:rFonts w:ascii="Arial" w:hAnsi="Arial" w:cs="Arial"/>
                <w:noProof/>
                <w:sz w:val="20"/>
                <w:szCs w:val="20"/>
                <w:lang w:val="lt-LT"/>
              </w:rPr>
              <w:t>Pardavėjas</w:t>
            </w:r>
            <w:r w:rsidRPr="00407A42">
              <w:rPr>
                <w:rFonts w:ascii="Arial" w:hAnsi="Arial" w:cs="Arial"/>
                <w:noProof/>
                <w:sz w:val="20"/>
                <w:szCs w:val="20"/>
                <w:lang w:val="lt-LT"/>
              </w:rPr>
              <w:t xml:space="preserve"> atsako už savo subteikėjų veiksmus ar neveikimą. </w:t>
            </w:r>
            <w:r>
              <w:rPr>
                <w:rFonts w:ascii="Arial" w:hAnsi="Arial" w:cs="Arial"/>
                <w:noProof/>
                <w:sz w:val="20"/>
                <w:szCs w:val="20"/>
                <w:lang w:val="lt-LT"/>
              </w:rPr>
              <w:t>Pirkėjo</w:t>
            </w:r>
            <w:r w:rsidRPr="00407A42">
              <w:rPr>
                <w:rFonts w:ascii="Arial" w:hAnsi="Arial" w:cs="Arial"/>
                <w:noProof/>
                <w:sz w:val="20"/>
                <w:szCs w:val="20"/>
                <w:lang w:val="lt-LT"/>
              </w:rPr>
              <w:t xml:space="preserve"> sutikimas, kad sutartiniams įsipareigojimams vykdyti būtų pasitelkiamas subteikėjas, neatleidžia </w:t>
            </w:r>
            <w:r>
              <w:rPr>
                <w:rFonts w:ascii="Arial" w:hAnsi="Arial" w:cs="Arial"/>
                <w:noProof/>
                <w:sz w:val="20"/>
                <w:szCs w:val="20"/>
                <w:lang w:val="lt-LT"/>
              </w:rPr>
              <w:t>Pardavėjo</w:t>
            </w:r>
            <w:r w:rsidRPr="00407A42">
              <w:rPr>
                <w:rFonts w:ascii="Arial" w:hAnsi="Arial" w:cs="Arial"/>
                <w:noProof/>
                <w:sz w:val="20"/>
                <w:szCs w:val="20"/>
                <w:lang w:val="lt-LT"/>
              </w:rPr>
              <w:t xml:space="preserve"> nuo jokių jo įsipareigojimų pagal Sutartį. Sutarties tekste </w:t>
            </w:r>
            <w:r>
              <w:rPr>
                <w:rFonts w:ascii="Arial" w:hAnsi="Arial" w:cs="Arial"/>
                <w:noProof/>
                <w:sz w:val="20"/>
                <w:szCs w:val="20"/>
                <w:lang w:val="lt-LT"/>
              </w:rPr>
              <w:t>Pardavėjo</w:t>
            </w:r>
            <w:r w:rsidRPr="00407A42">
              <w:rPr>
                <w:rFonts w:ascii="Arial" w:hAnsi="Arial" w:cs="Arial"/>
                <w:noProof/>
                <w:sz w:val="20"/>
                <w:szCs w:val="20"/>
                <w:lang w:val="lt-LT"/>
              </w:rPr>
              <w:t xml:space="preserve"> darbuotojai reiškia ir subteikėjo darbuotojus</w:t>
            </w:r>
            <w:r>
              <w:rPr>
                <w:rFonts w:ascii="Arial" w:hAnsi="Arial" w:cs="Arial"/>
                <w:noProof/>
                <w:sz w:val="20"/>
                <w:szCs w:val="20"/>
                <w:lang w:val="lt-LT"/>
              </w:rPr>
              <w:t>.</w:t>
            </w:r>
          </w:p>
          <w:p w14:paraId="3AFE8435" w14:textId="77777777" w:rsidR="00407A42" w:rsidRDefault="00407A42" w:rsidP="0023720A">
            <w:pPr>
              <w:spacing w:after="120"/>
              <w:ind w:left="35"/>
              <w:rPr>
                <w:rFonts w:ascii="Arial" w:hAnsi="Arial" w:cs="Arial"/>
                <w:noProof/>
                <w:sz w:val="20"/>
                <w:szCs w:val="20"/>
                <w:lang w:val="lt-LT"/>
              </w:rPr>
            </w:pPr>
            <w:r>
              <w:rPr>
                <w:rFonts w:ascii="Arial" w:hAnsi="Arial" w:cs="Arial"/>
                <w:noProof/>
                <w:sz w:val="20"/>
                <w:szCs w:val="20"/>
                <w:lang w:val="lt-LT"/>
              </w:rPr>
              <w:t>11.6.3. Pirkėjas</w:t>
            </w:r>
            <w:r w:rsidRPr="00407A42">
              <w:rPr>
                <w:rFonts w:ascii="Arial" w:hAnsi="Arial" w:cs="Arial"/>
                <w:noProof/>
                <w:sz w:val="20"/>
                <w:szCs w:val="20"/>
                <w:lang w:val="lt-LT"/>
              </w:rPr>
              <w:t xml:space="preserve"> neriboja </w:t>
            </w:r>
            <w:r>
              <w:rPr>
                <w:rFonts w:ascii="Arial" w:hAnsi="Arial" w:cs="Arial"/>
                <w:noProof/>
                <w:sz w:val="20"/>
                <w:szCs w:val="20"/>
                <w:lang w:val="lt-LT"/>
              </w:rPr>
              <w:t>Pardavėjo</w:t>
            </w:r>
            <w:r w:rsidRPr="00407A42">
              <w:rPr>
                <w:rFonts w:ascii="Arial" w:hAnsi="Arial" w:cs="Arial"/>
                <w:noProof/>
                <w:sz w:val="20"/>
                <w:szCs w:val="20"/>
                <w:lang w:val="lt-LT"/>
              </w:rPr>
              <w:t xml:space="preserve"> galimybės P</w:t>
            </w:r>
            <w:r>
              <w:rPr>
                <w:rFonts w:ascii="Arial" w:hAnsi="Arial" w:cs="Arial"/>
                <w:noProof/>
                <w:sz w:val="20"/>
                <w:szCs w:val="20"/>
                <w:lang w:val="lt-LT"/>
              </w:rPr>
              <w:t>rekių</w:t>
            </w:r>
            <w:r w:rsidRPr="00407A42">
              <w:rPr>
                <w:rFonts w:ascii="Arial" w:hAnsi="Arial" w:cs="Arial"/>
                <w:noProof/>
                <w:sz w:val="20"/>
                <w:szCs w:val="20"/>
                <w:lang w:val="lt-LT"/>
              </w:rPr>
              <w:t xml:space="preserve"> t</w:t>
            </w:r>
            <w:r>
              <w:rPr>
                <w:rFonts w:ascii="Arial" w:hAnsi="Arial" w:cs="Arial"/>
                <w:noProof/>
                <w:sz w:val="20"/>
                <w:szCs w:val="20"/>
                <w:lang w:val="lt-LT"/>
              </w:rPr>
              <w:t>iekimui</w:t>
            </w:r>
            <w:r w:rsidRPr="00407A42">
              <w:rPr>
                <w:rFonts w:ascii="Arial" w:hAnsi="Arial" w:cs="Arial"/>
                <w:noProof/>
                <w:sz w:val="20"/>
                <w:szCs w:val="20"/>
                <w:lang w:val="lt-LT"/>
              </w:rPr>
              <w:t xml:space="preserve"> pasitelkti kitus subteikėjus, kurių pajėgumais </w:t>
            </w:r>
            <w:r>
              <w:rPr>
                <w:rFonts w:ascii="Arial" w:hAnsi="Arial" w:cs="Arial"/>
                <w:noProof/>
                <w:sz w:val="20"/>
                <w:szCs w:val="20"/>
                <w:lang w:val="lt-LT"/>
              </w:rPr>
              <w:t>Pardavėjas</w:t>
            </w:r>
            <w:r w:rsidRPr="00407A42">
              <w:rPr>
                <w:rFonts w:ascii="Arial" w:hAnsi="Arial" w:cs="Arial"/>
                <w:noProof/>
                <w:sz w:val="20"/>
                <w:szCs w:val="20"/>
                <w:lang w:val="lt-LT"/>
              </w:rPr>
              <w:t xml:space="preserve"> nesirėmė, tačiau </w:t>
            </w:r>
            <w:r>
              <w:rPr>
                <w:rFonts w:ascii="Arial" w:hAnsi="Arial" w:cs="Arial"/>
                <w:noProof/>
                <w:sz w:val="20"/>
                <w:szCs w:val="20"/>
                <w:lang w:val="lt-LT"/>
              </w:rPr>
              <w:t>Pardavėjas</w:t>
            </w:r>
            <w:r w:rsidRPr="00407A42">
              <w:rPr>
                <w:rFonts w:ascii="Arial" w:hAnsi="Arial" w:cs="Arial"/>
                <w:noProof/>
                <w:sz w:val="20"/>
                <w:szCs w:val="20"/>
                <w:lang w:val="lt-LT"/>
              </w:rPr>
              <w:t xml:space="preserve"> privalo raštu informuoti </w:t>
            </w:r>
            <w:r>
              <w:rPr>
                <w:rFonts w:ascii="Arial" w:hAnsi="Arial" w:cs="Arial"/>
                <w:noProof/>
                <w:sz w:val="20"/>
                <w:szCs w:val="20"/>
                <w:lang w:val="lt-LT"/>
              </w:rPr>
              <w:t>Pirkėją</w:t>
            </w:r>
            <w:r w:rsidRPr="00407A42">
              <w:rPr>
                <w:rFonts w:ascii="Arial" w:hAnsi="Arial" w:cs="Arial"/>
                <w:noProof/>
                <w:sz w:val="20"/>
                <w:szCs w:val="20"/>
                <w:lang w:val="lt-LT"/>
              </w:rPr>
              <w:t xml:space="preserve"> apie numatomas pasirašyti subteikimo sutartis ne vėliau kaip prieš 3 (tris) dienas iki tokių sutarčių pasirašymo.</w:t>
            </w:r>
          </w:p>
          <w:p w14:paraId="1DF4FD75" w14:textId="3DEB5A8E" w:rsidR="00407A42" w:rsidRPr="00B46D5B" w:rsidRDefault="00407A42" w:rsidP="0023720A">
            <w:pPr>
              <w:spacing w:after="120"/>
              <w:ind w:left="35"/>
              <w:rPr>
                <w:rFonts w:ascii="Arial" w:hAnsi="Arial" w:cs="Arial"/>
                <w:noProof/>
                <w:sz w:val="20"/>
                <w:szCs w:val="20"/>
                <w:lang w:val="lt-LT"/>
              </w:rPr>
            </w:pP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lastRenderedPageBreak/>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77777777"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lastRenderedPageBreak/>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B46D5B" w:rsidRDefault="0049748D" w:rsidP="0049748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Sutarties galiojimas, keitimas ir nutraukimas</w:t>
      </w:r>
    </w:p>
    <w:p w14:paraId="62278922" w14:textId="0C81A883"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įsigalioja nuo jos pasirašymo dienos ir galioja iki Specialiojoje dalyje nustatyto termino pabaigos. </w:t>
      </w:r>
      <w:r w:rsidR="005178CD" w:rsidRPr="00B46D5B">
        <w:rPr>
          <w:rFonts w:ascii="Arial" w:hAnsi="Arial" w:cs="Arial"/>
          <w:noProof/>
          <w:sz w:val="20"/>
          <w:szCs w:val="20"/>
          <w:lang w:val="lt-LT"/>
        </w:rPr>
        <w:t>Jeigu Sutarties įvykdymui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ipersaitas"/>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shd w:val="clear" w:color="auto" w:fill="auto"/>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shd w:val="clear" w:color="auto" w:fill="auto"/>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shd w:val="clear" w:color="auto" w:fill="auto"/>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shd w:val="clear" w:color="auto" w:fill="auto"/>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shd w:val="clear" w:color="auto" w:fill="auto"/>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77777777" w:rsidR="009E5C5F" w:rsidRPr="00B46D5B" w:rsidRDefault="009E5C5F" w:rsidP="009E5C5F">
            <w:pPr>
              <w:jc w:val="both"/>
              <w:rPr>
                <w:rFonts w:ascii="Arial" w:hAnsi="Arial" w:cs="Arial"/>
                <w:bCs/>
                <w:noProof/>
                <w:sz w:val="20"/>
                <w:szCs w:val="20"/>
                <w:u w:val="single"/>
                <w:lang w:val="lt-LT"/>
              </w:rPr>
            </w:pPr>
            <w:r w:rsidRPr="00B46D5B">
              <w:rPr>
                <w:rFonts w:ascii="Arial" w:hAnsi="Arial" w:cs="Arial"/>
                <w:bCs/>
                <w:noProof/>
                <w:sz w:val="20"/>
                <w:szCs w:val="20"/>
                <w:u w:val="single"/>
                <w:lang w:val="lt-LT"/>
              </w:rPr>
              <w:t>Generalinis direktorius Tomas Garasimavičius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shd w:val="clear" w:color="auto" w:fill="auto"/>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400B" w14:textId="77777777" w:rsidR="005D0B70" w:rsidRDefault="005D0B70" w:rsidP="00EE5E64">
      <w:r>
        <w:separator/>
      </w:r>
    </w:p>
  </w:endnote>
  <w:endnote w:type="continuationSeparator" w:id="0">
    <w:p w14:paraId="1ED8EA0E" w14:textId="77777777" w:rsidR="005D0B70" w:rsidRDefault="005D0B70" w:rsidP="00EE5E64">
      <w:r>
        <w:continuationSeparator/>
      </w:r>
    </w:p>
  </w:endnote>
  <w:endnote w:type="continuationNotice" w:id="1">
    <w:p w14:paraId="15D9309B" w14:textId="77777777" w:rsidR="005D0B70" w:rsidRDefault="005D0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End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7F64" w14:textId="77777777" w:rsidR="005D0B70" w:rsidRDefault="005D0B70" w:rsidP="00EE5E64">
      <w:r>
        <w:separator/>
      </w:r>
    </w:p>
  </w:footnote>
  <w:footnote w:type="continuationSeparator" w:id="0">
    <w:p w14:paraId="770E4B60" w14:textId="77777777" w:rsidR="005D0B70" w:rsidRDefault="005D0B70" w:rsidP="00EE5E64">
      <w:r>
        <w:continuationSeparator/>
      </w:r>
    </w:p>
  </w:footnote>
  <w:footnote w:type="continuationNotice" w:id="1">
    <w:p w14:paraId="7DF7086C" w14:textId="77777777" w:rsidR="005D0B70" w:rsidRDefault="005D0B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2"/>
  </w:num>
  <w:num w:numId="2" w16cid:durableId="1413353660">
    <w:abstractNumId w:val="4"/>
  </w:num>
  <w:num w:numId="3" w16cid:durableId="1743598090">
    <w:abstractNumId w:val="6"/>
  </w:num>
  <w:num w:numId="4" w16cid:durableId="1116801049">
    <w:abstractNumId w:val="24"/>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3"/>
  </w:num>
  <w:num w:numId="18" w16cid:durableId="515536572">
    <w:abstractNumId w:val="16"/>
  </w:num>
  <w:num w:numId="19" w16cid:durableId="1677806457">
    <w:abstractNumId w:val="0"/>
  </w:num>
  <w:num w:numId="20" w16cid:durableId="1904608367">
    <w:abstractNumId w:val="10"/>
  </w:num>
  <w:num w:numId="21" w16cid:durableId="1211065388">
    <w:abstractNumId w:val="21"/>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EYQjVUSCMR7juPiZofd0KW6xtr5hBNU/IonV913v8ihhQrjBvG57SNiPSzoCG6Yn9aOMIQV4itZPD0KfPI2sg==" w:salt="FkuVdxmTXiXdHOfYsLo6bw=="/>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0431"/>
    <w:rsid w:val="00012221"/>
    <w:rsid w:val="0001458B"/>
    <w:rsid w:val="00015CC7"/>
    <w:rsid w:val="000173D2"/>
    <w:rsid w:val="00017671"/>
    <w:rsid w:val="0002055E"/>
    <w:rsid w:val="0002317C"/>
    <w:rsid w:val="000263D1"/>
    <w:rsid w:val="00026957"/>
    <w:rsid w:val="000317AB"/>
    <w:rsid w:val="000333DA"/>
    <w:rsid w:val="00033C67"/>
    <w:rsid w:val="00034483"/>
    <w:rsid w:val="00035128"/>
    <w:rsid w:val="00036F81"/>
    <w:rsid w:val="0004151F"/>
    <w:rsid w:val="00043AC7"/>
    <w:rsid w:val="00052CD1"/>
    <w:rsid w:val="0005632C"/>
    <w:rsid w:val="00056806"/>
    <w:rsid w:val="0006491D"/>
    <w:rsid w:val="00065A0D"/>
    <w:rsid w:val="0006625D"/>
    <w:rsid w:val="00066E4A"/>
    <w:rsid w:val="00067D82"/>
    <w:rsid w:val="000721FC"/>
    <w:rsid w:val="00072531"/>
    <w:rsid w:val="00083183"/>
    <w:rsid w:val="000841E7"/>
    <w:rsid w:val="0008459E"/>
    <w:rsid w:val="00085377"/>
    <w:rsid w:val="0009196C"/>
    <w:rsid w:val="00091B55"/>
    <w:rsid w:val="0009708A"/>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7F4F"/>
    <w:rsid w:val="000E244F"/>
    <w:rsid w:val="000E43A1"/>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783A"/>
    <w:rsid w:val="00186006"/>
    <w:rsid w:val="001905CF"/>
    <w:rsid w:val="00191BE0"/>
    <w:rsid w:val="00195E57"/>
    <w:rsid w:val="00195FBC"/>
    <w:rsid w:val="00196405"/>
    <w:rsid w:val="001969A5"/>
    <w:rsid w:val="001A00D5"/>
    <w:rsid w:val="001A25C6"/>
    <w:rsid w:val="001A7EBA"/>
    <w:rsid w:val="001B07EB"/>
    <w:rsid w:val="001B10BD"/>
    <w:rsid w:val="001C1170"/>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2E84"/>
    <w:rsid w:val="00226FBB"/>
    <w:rsid w:val="00227512"/>
    <w:rsid w:val="00227B4B"/>
    <w:rsid w:val="002302CD"/>
    <w:rsid w:val="0023186B"/>
    <w:rsid w:val="00232B22"/>
    <w:rsid w:val="00232F0E"/>
    <w:rsid w:val="00234608"/>
    <w:rsid w:val="00235952"/>
    <w:rsid w:val="0023720A"/>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56E1"/>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E039C"/>
    <w:rsid w:val="002E5032"/>
    <w:rsid w:val="002F0791"/>
    <w:rsid w:val="002F4A30"/>
    <w:rsid w:val="002F4F14"/>
    <w:rsid w:val="00302DD6"/>
    <w:rsid w:val="00303196"/>
    <w:rsid w:val="00305221"/>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07A42"/>
    <w:rsid w:val="0041408F"/>
    <w:rsid w:val="00421198"/>
    <w:rsid w:val="00421E9B"/>
    <w:rsid w:val="00423D6B"/>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055F"/>
    <w:rsid w:val="004F1F38"/>
    <w:rsid w:val="004F5A54"/>
    <w:rsid w:val="004F75C1"/>
    <w:rsid w:val="00502BFB"/>
    <w:rsid w:val="005032D3"/>
    <w:rsid w:val="005038BB"/>
    <w:rsid w:val="00503B86"/>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528CF"/>
    <w:rsid w:val="00554197"/>
    <w:rsid w:val="00554FE9"/>
    <w:rsid w:val="00564150"/>
    <w:rsid w:val="00570300"/>
    <w:rsid w:val="00572F18"/>
    <w:rsid w:val="005756B9"/>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22D2"/>
    <w:rsid w:val="005F3ED7"/>
    <w:rsid w:val="006008B1"/>
    <w:rsid w:val="0060482A"/>
    <w:rsid w:val="00606276"/>
    <w:rsid w:val="0060706C"/>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710E"/>
    <w:rsid w:val="00663B7D"/>
    <w:rsid w:val="00663D6E"/>
    <w:rsid w:val="006674EE"/>
    <w:rsid w:val="00671CBD"/>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2D7D"/>
    <w:rsid w:val="007050E4"/>
    <w:rsid w:val="0070525F"/>
    <w:rsid w:val="00705DDE"/>
    <w:rsid w:val="00707566"/>
    <w:rsid w:val="00710B1B"/>
    <w:rsid w:val="00711F51"/>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24C9"/>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7E6"/>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B2C"/>
    <w:rsid w:val="009D4E9D"/>
    <w:rsid w:val="009D640A"/>
    <w:rsid w:val="009D6AFE"/>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2F5A"/>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C10"/>
    <w:rsid w:val="00CA4E8E"/>
    <w:rsid w:val="00CB3BCD"/>
    <w:rsid w:val="00CB76D3"/>
    <w:rsid w:val="00CC0C04"/>
    <w:rsid w:val="00CC12BE"/>
    <w:rsid w:val="00CC3D84"/>
    <w:rsid w:val="00CD31D0"/>
    <w:rsid w:val="00CD5E09"/>
    <w:rsid w:val="00CD7A32"/>
    <w:rsid w:val="00CD7CD1"/>
    <w:rsid w:val="00CE457F"/>
    <w:rsid w:val="00CF12C2"/>
    <w:rsid w:val="00CF4219"/>
    <w:rsid w:val="00CF4BF7"/>
    <w:rsid w:val="00CF599A"/>
    <w:rsid w:val="00CF5AD4"/>
    <w:rsid w:val="00CF66AE"/>
    <w:rsid w:val="00D0306A"/>
    <w:rsid w:val="00D03085"/>
    <w:rsid w:val="00D0504D"/>
    <w:rsid w:val="00D10778"/>
    <w:rsid w:val="00D12C86"/>
    <w:rsid w:val="00D13236"/>
    <w:rsid w:val="00D13771"/>
    <w:rsid w:val="00D14D89"/>
    <w:rsid w:val="00D1652C"/>
    <w:rsid w:val="00D220C7"/>
    <w:rsid w:val="00D25A58"/>
    <w:rsid w:val="00D25CF6"/>
    <w:rsid w:val="00D27613"/>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A6A5D"/>
    <w:rsid w:val="00DB46CD"/>
    <w:rsid w:val="00DB791C"/>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B8E"/>
    <w:rsid w:val="00F35B99"/>
    <w:rsid w:val="00F35F36"/>
    <w:rsid w:val="00F45F06"/>
    <w:rsid w:val="00F464E2"/>
    <w:rsid w:val="00F46E21"/>
    <w:rsid w:val="00F47509"/>
    <w:rsid w:val="00F50156"/>
    <w:rsid w:val="00F509E0"/>
    <w:rsid w:val="00F52B6B"/>
    <w:rsid w:val="00F5538D"/>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975"/>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2.xml><?xml version="1.0" encoding="utf-8"?>
<ds:datastoreItem xmlns:ds="http://schemas.openxmlformats.org/officeDocument/2006/customXml" ds:itemID="{9D41EEEA-9B89-4DB8-AB37-9B8DACB31EDF}">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c2a0e2a-3685-45b3-bca7-2bcb4abed832"/>
    <ds:schemaRef ds:uri="681963c5-63cb-4b59-8a97-26cd99cee41d"/>
    <ds:schemaRef ds:uri="http://www.w3.org/XML/1998/namespace"/>
    <ds:schemaRef ds:uri="http://purl.org/dc/dcmitype/"/>
  </ds:schemaRefs>
</ds:datastoreItem>
</file>

<file path=customXml/itemProps3.xml><?xml version="1.0" encoding="utf-8"?>
<ds:datastoreItem xmlns:ds="http://schemas.openxmlformats.org/officeDocument/2006/customXml" ds:itemID="{30997C61-09AE-4FC0-BDE2-F26F9A6E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4113</Words>
  <Characters>29327</Characters>
  <Application>Microsoft Office Word</Application>
  <DocSecurity>8</DocSecurity>
  <Lines>244</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PATALPŲ NUOMOS SUTARTIS</vt:lpstr>
      <vt:lpstr>PATALPŲ NUOMOS SUTARTIS</vt:lpstr>
    </vt:vector>
  </TitlesOfParts>
  <Company/>
  <LinksUpToDate>false</LinksUpToDate>
  <CharactersWithSpaces>33374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Daiva Skačkauskienė</cp:lastModifiedBy>
  <cp:revision>9</cp:revision>
  <cp:lastPrinted>2022-05-09T09:00:00Z</cp:lastPrinted>
  <dcterms:created xsi:type="dcterms:W3CDTF">2025-06-23T06:01:00Z</dcterms:created>
  <dcterms:modified xsi:type="dcterms:W3CDTF">2025-06-27T10:59:00Z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