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6E8F" w14:textId="3674DD83" w:rsidR="007C699A" w:rsidRPr="007C699A" w:rsidRDefault="007C699A" w:rsidP="007C699A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66085778"/>
      <w:r w:rsidRPr="007C699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Pirkimo Sąlygų 7 priedas „Pasiūlymų vertinimo kriterijai ir sąlygos“</w:t>
      </w:r>
      <w:bookmarkEnd w:id="0"/>
      <w:bookmarkEnd w:id="1"/>
      <w:bookmarkEnd w:id="2"/>
    </w:p>
    <w:p w14:paraId="4C604DAC" w14:textId="77777777" w:rsidR="007C699A" w:rsidRPr="000D52FB" w:rsidRDefault="007C699A" w:rsidP="007C699A">
      <w:pPr>
        <w:pStyle w:val="Subtitle"/>
        <w:jc w:val="center"/>
        <w:rPr>
          <w:rFonts w:ascii="Times New Roman" w:hAnsi="Times New Roman" w:cs="Times New Roman"/>
          <w:sz w:val="24"/>
          <w:szCs w:val="24"/>
        </w:rPr>
      </w:pPr>
    </w:p>
    <w:p w14:paraId="2590A4A4" w14:textId="77777777" w:rsidR="007C699A" w:rsidRPr="000D52FB" w:rsidRDefault="007C699A" w:rsidP="007C699A">
      <w:pPr>
        <w:pBdr>
          <w:top w:val="nil"/>
          <w:left w:val="nil"/>
          <w:bottom w:val="nil"/>
          <w:right w:val="nil"/>
          <w:between w:val="nil"/>
          <w:bar w:val="nil"/>
        </w:pBdr>
        <w:spacing w:after="480" w:line="240" w:lineRule="auto"/>
        <w:jc w:val="center"/>
        <w:rPr>
          <w:rFonts w:ascii="Times New Roman" w:eastAsia="Arial Unicode MS" w:hAnsi="Times New Roman" w:cs="Times New Roman"/>
          <w:b/>
          <w:bCs/>
          <w:caps/>
          <w:sz w:val="24"/>
          <w:szCs w:val="24"/>
          <w:bdr w:val="nil"/>
          <w:lang w:eastAsia="en-US"/>
        </w:rPr>
      </w:pPr>
      <w:r w:rsidRPr="000D52FB">
        <w:rPr>
          <w:rFonts w:ascii="Times New Roman" w:eastAsia="Arial Unicode MS" w:hAnsi="Times New Roman" w:cs="Times New Roman"/>
          <w:b/>
          <w:bCs/>
          <w:caps/>
          <w:sz w:val="24"/>
          <w:szCs w:val="24"/>
          <w:bdr w:val="nil"/>
          <w:lang w:eastAsia="en-US"/>
        </w:rPr>
        <w:t>Pasiūlymų vertinimas</w:t>
      </w:r>
    </w:p>
    <w:p w14:paraId="3908E34C" w14:textId="77777777" w:rsidR="007C699A" w:rsidRPr="000D52FB" w:rsidRDefault="007C699A" w:rsidP="007C699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ind w:firstLine="1296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eastAsia="en-US" w:bidi="ta-IN"/>
        </w:rPr>
      </w:pPr>
      <w:bookmarkStart w:id="3" w:name="_Toc166085779"/>
      <w:bookmarkStart w:id="4" w:name="_Hlk96256258"/>
      <w:r w:rsidRPr="000D52FB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eastAsia="en-US" w:bidi="ta-IN"/>
        </w:rPr>
        <w:t>1. BENDROSIOS NUOSTATOS</w:t>
      </w:r>
      <w:bookmarkEnd w:id="3"/>
    </w:p>
    <w:p w14:paraId="2504AB89" w14:textId="77777777" w:rsidR="007C699A" w:rsidRPr="000D52FB" w:rsidRDefault="007C699A" w:rsidP="007C699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 w:bidi="ta-IN"/>
        </w:rPr>
      </w:pPr>
      <w:r w:rsidRPr="000D52FB">
        <w:rPr>
          <w:rFonts w:ascii="Times New Roman" w:eastAsia="Arial Unicode MS" w:hAnsi="Times New Roman" w:cs="Times New Roman"/>
          <w:sz w:val="24"/>
          <w:szCs w:val="24"/>
          <w:bdr w:val="nil"/>
          <w:lang w:eastAsia="en-US" w:bidi="ta-IN"/>
        </w:rPr>
        <w:tab/>
        <w:t>1.1. Perkančiosios organizacijos neatmesti pasiūlymai vertinami pagal kainos ir kokybės santykį šiame priede nurodyta tvarka.</w:t>
      </w:r>
    </w:p>
    <w:p w14:paraId="3F3560D7" w14:textId="77777777" w:rsidR="007C699A" w:rsidRPr="000D52FB" w:rsidRDefault="007C699A" w:rsidP="007C699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 w:line="240" w:lineRule="auto"/>
        <w:ind w:firstLine="709"/>
        <w:jc w:val="both"/>
        <w:rPr>
          <w:rFonts w:ascii="Times New Roman" w:eastAsia="Arial Unicode MS" w:hAnsi="Times New Roman" w:cs="Times New Roman"/>
          <w:noProof/>
          <w:sz w:val="24"/>
          <w:szCs w:val="24"/>
          <w:bdr w:val="nil"/>
          <w:lang w:eastAsia="en-US" w:bidi="ta-IN"/>
        </w:rPr>
      </w:pPr>
      <w:r w:rsidRPr="000D52FB">
        <w:rPr>
          <w:rFonts w:ascii="Times New Roman" w:eastAsia="Arial Unicode MS" w:hAnsi="Times New Roman" w:cs="Times New Roman"/>
          <w:sz w:val="24"/>
          <w:szCs w:val="24"/>
          <w:bdr w:val="nil"/>
          <w:lang w:eastAsia="en-US" w:bidi="ta-IN"/>
        </w:rPr>
        <w:tab/>
      </w:r>
      <w:r w:rsidRPr="000D52FB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eastAsia="en-US" w:bidi="ta-IN"/>
        </w:rPr>
        <w:t>1.2. Ekonomiškai naudingiausias pasiūlymas – tai pasiūlymas, kurio balų suma, apskaičiuota pagal toliau nustatytus pasiūlymų vertinimo kriterijus ir sąlygas, yra didžiausia.</w:t>
      </w:r>
    </w:p>
    <w:p w14:paraId="7DD0E92D" w14:textId="77777777" w:rsidR="007C699A" w:rsidRPr="000D52FB" w:rsidRDefault="007C699A" w:rsidP="007C699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ind w:firstLine="709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eastAsia="en-US" w:bidi="ta-IN"/>
        </w:rPr>
      </w:pPr>
      <w:bookmarkStart w:id="5" w:name="_Hlk96256239"/>
      <w:bookmarkEnd w:id="4"/>
      <w:r w:rsidRPr="000D52FB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eastAsia="en-US" w:bidi="ta-IN"/>
        </w:rPr>
        <w:tab/>
      </w:r>
      <w:bookmarkStart w:id="6" w:name="_Toc166085780"/>
      <w:r w:rsidRPr="000D52FB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eastAsia="en-US" w:bidi="ta-IN"/>
        </w:rPr>
        <w:t xml:space="preserve">2. PASIŪLYMŲ VERTINIMO KRITERIJAI IR </w:t>
      </w:r>
      <w:r w:rsidRPr="000D52FB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eastAsia="en-US"/>
        </w:rPr>
        <w:t>BALŲ APSKAIČIAVIMAS</w:t>
      </w:r>
      <w:bookmarkEnd w:id="6"/>
    </w:p>
    <w:p w14:paraId="528E51B7" w14:textId="77777777" w:rsidR="007C699A" w:rsidRPr="000D52FB" w:rsidRDefault="007C699A" w:rsidP="007C699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 w:bidi="ta-IN"/>
        </w:rPr>
      </w:pPr>
      <w:r w:rsidRPr="000D52FB">
        <w:rPr>
          <w:rFonts w:ascii="Times New Roman" w:eastAsia="Arial Unicode MS" w:hAnsi="Times New Roman" w:cs="Times New Roman"/>
          <w:sz w:val="24"/>
          <w:szCs w:val="24"/>
          <w:bdr w:val="nil"/>
          <w:lang w:eastAsia="en-US" w:bidi="ta-IN"/>
        </w:rPr>
        <w:tab/>
        <w:t xml:space="preserve">2.1. Nustatomas maksimalus bendras balų skaičius </w:t>
      </w:r>
      <w:r w:rsidRPr="000D52FB">
        <w:rPr>
          <w:rFonts w:ascii="Symbol" w:eastAsia="Symbol" w:hAnsi="Symbol" w:cs="Symbol"/>
          <w:sz w:val="24"/>
          <w:szCs w:val="24"/>
          <w:bdr w:val="nil"/>
          <w:lang w:eastAsia="en-US" w:bidi="ta-IN"/>
        </w:rPr>
        <w:t>-</w:t>
      </w:r>
      <w:r w:rsidRPr="000D52FB">
        <w:rPr>
          <w:rFonts w:ascii="Times New Roman" w:eastAsia="Arial Unicode MS" w:hAnsi="Times New Roman" w:cs="Times New Roman"/>
          <w:sz w:val="24"/>
          <w:szCs w:val="24"/>
          <w:bdr w:val="nil"/>
          <w:lang w:eastAsia="en-US" w:bidi="ta-IN"/>
        </w:rPr>
        <w:t xml:space="preserve"> 100 balų. Taikomi šie vertinimo kriterijai ir jų reikšmės:</w:t>
      </w:r>
    </w:p>
    <w:tbl>
      <w:tblPr>
        <w:tblStyle w:val="TableGrid4"/>
        <w:tblW w:w="0" w:type="auto"/>
        <w:jc w:val="right"/>
        <w:tblLook w:val="04A0" w:firstRow="1" w:lastRow="0" w:firstColumn="1" w:lastColumn="0" w:noHBand="0" w:noVBand="1"/>
      </w:tblPr>
      <w:tblGrid>
        <w:gridCol w:w="1243"/>
        <w:gridCol w:w="1977"/>
        <w:gridCol w:w="1680"/>
        <w:gridCol w:w="1761"/>
        <w:gridCol w:w="1510"/>
        <w:gridCol w:w="2095"/>
        <w:gridCol w:w="2684"/>
      </w:tblGrid>
      <w:tr w:rsidR="007C699A" w:rsidRPr="000D52FB" w14:paraId="2094752D" w14:textId="77777777" w:rsidTr="007C699A">
        <w:trPr>
          <w:tblHeader/>
          <w:jc w:val="right"/>
        </w:trPr>
        <w:tc>
          <w:tcPr>
            <w:tcW w:w="1243" w:type="dxa"/>
            <w:vAlign w:val="center"/>
          </w:tcPr>
          <w:p w14:paraId="38E1C8C0" w14:textId="77777777" w:rsidR="007C699A" w:rsidRPr="000D52FB" w:rsidRDefault="007C699A" w:rsidP="0096784C">
            <w:pPr>
              <w:suppressAutoHyphens/>
              <w:spacing w:before="60" w:after="60"/>
              <w:jc w:val="center"/>
              <w:rPr>
                <w:b/>
                <w:color w:val="000000"/>
                <w:sz w:val="24"/>
                <w:szCs w:val="24"/>
                <w:lang w:bidi="ta-IN"/>
              </w:rPr>
            </w:pPr>
            <w:r w:rsidRPr="000D52FB">
              <w:rPr>
                <w:b/>
                <w:color w:val="000000"/>
                <w:sz w:val="24"/>
                <w:szCs w:val="24"/>
                <w:lang w:bidi="ta-IN"/>
              </w:rPr>
              <w:t>Kriterijus</w:t>
            </w:r>
          </w:p>
        </w:tc>
        <w:tc>
          <w:tcPr>
            <w:tcW w:w="2145" w:type="dxa"/>
            <w:vAlign w:val="center"/>
          </w:tcPr>
          <w:p w14:paraId="48DF3D79" w14:textId="77777777" w:rsidR="007C699A" w:rsidRPr="000D52FB" w:rsidRDefault="007C699A" w:rsidP="0096784C">
            <w:pPr>
              <w:suppressAutoHyphens/>
              <w:spacing w:before="60" w:after="60"/>
              <w:jc w:val="center"/>
              <w:rPr>
                <w:b/>
                <w:color w:val="000000"/>
                <w:sz w:val="24"/>
                <w:szCs w:val="24"/>
                <w:lang w:bidi="ta-IN"/>
              </w:rPr>
            </w:pPr>
            <w:r w:rsidRPr="000D52FB">
              <w:rPr>
                <w:b/>
                <w:color w:val="000000"/>
                <w:sz w:val="24"/>
                <w:szCs w:val="24"/>
                <w:lang w:bidi="ta-IN"/>
              </w:rPr>
              <w:t>Kriterijaus pavadinimas</w:t>
            </w:r>
          </w:p>
        </w:tc>
        <w:tc>
          <w:tcPr>
            <w:tcW w:w="1950" w:type="dxa"/>
            <w:vAlign w:val="center"/>
          </w:tcPr>
          <w:p w14:paraId="37462EFD" w14:textId="77777777" w:rsidR="007C699A" w:rsidRPr="000D52FB" w:rsidRDefault="007C699A" w:rsidP="0096784C">
            <w:pPr>
              <w:suppressAutoHyphens/>
              <w:spacing w:before="60" w:after="60"/>
              <w:jc w:val="center"/>
              <w:rPr>
                <w:b/>
                <w:color w:val="000000"/>
                <w:sz w:val="24"/>
                <w:szCs w:val="24"/>
                <w:lang w:bidi="ta-IN"/>
              </w:rPr>
            </w:pPr>
            <w:r w:rsidRPr="000D52FB">
              <w:rPr>
                <w:b/>
                <w:color w:val="000000"/>
                <w:sz w:val="24"/>
                <w:szCs w:val="24"/>
                <w:lang w:bidi="ta-IN"/>
              </w:rPr>
              <w:t>Minimali vertinama reikšmė</w:t>
            </w:r>
          </w:p>
        </w:tc>
        <w:tc>
          <w:tcPr>
            <w:tcW w:w="2058" w:type="dxa"/>
            <w:vAlign w:val="center"/>
          </w:tcPr>
          <w:p w14:paraId="1A856632" w14:textId="77777777" w:rsidR="007C699A" w:rsidRPr="000D52FB" w:rsidRDefault="007C699A" w:rsidP="0096784C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bidi="ta-IN"/>
              </w:rPr>
            </w:pPr>
            <w:r w:rsidRPr="000D52FB">
              <w:rPr>
                <w:b/>
                <w:color w:val="000000"/>
                <w:sz w:val="24"/>
                <w:szCs w:val="24"/>
                <w:lang w:bidi="ta-IN"/>
              </w:rPr>
              <w:t xml:space="preserve">Maksimali vertinama </w:t>
            </w:r>
          </w:p>
          <w:p w14:paraId="0AAE4E2E" w14:textId="77777777" w:rsidR="007C699A" w:rsidRPr="000D52FB" w:rsidRDefault="007C699A" w:rsidP="0096784C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bidi="ta-IN"/>
              </w:rPr>
            </w:pPr>
            <w:r w:rsidRPr="000D52FB">
              <w:rPr>
                <w:b/>
                <w:color w:val="000000"/>
                <w:sz w:val="24"/>
                <w:szCs w:val="24"/>
                <w:lang w:bidi="ta-IN"/>
              </w:rPr>
              <w:t>reikšmė</w:t>
            </w:r>
          </w:p>
        </w:tc>
        <w:tc>
          <w:tcPr>
            <w:tcW w:w="1510" w:type="dxa"/>
            <w:vAlign w:val="center"/>
          </w:tcPr>
          <w:p w14:paraId="5BF9EF29" w14:textId="77777777" w:rsidR="007C699A" w:rsidRPr="000D52FB" w:rsidRDefault="007C699A" w:rsidP="0096784C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bidi="ta-IN"/>
              </w:rPr>
            </w:pPr>
            <w:r w:rsidRPr="000D52FB">
              <w:rPr>
                <w:b/>
                <w:color w:val="000000"/>
                <w:sz w:val="24"/>
                <w:szCs w:val="24"/>
                <w:lang w:bidi="ta-IN"/>
              </w:rPr>
              <w:t xml:space="preserve">Lyginamasis svoris  </w:t>
            </w:r>
          </w:p>
        </w:tc>
        <w:tc>
          <w:tcPr>
            <w:tcW w:w="2472" w:type="dxa"/>
            <w:vAlign w:val="center"/>
          </w:tcPr>
          <w:p w14:paraId="1E58D76E" w14:textId="77777777" w:rsidR="007C699A" w:rsidRPr="000D52FB" w:rsidRDefault="007C699A" w:rsidP="0096784C">
            <w:pPr>
              <w:suppressAutoHyphens/>
              <w:spacing w:before="60" w:after="60"/>
              <w:jc w:val="center"/>
              <w:rPr>
                <w:b/>
                <w:color w:val="000000"/>
                <w:sz w:val="24"/>
                <w:szCs w:val="24"/>
                <w:lang w:bidi="ta-IN"/>
              </w:rPr>
            </w:pPr>
            <w:r w:rsidRPr="000D52FB">
              <w:rPr>
                <w:b/>
                <w:color w:val="000000"/>
                <w:sz w:val="24"/>
                <w:szCs w:val="24"/>
                <w:lang w:bidi="ta-IN"/>
              </w:rPr>
              <w:t>Formulė</w:t>
            </w:r>
          </w:p>
        </w:tc>
        <w:tc>
          <w:tcPr>
            <w:tcW w:w="3134" w:type="dxa"/>
            <w:vAlign w:val="center"/>
          </w:tcPr>
          <w:p w14:paraId="514D6124" w14:textId="77777777" w:rsidR="007C699A" w:rsidRPr="000D52FB" w:rsidRDefault="007C699A" w:rsidP="0096784C">
            <w:pPr>
              <w:suppressAutoHyphens/>
              <w:spacing w:before="60" w:after="60"/>
              <w:jc w:val="center"/>
              <w:rPr>
                <w:b/>
                <w:color w:val="000000"/>
                <w:sz w:val="24"/>
                <w:szCs w:val="24"/>
                <w:lang w:bidi="ta-IN"/>
              </w:rPr>
            </w:pPr>
            <w:r w:rsidRPr="000D52FB">
              <w:rPr>
                <w:b/>
                <w:color w:val="000000"/>
                <w:sz w:val="24"/>
                <w:szCs w:val="24"/>
                <w:lang w:bidi="ta-IN"/>
              </w:rPr>
              <w:t>Vertinimo tvarka</w:t>
            </w:r>
          </w:p>
        </w:tc>
      </w:tr>
      <w:tr w:rsidR="007C699A" w:rsidRPr="000D52FB" w14:paraId="7C09D476" w14:textId="77777777" w:rsidTr="007C699A">
        <w:trPr>
          <w:jc w:val="right"/>
        </w:trPr>
        <w:tc>
          <w:tcPr>
            <w:tcW w:w="1243" w:type="dxa"/>
          </w:tcPr>
          <w:p w14:paraId="7A6003AE" w14:textId="77777777" w:rsidR="007C699A" w:rsidRPr="000D52FB" w:rsidRDefault="007C699A" w:rsidP="0096784C">
            <w:pPr>
              <w:spacing w:before="60" w:after="60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EN</w:t>
            </w:r>
          </w:p>
        </w:tc>
        <w:tc>
          <w:tcPr>
            <w:tcW w:w="2145" w:type="dxa"/>
          </w:tcPr>
          <w:p w14:paraId="507A1D3A" w14:textId="77777777" w:rsidR="007C699A" w:rsidRPr="000D52FB" w:rsidRDefault="007C699A" w:rsidP="0096784C">
            <w:pPr>
              <w:spacing w:before="60" w:after="60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Ekonominis naudingumas</w:t>
            </w:r>
          </w:p>
        </w:tc>
        <w:tc>
          <w:tcPr>
            <w:tcW w:w="1950" w:type="dxa"/>
          </w:tcPr>
          <w:p w14:paraId="77C00D03" w14:textId="77777777" w:rsidR="007C699A" w:rsidRPr="000D52FB" w:rsidRDefault="007C699A" w:rsidP="0096784C">
            <w:pPr>
              <w:spacing w:before="60" w:after="60"/>
              <w:jc w:val="center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–</w:t>
            </w:r>
          </w:p>
        </w:tc>
        <w:tc>
          <w:tcPr>
            <w:tcW w:w="2058" w:type="dxa"/>
          </w:tcPr>
          <w:p w14:paraId="1DC02F37" w14:textId="77777777" w:rsidR="007C699A" w:rsidRPr="000D52FB" w:rsidRDefault="007C699A" w:rsidP="0096784C">
            <w:pPr>
              <w:spacing w:before="60" w:after="60"/>
              <w:jc w:val="center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–</w:t>
            </w:r>
          </w:p>
        </w:tc>
        <w:tc>
          <w:tcPr>
            <w:tcW w:w="1510" w:type="dxa"/>
          </w:tcPr>
          <w:p w14:paraId="70E02605" w14:textId="77777777" w:rsidR="007C699A" w:rsidRPr="000D52FB" w:rsidRDefault="007C699A" w:rsidP="0096784C">
            <w:pPr>
              <w:spacing w:before="60" w:after="60"/>
              <w:jc w:val="center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–</w:t>
            </w:r>
          </w:p>
        </w:tc>
        <w:tc>
          <w:tcPr>
            <w:tcW w:w="2472" w:type="dxa"/>
          </w:tcPr>
          <w:p w14:paraId="621F943C" w14:textId="77777777" w:rsidR="007C699A" w:rsidRPr="000D52FB" w:rsidRDefault="007C699A" w:rsidP="0096784C">
            <w:pPr>
              <w:spacing w:before="60" w:after="120"/>
              <w:jc w:val="both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EN = K + KV1</w:t>
            </w:r>
          </w:p>
        </w:tc>
        <w:tc>
          <w:tcPr>
            <w:tcW w:w="3134" w:type="dxa"/>
          </w:tcPr>
          <w:p w14:paraId="7086BCE7" w14:textId="77777777" w:rsidR="007C699A" w:rsidRPr="000D52FB" w:rsidRDefault="007C699A" w:rsidP="0096784C">
            <w:pPr>
              <w:spacing w:before="60" w:after="60"/>
              <w:jc w:val="both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Ekonominis naudingumas lygus balų už visus kriterijus sumai.</w:t>
            </w:r>
          </w:p>
        </w:tc>
      </w:tr>
      <w:tr w:rsidR="007C699A" w:rsidRPr="000D52FB" w14:paraId="4A5778A1" w14:textId="77777777" w:rsidTr="007C699A">
        <w:trPr>
          <w:jc w:val="right"/>
        </w:trPr>
        <w:tc>
          <w:tcPr>
            <w:tcW w:w="1243" w:type="dxa"/>
          </w:tcPr>
          <w:p w14:paraId="2028BE76" w14:textId="77777777" w:rsidR="007C699A" w:rsidRPr="000D52FB" w:rsidRDefault="007C699A" w:rsidP="0096784C">
            <w:pPr>
              <w:spacing w:before="60" w:after="60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K</w:t>
            </w:r>
          </w:p>
        </w:tc>
        <w:tc>
          <w:tcPr>
            <w:tcW w:w="2145" w:type="dxa"/>
          </w:tcPr>
          <w:p w14:paraId="561F77A1" w14:textId="77777777" w:rsidR="007C699A" w:rsidRPr="000D52FB" w:rsidRDefault="007C699A" w:rsidP="0096784C">
            <w:pPr>
              <w:spacing w:before="60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 xml:space="preserve">Kaina </w:t>
            </w:r>
          </w:p>
          <w:p w14:paraId="103D2F43" w14:textId="77777777" w:rsidR="007C699A" w:rsidRPr="000D52FB" w:rsidRDefault="007C699A" w:rsidP="0096784C">
            <w:pPr>
              <w:spacing w:after="60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(Eur su PVM)</w:t>
            </w:r>
          </w:p>
        </w:tc>
        <w:tc>
          <w:tcPr>
            <w:tcW w:w="1950" w:type="dxa"/>
          </w:tcPr>
          <w:p w14:paraId="164AD3AA" w14:textId="77777777" w:rsidR="007C699A" w:rsidRPr="000D52FB" w:rsidRDefault="007C699A" w:rsidP="0096784C">
            <w:pPr>
              <w:spacing w:before="60" w:after="60"/>
              <w:jc w:val="center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0</w:t>
            </w:r>
          </w:p>
        </w:tc>
        <w:tc>
          <w:tcPr>
            <w:tcW w:w="2058" w:type="dxa"/>
          </w:tcPr>
          <w:p w14:paraId="4FA6EEAF" w14:textId="77777777" w:rsidR="007C699A" w:rsidRPr="000D52FB" w:rsidRDefault="007C699A" w:rsidP="0096784C">
            <w:pPr>
              <w:spacing w:before="60" w:after="60"/>
              <w:jc w:val="center"/>
              <w:rPr>
                <w:b/>
                <w:bCs/>
                <w:i/>
                <w:iCs/>
                <w:color w:val="C00000"/>
                <w:sz w:val="24"/>
                <w:szCs w:val="24"/>
                <w:lang w:bidi="ta-IN"/>
              </w:rPr>
            </w:pPr>
            <w:r w:rsidRPr="000D52FB">
              <w:rPr>
                <w:b/>
                <w:bCs/>
                <w:i/>
                <w:iCs/>
                <w:color w:val="FF0000"/>
                <w:sz w:val="24"/>
                <w:szCs w:val="24"/>
                <w:lang w:bidi="ta-IN"/>
              </w:rPr>
              <w:t>10 236,60</w:t>
            </w:r>
            <w:r w:rsidRPr="000D52FB">
              <w:rPr>
                <w:b/>
                <w:bCs/>
                <w:i/>
                <w:iCs/>
                <w:sz w:val="24"/>
                <w:szCs w:val="24"/>
                <w:lang w:bidi="ta-IN"/>
              </w:rPr>
              <w:t>*</w:t>
            </w:r>
          </w:p>
        </w:tc>
        <w:tc>
          <w:tcPr>
            <w:tcW w:w="1510" w:type="dxa"/>
          </w:tcPr>
          <w:p w14:paraId="521F85D1" w14:textId="77777777" w:rsidR="007C699A" w:rsidRPr="000D52FB" w:rsidRDefault="007C699A" w:rsidP="0096784C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bidi="ta-IN"/>
              </w:rPr>
            </w:pPr>
            <w:r w:rsidRPr="000D52FB">
              <w:rPr>
                <w:b/>
                <w:bCs/>
                <w:sz w:val="24"/>
                <w:szCs w:val="24"/>
                <w:lang w:bidi="ta-IN"/>
              </w:rPr>
              <w:t>85</w:t>
            </w:r>
          </w:p>
        </w:tc>
        <w:tc>
          <w:tcPr>
            <w:tcW w:w="2472" w:type="dxa"/>
          </w:tcPr>
          <w:p w14:paraId="1E5D7F64" w14:textId="77777777" w:rsidR="007C699A" w:rsidRPr="000D52FB" w:rsidRDefault="007C699A" w:rsidP="0096784C">
            <w:pPr>
              <w:spacing w:before="60" w:after="60"/>
              <w:jc w:val="both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 xml:space="preserve">K = (maksimali vertinama reikšmė – Vertinamo pasiūlymo </w:t>
            </w:r>
            <w:r w:rsidRPr="000D52FB">
              <w:rPr>
                <w:bCs/>
                <w:sz w:val="22"/>
                <w:szCs w:val="22"/>
                <w:lang w:bidi="ta-IN"/>
              </w:rPr>
              <w:t>(palyginamoji) bendra</w:t>
            </w:r>
            <w:r w:rsidRPr="000D52FB">
              <w:rPr>
                <w:bCs/>
                <w:sz w:val="24"/>
                <w:szCs w:val="24"/>
                <w:lang w:bidi="ta-IN"/>
              </w:rPr>
              <w:t xml:space="preserve"> kaina / maksimali vertinama reikšmė </w:t>
            </w:r>
            <w:r w:rsidRPr="000D52FB">
              <w:rPr>
                <w:bCs/>
                <w:sz w:val="24"/>
                <w:szCs w:val="24"/>
                <w:lang w:bidi="ta-IN"/>
              </w:rPr>
              <w:lastRenderedPageBreak/>
              <w:t>– minimali vertinama reikšmė) * Lyginamasis svoris</w:t>
            </w:r>
          </w:p>
          <w:p w14:paraId="03ECD85A" w14:textId="77777777" w:rsidR="007C699A" w:rsidRPr="000D52FB" w:rsidRDefault="007C699A" w:rsidP="0096784C">
            <w:pPr>
              <w:spacing w:before="60" w:after="60"/>
              <w:jc w:val="both"/>
              <w:rPr>
                <w:bCs/>
                <w:sz w:val="24"/>
                <w:szCs w:val="24"/>
                <w:lang w:bidi="ta-IN"/>
              </w:rPr>
            </w:pPr>
          </w:p>
          <w:p w14:paraId="3034B0F0" w14:textId="77777777" w:rsidR="007C699A" w:rsidRPr="000D52FB" w:rsidRDefault="007C699A" w:rsidP="0096784C">
            <w:pPr>
              <w:spacing w:before="60" w:after="60"/>
              <w:jc w:val="both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T. y.:  K = (</w:t>
            </w:r>
            <w:r w:rsidRPr="000D52FB">
              <w:rPr>
                <w:color w:val="FF0000"/>
                <w:sz w:val="24"/>
                <w:szCs w:val="24"/>
                <w:lang w:bidi="ta-IN"/>
              </w:rPr>
              <w:t xml:space="preserve">10 236,60 </w:t>
            </w:r>
            <w:r w:rsidRPr="000D52FB">
              <w:rPr>
                <w:bCs/>
                <w:sz w:val="24"/>
                <w:szCs w:val="24"/>
                <w:lang w:bidi="ta-IN"/>
              </w:rPr>
              <w:t xml:space="preserve">- vertinamo pasiūlymo </w:t>
            </w:r>
            <w:r w:rsidRPr="000D52FB">
              <w:rPr>
                <w:bCs/>
                <w:sz w:val="22"/>
                <w:szCs w:val="22"/>
                <w:lang w:bidi="ta-IN"/>
              </w:rPr>
              <w:t xml:space="preserve">(palyginamoji) bendra </w:t>
            </w:r>
            <w:r w:rsidRPr="000D52FB">
              <w:rPr>
                <w:bCs/>
                <w:sz w:val="24"/>
                <w:szCs w:val="24"/>
                <w:lang w:bidi="ta-IN"/>
              </w:rPr>
              <w:t xml:space="preserve">kaina / </w:t>
            </w:r>
            <w:r w:rsidRPr="000D52FB">
              <w:rPr>
                <w:color w:val="FF0000"/>
                <w:sz w:val="24"/>
                <w:szCs w:val="24"/>
                <w:lang w:bidi="ta-IN"/>
              </w:rPr>
              <w:t xml:space="preserve">10 236,60 </w:t>
            </w:r>
            <w:r w:rsidRPr="000D52FB">
              <w:rPr>
                <w:bCs/>
                <w:sz w:val="24"/>
                <w:szCs w:val="24"/>
                <w:lang w:bidi="ta-IN"/>
              </w:rPr>
              <w:t>– 0) * 85</w:t>
            </w:r>
          </w:p>
        </w:tc>
        <w:tc>
          <w:tcPr>
            <w:tcW w:w="3134" w:type="dxa"/>
          </w:tcPr>
          <w:p w14:paraId="7074C286" w14:textId="77777777" w:rsidR="007C699A" w:rsidRPr="000D52FB" w:rsidRDefault="007C699A" w:rsidP="0096784C">
            <w:pPr>
              <w:spacing w:before="60" w:after="60"/>
              <w:jc w:val="both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lastRenderedPageBreak/>
              <w:t>Vertinami tik tie pasiūlymai, kuriuose nurodyta palyginamoji kaina neviršija pasiūlymo formoje nurodytų maksimalių verčių.</w:t>
            </w:r>
          </w:p>
        </w:tc>
      </w:tr>
      <w:tr w:rsidR="007C699A" w:rsidRPr="000D52FB" w14:paraId="31CCBFBB" w14:textId="77777777" w:rsidTr="007C699A">
        <w:trPr>
          <w:jc w:val="right"/>
        </w:trPr>
        <w:tc>
          <w:tcPr>
            <w:tcW w:w="1243" w:type="dxa"/>
          </w:tcPr>
          <w:p w14:paraId="18BB8C56" w14:textId="77777777" w:rsidR="007C699A" w:rsidRPr="000D52FB" w:rsidRDefault="007C699A" w:rsidP="0096784C">
            <w:pPr>
              <w:spacing w:before="60" w:after="60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KV1</w:t>
            </w:r>
          </w:p>
        </w:tc>
        <w:tc>
          <w:tcPr>
            <w:tcW w:w="2145" w:type="dxa"/>
          </w:tcPr>
          <w:p w14:paraId="6E037C88" w14:textId="3251A0C2" w:rsidR="007C699A" w:rsidRPr="000D52FB" w:rsidRDefault="007C699A" w:rsidP="0096784C">
            <w:pPr>
              <w:spacing w:before="60" w:after="60"/>
              <w:jc w:val="both"/>
              <w:rPr>
                <w:b/>
                <w:i/>
                <w:iCs/>
                <w:sz w:val="24"/>
                <w:szCs w:val="24"/>
                <w:lang w:bidi="ta-IN"/>
              </w:rPr>
            </w:pPr>
            <w:r w:rsidRPr="000D52FB">
              <w:rPr>
                <w:rFonts w:eastAsia="Times New Roman"/>
                <w:bCs/>
                <w:sz w:val="24"/>
                <w:szCs w:val="24"/>
                <w:lang w:bidi="ta-IN"/>
              </w:rPr>
              <w:t xml:space="preserve">Tiekėjo pasiūlyme nurodyto renginių organizavimo projektų vadovo </w:t>
            </w:r>
            <w:r w:rsidRPr="000D52FB">
              <w:rPr>
                <w:rFonts w:eastAsia="Times New Roman"/>
                <w:b/>
                <w:sz w:val="24"/>
                <w:szCs w:val="24"/>
                <w:lang w:bidi="ta-IN"/>
              </w:rPr>
              <w:t>susiaurinta patirtis,</w:t>
            </w:r>
            <w:r w:rsidRPr="000D52FB">
              <w:rPr>
                <w:rFonts w:eastAsia="Times New Roman"/>
                <w:bCs/>
                <w:sz w:val="24"/>
                <w:szCs w:val="24"/>
                <w:lang w:bidi="ta-IN"/>
              </w:rPr>
              <w:t xml:space="preserve"> skaičiuojama užsienyje (kitoje valstybėje nei yra deklaruota asmens gyvenamoji vieta ir kitoje valstybėje </w:t>
            </w:r>
            <w:r w:rsidRPr="000D52FB">
              <w:rPr>
                <w:rFonts w:eastAsia="Times New Roman"/>
                <w:bCs/>
                <w:sz w:val="24"/>
                <w:szCs w:val="24"/>
                <w:lang w:bidi="ta-IN"/>
              </w:rPr>
              <w:lastRenderedPageBreak/>
              <w:t>nei asmens turima pilietybė</w:t>
            </w:r>
            <w:r w:rsidR="00771873">
              <w:rPr>
                <w:rFonts w:eastAsia="Times New Roman"/>
                <w:bCs/>
                <w:sz w:val="24"/>
                <w:szCs w:val="24"/>
                <w:lang w:bidi="ta-IN"/>
              </w:rPr>
              <w:t xml:space="preserve"> (abi sąlygos taikomos kartu</w:t>
            </w:r>
            <w:r w:rsidR="00664A72">
              <w:rPr>
                <w:rFonts w:eastAsia="Times New Roman"/>
                <w:bCs/>
                <w:sz w:val="24"/>
                <w:szCs w:val="24"/>
                <w:lang w:bidi="ta-IN"/>
              </w:rPr>
              <w:t>)</w:t>
            </w:r>
            <w:r w:rsidRPr="000D52FB">
              <w:rPr>
                <w:rFonts w:eastAsia="Times New Roman"/>
                <w:bCs/>
                <w:sz w:val="24"/>
                <w:szCs w:val="24"/>
                <w:lang w:bidi="ta-IN"/>
              </w:rPr>
              <w:t>) per pastaruosius 3 (trejus) metus suorganizuotais renginiais anglų kalba, iš kurių kiekviename dalyvavo ne mažiau kaip 50 dalyvių ir kurių kiekvieno vertė bent 35 000 Eur be PVM.</w:t>
            </w:r>
          </w:p>
          <w:p w14:paraId="16CD5D94" w14:textId="77777777" w:rsidR="007C699A" w:rsidRPr="000D52FB" w:rsidRDefault="007C699A" w:rsidP="0096784C">
            <w:pPr>
              <w:spacing w:before="60" w:after="60"/>
              <w:jc w:val="both"/>
              <w:rPr>
                <w:b/>
                <w:i/>
                <w:iCs/>
                <w:sz w:val="24"/>
                <w:szCs w:val="24"/>
                <w:lang w:bidi="ta-IN"/>
              </w:rPr>
            </w:pPr>
          </w:p>
          <w:p w14:paraId="5F8BA718" w14:textId="77777777" w:rsidR="007C699A" w:rsidRPr="000D52FB" w:rsidRDefault="007C699A" w:rsidP="0096784C">
            <w:pPr>
              <w:spacing w:before="60" w:after="60"/>
              <w:jc w:val="both"/>
              <w:rPr>
                <w:bCs/>
                <w:i/>
                <w:iCs/>
                <w:sz w:val="22"/>
                <w:szCs w:val="22"/>
                <w:lang w:bidi="ta-IN"/>
              </w:rPr>
            </w:pPr>
          </w:p>
          <w:p w14:paraId="0B9623A1" w14:textId="77777777" w:rsidR="007C699A" w:rsidRPr="000D52FB" w:rsidRDefault="007C699A" w:rsidP="0096784C">
            <w:pPr>
              <w:spacing w:before="60" w:after="60"/>
              <w:jc w:val="both"/>
              <w:rPr>
                <w:bCs/>
                <w:sz w:val="24"/>
                <w:szCs w:val="24"/>
                <w:lang w:bidi="ta-IN"/>
              </w:rPr>
            </w:pPr>
          </w:p>
        </w:tc>
        <w:tc>
          <w:tcPr>
            <w:tcW w:w="1950" w:type="dxa"/>
          </w:tcPr>
          <w:p w14:paraId="19E19E26" w14:textId="77777777" w:rsidR="007C699A" w:rsidRPr="000D52FB" w:rsidRDefault="007C699A" w:rsidP="0096784C">
            <w:pPr>
              <w:spacing w:before="60" w:after="60"/>
              <w:jc w:val="center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lastRenderedPageBreak/>
              <w:t>0</w:t>
            </w:r>
          </w:p>
        </w:tc>
        <w:tc>
          <w:tcPr>
            <w:tcW w:w="2058" w:type="dxa"/>
          </w:tcPr>
          <w:p w14:paraId="7F7CD64B" w14:textId="77777777" w:rsidR="007C699A" w:rsidRPr="000D52FB" w:rsidRDefault="007C699A" w:rsidP="0096784C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bidi="ta-IN"/>
              </w:rPr>
            </w:pPr>
            <w:r w:rsidRPr="000D52FB">
              <w:rPr>
                <w:b/>
                <w:bCs/>
                <w:sz w:val="24"/>
                <w:szCs w:val="24"/>
                <w:lang w:bidi="ta-IN"/>
              </w:rPr>
              <w:t>3</w:t>
            </w:r>
          </w:p>
        </w:tc>
        <w:tc>
          <w:tcPr>
            <w:tcW w:w="1510" w:type="dxa"/>
          </w:tcPr>
          <w:p w14:paraId="7335E7D0" w14:textId="77777777" w:rsidR="007C699A" w:rsidRPr="000D52FB" w:rsidRDefault="007C699A" w:rsidP="0096784C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bidi="ta-IN"/>
              </w:rPr>
            </w:pPr>
            <w:r w:rsidRPr="000D52FB">
              <w:rPr>
                <w:b/>
                <w:bCs/>
                <w:sz w:val="24"/>
                <w:szCs w:val="24"/>
                <w:lang w:bidi="ta-IN"/>
              </w:rPr>
              <w:t>15</w:t>
            </w:r>
          </w:p>
        </w:tc>
        <w:tc>
          <w:tcPr>
            <w:tcW w:w="2472" w:type="dxa"/>
          </w:tcPr>
          <w:p w14:paraId="760B1E68" w14:textId="77777777" w:rsidR="007C699A" w:rsidRPr="000D52FB" w:rsidRDefault="007C699A" w:rsidP="0096784C">
            <w:pPr>
              <w:spacing w:before="60" w:after="120"/>
              <w:jc w:val="both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KV1 = Vertinamo pasiūlymo balas / Maksimali vertinama reikšmė * Lyginamasis svoris</w:t>
            </w:r>
          </w:p>
          <w:p w14:paraId="239A61C3" w14:textId="77777777" w:rsidR="007C699A" w:rsidRPr="000D52FB" w:rsidRDefault="007C699A" w:rsidP="0096784C">
            <w:pPr>
              <w:spacing w:before="60" w:after="120"/>
              <w:jc w:val="both"/>
              <w:rPr>
                <w:bCs/>
                <w:sz w:val="24"/>
                <w:szCs w:val="24"/>
                <w:lang w:bidi="ta-IN"/>
              </w:rPr>
            </w:pPr>
          </w:p>
          <w:p w14:paraId="74A5318E" w14:textId="77777777" w:rsidR="007C699A" w:rsidRPr="000D52FB" w:rsidRDefault="007C699A" w:rsidP="0096784C">
            <w:pPr>
              <w:spacing w:before="60" w:after="60"/>
              <w:jc w:val="both"/>
              <w:rPr>
                <w:b/>
                <w:bCs/>
                <w:i/>
                <w:iCs/>
                <w:color w:val="C00000"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T. y.: KV1 = (Vertinamo pasiūlymo reikšmė / 3) * 15</w:t>
            </w:r>
          </w:p>
          <w:p w14:paraId="006B0BE0" w14:textId="77777777" w:rsidR="007C699A" w:rsidRPr="000D52FB" w:rsidRDefault="007C699A" w:rsidP="0096784C">
            <w:pPr>
              <w:spacing w:before="60" w:after="60"/>
              <w:jc w:val="both"/>
              <w:rPr>
                <w:bCs/>
                <w:sz w:val="24"/>
                <w:szCs w:val="24"/>
                <w:lang w:bidi="ta-IN"/>
              </w:rPr>
            </w:pPr>
          </w:p>
        </w:tc>
        <w:tc>
          <w:tcPr>
            <w:tcW w:w="3134" w:type="dxa"/>
          </w:tcPr>
          <w:p w14:paraId="25B34A72" w14:textId="4ED3E601" w:rsidR="007C699A" w:rsidRPr="000D52FB" w:rsidRDefault="007C699A" w:rsidP="007C699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60" w:after="60" w:line="240" w:lineRule="auto"/>
              <w:ind w:left="270" w:hanging="270"/>
              <w:jc w:val="both"/>
              <w:rPr>
                <w:bCs/>
                <w:lang w:bidi="ta-IN"/>
              </w:rPr>
            </w:pPr>
            <w:r w:rsidRPr="000D52FB">
              <w:rPr>
                <w:bCs/>
                <w:lang w:bidi="ta-IN"/>
              </w:rPr>
              <w:t xml:space="preserve">Vertinama siūlomo projektų vadovo </w:t>
            </w:r>
            <w:r w:rsidRPr="000D52FB">
              <w:rPr>
                <w:b/>
                <w:lang w:bidi="ta-IN"/>
              </w:rPr>
              <w:t>susiaurinta patirtis</w:t>
            </w:r>
            <w:r w:rsidRPr="000D52FB">
              <w:rPr>
                <w:bCs/>
                <w:lang w:bidi="ta-IN"/>
              </w:rPr>
              <w:t xml:space="preserve">, kaip tai nurodyta kriterijaus aprašyme. </w:t>
            </w:r>
            <w:r w:rsidRPr="00FB4234">
              <w:rPr>
                <w:b/>
                <w:lang w:bidi="ta-IN"/>
              </w:rPr>
              <w:t>Įrodymui kartu su pasiūlymu pateikiami analogiški dokumentai, kurie turi būti teikiami kvalifikaciniuose reikalavimuose nurodytos minimalios reikalaujamos specialisto patirties pagrindimui (pažymėtina, jog</w:t>
            </w:r>
            <w:r w:rsidRPr="000D52FB">
              <w:rPr>
                <w:bCs/>
                <w:lang w:bidi="ta-IN"/>
              </w:rPr>
              <w:t xml:space="preserve"> </w:t>
            </w:r>
            <w:r w:rsidRPr="00FB4234">
              <w:rPr>
                <w:b/>
                <w:lang w:bidi="ta-IN"/>
              </w:rPr>
              <w:t xml:space="preserve">privalu užpildyti Pirkimo dokumentų 4 priedo B </w:t>
            </w:r>
            <w:r w:rsidRPr="00FB4234">
              <w:rPr>
                <w:b/>
                <w:lang w:bidi="ta-IN"/>
              </w:rPr>
              <w:lastRenderedPageBreak/>
              <w:t>dalyje prašomą informaciją</w:t>
            </w:r>
            <w:r w:rsidR="00CB6591">
              <w:rPr>
                <w:b/>
                <w:lang w:bidi="ta-IN"/>
              </w:rPr>
              <w:t xml:space="preserve"> </w:t>
            </w:r>
            <w:r w:rsidR="00CB6591" w:rsidRPr="00F573EE">
              <w:rPr>
                <w:rFonts w:eastAsia="Times New Roman"/>
                <w:b/>
                <w:bCs/>
                <w:iCs/>
              </w:rPr>
              <w:t xml:space="preserve">kartu su dokumentais, patvirtinančiais deklaruojamą specialisto </w:t>
            </w:r>
            <w:r w:rsidR="00CB6591" w:rsidRPr="00F61746">
              <w:rPr>
                <w:rFonts w:eastAsia="Times New Roman"/>
                <w:b/>
                <w:bCs/>
                <w:iCs/>
              </w:rPr>
              <w:t>patirtį (užsakovo pažyma, vieši duomenys apie renginį, įrodantys specialisto patirtį ar pan.), pateikti S</w:t>
            </w:r>
            <w:r w:rsidR="00CB6591" w:rsidRPr="00F61746">
              <w:rPr>
                <w:rFonts w:eastAsia="Times New Roman"/>
                <w:b/>
                <w:bCs/>
              </w:rPr>
              <w:t>pecialisto deklaraciją dėl dalyvavimo pirkime pagal Pirkimo dokumentų 4 priedo C dal</w:t>
            </w:r>
            <w:r w:rsidR="00CB6591" w:rsidRPr="00CB6591">
              <w:rPr>
                <w:rFonts w:eastAsia="Times New Roman"/>
                <w:b/>
                <w:bCs/>
              </w:rPr>
              <w:t>į</w:t>
            </w:r>
            <w:r w:rsidRPr="00CB6591">
              <w:rPr>
                <w:b/>
                <w:bCs/>
                <w:lang w:bidi="ta-IN"/>
              </w:rPr>
              <w:t>).</w:t>
            </w:r>
          </w:p>
          <w:p w14:paraId="6A3BC87C" w14:textId="77777777" w:rsidR="007C699A" w:rsidRPr="000D52FB" w:rsidRDefault="007C699A" w:rsidP="007C699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60" w:after="60" w:line="240" w:lineRule="auto"/>
              <w:ind w:left="270" w:hanging="270"/>
              <w:jc w:val="both"/>
              <w:rPr>
                <w:rFonts w:eastAsia="Times New Roman"/>
                <w:bCs/>
                <w:lang w:bidi="ta-IN"/>
              </w:rPr>
            </w:pPr>
            <w:r w:rsidRPr="000D52FB">
              <w:rPr>
                <w:rFonts w:eastAsia="Times New Roman"/>
                <w:bCs/>
                <w:lang w:bidi="ta-IN"/>
              </w:rPr>
              <w:t>Asmens pilietybei pagrįsti yra teikiama asmens tapatybės dokumento kopija. Asmens deklaruotai vietai pagrįsti yra teikiami toje šalyje naudojami gyvenamosios vietos deklaravimą pagrindžiantys dokumentai.</w:t>
            </w:r>
          </w:p>
          <w:p w14:paraId="128736EC" w14:textId="77777777" w:rsidR="007C699A" w:rsidRPr="000D52FB" w:rsidRDefault="007C699A" w:rsidP="0096784C">
            <w:pPr>
              <w:widowControl w:val="0"/>
              <w:autoSpaceDE w:val="0"/>
              <w:autoSpaceDN w:val="0"/>
              <w:spacing w:before="60" w:after="60"/>
              <w:jc w:val="both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Renginių organizavimo projektų vadovas privalo būti tas pats specialistas, kuriam taikomi kvalifikacijos reikalavimai.</w:t>
            </w:r>
          </w:p>
          <w:p w14:paraId="6852ACE3" w14:textId="77777777" w:rsidR="007C699A" w:rsidRPr="000D52FB" w:rsidRDefault="007C699A" w:rsidP="0096784C">
            <w:pPr>
              <w:widowControl w:val="0"/>
              <w:autoSpaceDE w:val="0"/>
              <w:autoSpaceDN w:val="0"/>
              <w:spacing w:before="60" w:after="60"/>
              <w:jc w:val="both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lastRenderedPageBreak/>
              <w:t>Vertinama tik 1 (vieno) renginių organizavimo projekto vadovo, dirbsiančio prie sutarties, patirtis. Tiekėjui pasiūlius daugiau kaip vieną projekto vadovą, renginių skaičius nesumuojamas ir vertinami tik to projekto vadovo duomenys, kurio atitinkamų renginių skaičius didesnis.</w:t>
            </w:r>
          </w:p>
          <w:p w14:paraId="46BF604C" w14:textId="77777777" w:rsidR="007C699A" w:rsidRPr="000D52FB" w:rsidRDefault="007C699A" w:rsidP="0096784C">
            <w:pPr>
              <w:widowControl w:val="0"/>
              <w:autoSpaceDE w:val="0"/>
              <w:autoSpaceDN w:val="0"/>
              <w:spacing w:before="60" w:after="60"/>
              <w:jc w:val="both"/>
              <w:rPr>
                <w:bCs/>
                <w:sz w:val="24"/>
                <w:szCs w:val="24"/>
                <w:lang w:bidi="ta-IN"/>
              </w:rPr>
            </w:pPr>
          </w:p>
          <w:p w14:paraId="36DE29AA" w14:textId="77777777" w:rsidR="007C699A" w:rsidRPr="000D52FB" w:rsidRDefault="007C699A" w:rsidP="0096784C">
            <w:pPr>
              <w:widowControl w:val="0"/>
              <w:autoSpaceDE w:val="0"/>
              <w:autoSpaceDN w:val="0"/>
              <w:spacing w:before="60" w:after="60"/>
              <w:jc w:val="both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>2) Perkančioji organizacija turi teisę kreiptis į užsakovus dėl gautos informacijos patvirtinimo.</w:t>
            </w:r>
          </w:p>
          <w:p w14:paraId="03F12160" w14:textId="77777777" w:rsidR="007C699A" w:rsidRPr="000D52FB" w:rsidRDefault="007C699A" w:rsidP="0096784C">
            <w:pPr>
              <w:widowControl w:val="0"/>
              <w:autoSpaceDE w:val="0"/>
              <w:autoSpaceDN w:val="0"/>
              <w:spacing w:before="60" w:after="60"/>
              <w:jc w:val="both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 xml:space="preserve">Perkančiajai organizacijai gavus neigiamą atsakymą iš užsakovo dėl specialisto dalyvavimo renginio organizavime, balai </w:t>
            </w:r>
            <w:r w:rsidRPr="000D52FB">
              <w:rPr>
                <w:bCs/>
                <w:sz w:val="24"/>
                <w:szCs w:val="24"/>
                <w:lang w:bidi="ta-IN"/>
              </w:rPr>
              <w:lastRenderedPageBreak/>
              <w:t xml:space="preserve">nebus skiriami. </w:t>
            </w:r>
          </w:p>
          <w:p w14:paraId="5499FF58" w14:textId="77777777" w:rsidR="007C699A" w:rsidRPr="000D52FB" w:rsidRDefault="007C699A" w:rsidP="0096784C">
            <w:pPr>
              <w:widowControl w:val="0"/>
              <w:autoSpaceDE w:val="0"/>
              <w:autoSpaceDN w:val="0"/>
              <w:spacing w:before="60" w:after="60"/>
              <w:jc w:val="both"/>
              <w:rPr>
                <w:bCs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t xml:space="preserve">3) Jei vertinant pasiūlymą nustatoma, kad specialisto patirtis atitinka kvalifikaciniuose reikalavimuose nurodytą reikalaujamą patirtį, tačiau </w:t>
            </w:r>
            <w:r w:rsidRPr="000D52FB">
              <w:rPr>
                <w:bCs/>
                <w:sz w:val="24"/>
                <w:szCs w:val="24"/>
                <w:u w:val="single"/>
                <w:lang w:bidi="ta-IN"/>
              </w:rPr>
              <w:t xml:space="preserve">aprašyme nepateikiama informacija apie susiaurintą patirtį </w:t>
            </w:r>
            <w:r w:rsidRPr="000D52FB">
              <w:rPr>
                <w:bCs/>
                <w:sz w:val="24"/>
                <w:szCs w:val="24"/>
                <w:lang w:bidi="ta-IN"/>
              </w:rPr>
              <w:t xml:space="preserve">arba iš pateiktos informacijos apie susiaurintą patirtį nustatyta, kad nėra nei vienos sutarties, atitinkančios kriterijaus reikalavimą, t. y., kurios metu siūlomas specialistas suorganizavo renginį užsienyje anglų kalba, kurio metu </w:t>
            </w:r>
            <w:r w:rsidRPr="007C699A">
              <w:rPr>
                <w:bCs/>
                <w:sz w:val="24"/>
                <w:szCs w:val="24"/>
                <w:lang w:bidi="ta-IN"/>
              </w:rPr>
              <w:t xml:space="preserve">dalyvavo ne mažiau kaip 50 dalyvių </w:t>
            </w:r>
            <w:r w:rsidRPr="000D52FB">
              <w:rPr>
                <w:bCs/>
                <w:sz w:val="24"/>
                <w:szCs w:val="24"/>
                <w:lang w:bidi="ta-IN"/>
              </w:rPr>
              <w:t xml:space="preserve">ir kurio vertė </w:t>
            </w:r>
            <w:r w:rsidRPr="000D52FB">
              <w:rPr>
                <w:rFonts w:eastAsia="Times New Roman"/>
                <w:bCs/>
                <w:sz w:val="24"/>
                <w:szCs w:val="24"/>
                <w:lang w:bidi="ta-IN"/>
              </w:rPr>
              <w:t>bent 35 000 Eur be PVM</w:t>
            </w:r>
            <w:r w:rsidRPr="000D52FB">
              <w:rPr>
                <w:bCs/>
                <w:sz w:val="24"/>
                <w:szCs w:val="24"/>
                <w:lang w:bidi="ta-IN"/>
              </w:rPr>
              <w:t>, balai neskiriami.</w:t>
            </w:r>
          </w:p>
          <w:p w14:paraId="32E5B7E6" w14:textId="77777777" w:rsidR="007C699A" w:rsidRPr="000D52FB" w:rsidRDefault="007C699A" w:rsidP="0096784C">
            <w:pPr>
              <w:widowControl w:val="0"/>
              <w:autoSpaceDE w:val="0"/>
              <w:autoSpaceDN w:val="0"/>
              <w:spacing w:before="60" w:after="60"/>
              <w:jc w:val="both"/>
              <w:rPr>
                <w:bCs/>
                <w:color w:val="FF0000"/>
                <w:sz w:val="24"/>
                <w:szCs w:val="24"/>
                <w:lang w:bidi="ta-IN"/>
              </w:rPr>
            </w:pPr>
            <w:r w:rsidRPr="000D52FB">
              <w:rPr>
                <w:bCs/>
                <w:sz w:val="24"/>
                <w:szCs w:val="24"/>
                <w:lang w:bidi="ta-IN"/>
              </w:rPr>
              <w:lastRenderedPageBreak/>
              <w:t xml:space="preserve">4) Jei vertinant pasiūlymą nustatoma, kad vertinamo pasiūlymo kriterijaus reikšmė yra didesnė nei šioje lentelėje nurodyta maksimali vertinama reikšmė, </w:t>
            </w:r>
            <w:r w:rsidRPr="000D52FB">
              <w:rPr>
                <w:rFonts w:ascii="Symbol" w:eastAsia="Symbol" w:hAnsi="Symbol" w:cs="Symbol"/>
                <w:bCs/>
                <w:sz w:val="24"/>
                <w:szCs w:val="24"/>
                <w:lang w:bidi="ta-IN"/>
              </w:rPr>
              <w:t>-</w:t>
            </w:r>
            <w:r w:rsidRPr="000D52FB">
              <w:rPr>
                <w:bCs/>
                <w:sz w:val="24"/>
                <w:szCs w:val="24"/>
                <w:lang w:bidi="ta-IN"/>
              </w:rPr>
              <w:t xml:space="preserve"> vertinamo pasiūlymo </w:t>
            </w:r>
            <w:r w:rsidRPr="000D52FB">
              <w:rPr>
                <w:sz w:val="24"/>
                <w:szCs w:val="24"/>
                <w:lang w:bidi="ta-IN"/>
              </w:rPr>
              <w:t>reikšme laikoma m</w:t>
            </w:r>
            <w:r w:rsidRPr="000D52FB">
              <w:rPr>
                <w:bCs/>
                <w:sz w:val="24"/>
                <w:szCs w:val="24"/>
                <w:lang w:bidi="ta-IN"/>
              </w:rPr>
              <w:t>aksimali vertinama reikšmė.</w:t>
            </w:r>
          </w:p>
        </w:tc>
      </w:tr>
    </w:tbl>
    <w:p w14:paraId="16E44639" w14:textId="77777777" w:rsidR="007C699A" w:rsidRPr="000D52FB" w:rsidRDefault="007C699A" w:rsidP="007C699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outlineLvl w:val="0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bookmarkStart w:id="7" w:name="_Toc166085782"/>
      <w:r w:rsidRPr="000D52FB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lastRenderedPageBreak/>
        <w:t xml:space="preserve">* </w:t>
      </w:r>
      <w:r w:rsidRPr="000D52FB"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  <w:lang w:eastAsia="en-US"/>
        </w:rPr>
        <w:t>Maksimali palyginamoji pasiūlymo kaina be PVM (</w:t>
      </w:r>
      <w:r w:rsidRPr="000D52FB"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bdr w:val="nil"/>
          <w:lang w:eastAsia="en-US"/>
        </w:rPr>
        <w:t>8 460</w:t>
      </w:r>
      <w:r w:rsidRPr="000D52FB"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  <w:lang w:eastAsia="en-US"/>
        </w:rPr>
        <w:t xml:space="preserve"> Eur; žr. pasiūlymo formoje nurodytus maksimalius įkainius) + 21 proc. PVM.</w:t>
      </w:r>
      <w:bookmarkEnd w:id="7"/>
    </w:p>
    <w:p w14:paraId="4E66B1A7" w14:textId="77777777" w:rsidR="007C699A" w:rsidRPr="000D52FB" w:rsidRDefault="007C699A" w:rsidP="007C699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40" w:lineRule="auto"/>
        <w:ind w:firstLine="1296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eastAsia="en-US"/>
        </w:rPr>
      </w:pPr>
      <w:bookmarkStart w:id="8" w:name="_Toc166085783"/>
      <w:r w:rsidRPr="000D52FB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eastAsia="en-US"/>
        </w:rPr>
        <w:t>3. Informavimas APIE VERTINIMO REZULTATUS</w:t>
      </w:r>
      <w:bookmarkEnd w:id="8"/>
      <w:r w:rsidRPr="000D52FB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eastAsia="en-US"/>
        </w:rPr>
        <w:t xml:space="preserve"> </w:t>
      </w:r>
    </w:p>
    <w:p w14:paraId="54BA2F4E" w14:textId="77777777" w:rsidR="007C699A" w:rsidRPr="000D52FB" w:rsidRDefault="007C699A" w:rsidP="007C699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en-US"/>
        </w:rPr>
      </w:pPr>
      <w:r w:rsidRPr="000D52F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en-US"/>
        </w:rPr>
        <w:tab/>
        <w:t>3.1. Perkančioji organizacija pranešime apie sudarytą pasiūlymų eilę ir laimėjusį pasiūlymą nurodo kiekvieno ekonominio naudingumo būdu vertinto pasiūlymo bendrą pasiūlymo ekonominio naudingumo balą (EN</w:t>
      </w:r>
      <w:r w:rsidRPr="000D52FB">
        <w:rPr>
          <w:rFonts w:ascii="Times New Roman" w:eastAsia="Arial Unicode MS" w:hAnsi="Times New Roman" w:cs="Times New Roman"/>
          <w:noProof/>
          <w:color w:val="000000"/>
          <w:sz w:val="24"/>
          <w:szCs w:val="24"/>
          <w:bdr w:val="nil"/>
          <w:lang w:eastAsia="en-US"/>
        </w:rPr>
        <w:t>), pasiūlymo kainą ir</w:t>
      </w:r>
      <w:r w:rsidRPr="000D52F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en-US"/>
        </w:rPr>
        <w:t xml:space="preserve"> kainos balą (K) bei kitų vertintų kriterijų balus.</w:t>
      </w:r>
      <w:bookmarkEnd w:id="5"/>
    </w:p>
    <w:p w14:paraId="05B5A2CC" w14:textId="77777777" w:rsidR="007C699A" w:rsidRPr="000D52FB" w:rsidRDefault="007C699A" w:rsidP="007C699A"/>
    <w:p w14:paraId="3101CCFC" w14:textId="77777777" w:rsidR="00E54AA1" w:rsidRDefault="00E54AA1"/>
    <w:sectPr w:rsidR="00E54AA1" w:rsidSect="007C699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7927"/>
    <w:multiLevelType w:val="hybridMultilevel"/>
    <w:tmpl w:val="A0EC1E86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4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9A"/>
    <w:rsid w:val="000C67A3"/>
    <w:rsid w:val="004C1847"/>
    <w:rsid w:val="00664A72"/>
    <w:rsid w:val="0069005F"/>
    <w:rsid w:val="00771873"/>
    <w:rsid w:val="007C699A"/>
    <w:rsid w:val="008E50EC"/>
    <w:rsid w:val="00CB6591"/>
    <w:rsid w:val="00D8105B"/>
    <w:rsid w:val="00E54AA1"/>
    <w:rsid w:val="00E673B8"/>
    <w:rsid w:val="00E854F3"/>
    <w:rsid w:val="00F16B07"/>
    <w:rsid w:val="00FB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6DFD"/>
  <w15:chartTrackingRefBased/>
  <w15:docId w15:val="{B8D8DC6C-23F3-4DBD-924D-ACBC5864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99A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9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9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99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99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99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99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99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99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99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C6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99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99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C6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99A"/>
    <w:rPr>
      <w:i/>
      <w:iCs/>
      <w:color w:val="404040" w:themeColor="text1" w:themeTint="BF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qFormat/>
    <w:rsid w:val="007C6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99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C699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7C699A"/>
    <w:rPr>
      <w:lang w:val="en-GB"/>
    </w:rPr>
  </w:style>
  <w:style w:type="paragraph" w:styleId="TOCHeading">
    <w:name w:val="TOC Heading"/>
    <w:aliases w:val="1.1.1 List paragraph"/>
    <w:basedOn w:val="ListParagraph"/>
    <w:next w:val="Normal"/>
    <w:uiPriority w:val="39"/>
    <w:unhideWhenUsed/>
    <w:qFormat/>
    <w:rsid w:val="007C699A"/>
    <w:pPr>
      <w:spacing w:after="0" w:line="20" w:lineRule="atLeast"/>
      <w:ind w:left="2127" w:hanging="720"/>
      <w:jc w:val="both"/>
    </w:pPr>
    <w:rPr>
      <w:rFonts w:ascii="Times New Roman" w:hAnsi="Times New Roman" w:cs="Times New Roman"/>
    </w:rPr>
  </w:style>
  <w:style w:type="table" w:customStyle="1" w:styleId="TableGrid4">
    <w:name w:val="Table Grid4"/>
    <w:basedOn w:val="TableNormal"/>
    <w:next w:val="TableGrid"/>
    <w:uiPriority w:val="39"/>
    <w:rsid w:val="007C69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C6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2879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Bankauskaitė</dc:creator>
  <cp:keywords/>
  <dc:description/>
  <cp:lastModifiedBy>Vaida Šėmienė</cp:lastModifiedBy>
  <cp:revision>6</cp:revision>
  <dcterms:created xsi:type="dcterms:W3CDTF">2025-02-03T13:52:00Z</dcterms:created>
  <dcterms:modified xsi:type="dcterms:W3CDTF">2025-02-06T11:59:00Z</dcterms:modified>
</cp:coreProperties>
</file>