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C4AD" w14:textId="718548D0" w:rsidR="00B9305B" w:rsidRPr="00CB4BBB" w:rsidRDefault="00B14F29" w:rsidP="00F46593">
      <w:pPr>
        <w:spacing w:after="0" w:line="240" w:lineRule="auto"/>
        <w:jc w:val="right"/>
        <w:rPr>
          <w:rFonts w:ascii="Arial" w:hAnsi="Arial" w:cs="Arial"/>
          <w:i/>
          <w:iCs/>
          <w:sz w:val="20"/>
          <w:szCs w:val="20"/>
          <w:lang w:val="es-ES"/>
        </w:rPr>
      </w:pPr>
      <w:r w:rsidRPr="00CB4BBB">
        <w:rPr>
          <w:rFonts w:ascii="Arial" w:hAnsi="Arial" w:cs="Arial"/>
          <w:i/>
          <w:iCs/>
          <w:sz w:val="20"/>
          <w:szCs w:val="20"/>
          <w:lang w:val="es-ES"/>
        </w:rPr>
        <w:t xml:space="preserve">SPS </w:t>
      </w:r>
      <w:proofErr w:type="spellStart"/>
      <w:r w:rsidRPr="00CB4BBB">
        <w:rPr>
          <w:rFonts w:ascii="Arial" w:hAnsi="Arial" w:cs="Arial"/>
          <w:i/>
          <w:iCs/>
          <w:sz w:val="20"/>
          <w:szCs w:val="20"/>
          <w:lang w:val="es-ES"/>
        </w:rPr>
        <w:t>priedas</w:t>
      </w:r>
      <w:proofErr w:type="spellEnd"/>
    </w:p>
    <w:p w14:paraId="49372E6F" w14:textId="77777777" w:rsidR="00B14F29" w:rsidRPr="00CB4BBB" w:rsidRDefault="00B14F29" w:rsidP="00F46593">
      <w:pPr>
        <w:spacing w:after="0" w:line="240" w:lineRule="auto"/>
        <w:jc w:val="right"/>
        <w:rPr>
          <w:rFonts w:ascii="Arial" w:hAnsi="Arial" w:cs="Arial"/>
          <w:sz w:val="20"/>
          <w:szCs w:val="20"/>
          <w:lang w:val="es-ES"/>
        </w:rPr>
      </w:pPr>
    </w:p>
    <w:p w14:paraId="6EC2D8E4" w14:textId="15E2EBD8" w:rsidR="00B9305B" w:rsidRPr="00F46593" w:rsidRDefault="00B9305B" w:rsidP="00F46593">
      <w:pPr>
        <w:tabs>
          <w:tab w:val="left" w:pos="480"/>
        </w:tabs>
        <w:spacing w:after="0" w:line="240" w:lineRule="auto"/>
        <w:jc w:val="center"/>
        <w:rPr>
          <w:rFonts w:ascii="Arial" w:hAnsi="Arial" w:cs="Arial"/>
          <w:b/>
          <w:bCs/>
          <w:sz w:val="20"/>
          <w:szCs w:val="20"/>
        </w:rPr>
      </w:pPr>
      <w:r w:rsidRPr="00F46593">
        <w:rPr>
          <w:rFonts w:ascii="Arial" w:hAnsi="Arial" w:cs="Arial"/>
          <w:b/>
          <w:bCs/>
          <w:sz w:val="20"/>
          <w:szCs w:val="20"/>
        </w:rPr>
        <w:t xml:space="preserve">EKONOMINIO NAUDINGUMO VERTINIMO METODIKA </w:t>
      </w:r>
    </w:p>
    <w:p w14:paraId="520D9E2F" w14:textId="77777777" w:rsidR="00D6090D" w:rsidRPr="00F46593" w:rsidRDefault="00D6090D" w:rsidP="00F46593">
      <w:pPr>
        <w:tabs>
          <w:tab w:val="left" w:pos="480"/>
        </w:tabs>
        <w:spacing w:after="0" w:line="240" w:lineRule="auto"/>
        <w:jc w:val="center"/>
        <w:rPr>
          <w:rFonts w:ascii="Arial" w:hAnsi="Arial" w:cs="Arial"/>
          <w:b/>
          <w:bCs/>
          <w:sz w:val="20"/>
          <w:szCs w:val="20"/>
        </w:rPr>
      </w:pPr>
    </w:p>
    <w:p w14:paraId="696293B7" w14:textId="77777777" w:rsidR="008B25DB" w:rsidRPr="00BF17FC" w:rsidRDefault="008B25DB" w:rsidP="008B25DB">
      <w:pPr>
        <w:numPr>
          <w:ilvl w:val="0"/>
          <w:numId w:val="1"/>
        </w:numPr>
        <w:tabs>
          <w:tab w:val="left" w:pos="284"/>
        </w:tabs>
        <w:spacing w:after="0" w:line="240" w:lineRule="auto"/>
        <w:ind w:left="0" w:firstLine="0"/>
        <w:jc w:val="both"/>
        <w:rPr>
          <w:rFonts w:ascii="Arial" w:hAnsi="Arial" w:cs="Arial"/>
          <w:sz w:val="20"/>
          <w:szCs w:val="20"/>
        </w:rPr>
      </w:pPr>
      <w:r w:rsidRPr="00BF17FC">
        <w:rPr>
          <w:rFonts w:ascii="Arial" w:hAnsi="Arial" w:cs="Arial"/>
          <w:sz w:val="20"/>
          <w:szCs w:val="20"/>
        </w:rPr>
        <w:t>Šiame Priede pateikiami ekonomiškai naudingiausio Pasiūlymo vertinimo kriterijai, jų parametrai, lyginamieji svoriai, formulės, pagal kurias bus skaičiuojamas pasiūlymų ekonominis naudingumas, ekspertinio vertinimo metodikos aprašymas.</w:t>
      </w:r>
    </w:p>
    <w:p w14:paraId="45BD6044" w14:textId="77777777" w:rsidR="004A0B36" w:rsidRPr="00F46593" w:rsidRDefault="004A0B36" w:rsidP="00F46593">
      <w:pPr>
        <w:spacing w:after="0" w:line="240" w:lineRule="auto"/>
        <w:ind w:left="284"/>
        <w:jc w:val="both"/>
        <w:rPr>
          <w:rFonts w:ascii="Arial" w:hAnsi="Arial" w:cs="Arial"/>
          <w:sz w:val="20"/>
          <w:szCs w:val="20"/>
        </w:rPr>
      </w:pPr>
    </w:p>
    <w:p w14:paraId="0D22FBC7" w14:textId="77777777" w:rsidR="004A0B36" w:rsidRPr="00F46593" w:rsidRDefault="004A0B36" w:rsidP="00F46593">
      <w:pPr>
        <w:spacing w:after="0" w:line="240" w:lineRule="auto"/>
        <w:jc w:val="right"/>
        <w:rPr>
          <w:rFonts w:ascii="Arial" w:hAnsi="Arial" w:cs="Arial"/>
          <w:i/>
          <w:sz w:val="20"/>
          <w:szCs w:val="20"/>
        </w:rPr>
      </w:pPr>
      <w:r w:rsidRPr="00F46593">
        <w:rPr>
          <w:rFonts w:ascii="Arial" w:hAnsi="Arial" w:cs="Arial"/>
          <w:i/>
          <w:sz w:val="20"/>
          <w:szCs w:val="20"/>
        </w:rPr>
        <w:t>1 Lentelė. Pasiūlymų vertinimo kriterijai ir lyginamieji svoriai</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6522"/>
        <w:gridCol w:w="2440"/>
      </w:tblGrid>
      <w:tr w:rsidR="00F46593" w:rsidRPr="00F46593" w14:paraId="1ED6670A" w14:textId="77777777" w:rsidTr="00C529BE">
        <w:trPr>
          <w:cantSplit/>
          <w:trHeight w:val="500"/>
          <w:tblHeader/>
          <w:jc w:val="center"/>
        </w:trPr>
        <w:tc>
          <w:tcPr>
            <w:tcW w:w="295" w:type="pct"/>
            <w:shd w:val="clear" w:color="auto" w:fill="D9D9D9" w:themeFill="background1" w:themeFillShade="D9"/>
            <w:vAlign w:val="center"/>
          </w:tcPr>
          <w:p w14:paraId="022FA0FA" w14:textId="77777777" w:rsidR="00A3597F" w:rsidRPr="00F46593" w:rsidRDefault="00A3597F" w:rsidP="00F46593">
            <w:pPr>
              <w:tabs>
                <w:tab w:val="num" w:pos="1080"/>
                <w:tab w:val="left" w:pos="7655"/>
              </w:tabs>
              <w:spacing w:after="0" w:line="240" w:lineRule="auto"/>
              <w:ind w:left="29"/>
              <w:contextualSpacing/>
              <w:jc w:val="center"/>
              <w:rPr>
                <w:rFonts w:ascii="Arial" w:hAnsi="Arial" w:cs="Arial"/>
                <w:b/>
                <w:noProof/>
                <w:sz w:val="20"/>
                <w:szCs w:val="20"/>
              </w:rPr>
            </w:pPr>
            <w:r w:rsidRPr="00F46593">
              <w:rPr>
                <w:rFonts w:ascii="Arial" w:hAnsi="Arial" w:cs="Arial"/>
                <w:b/>
                <w:noProof/>
                <w:sz w:val="20"/>
                <w:szCs w:val="20"/>
              </w:rPr>
              <w:t>Eil. Nr.</w:t>
            </w:r>
          </w:p>
        </w:tc>
        <w:tc>
          <w:tcPr>
            <w:tcW w:w="3424" w:type="pct"/>
            <w:shd w:val="clear" w:color="auto" w:fill="D9D9D9" w:themeFill="background1" w:themeFillShade="D9"/>
            <w:vAlign w:val="center"/>
          </w:tcPr>
          <w:p w14:paraId="783F5708" w14:textId="77777777" w:rsidR="00A3597F" w:rsidRPr="00F46593" w:rsidRDefault="00A3597F" w:rsidP="00F46593">
            <w:pPr>
              <w:tabs>
                <w:tab w:val="num" w:pos="1080"/>
                <w:tab w:val="left" w:pos="7655"/>
              </w:tabs>
              <w:spacing w:after="0" w:line="240" w:lineRule="auto"/>
              <w:ind w:left="720"/>
              <w:contextualSpacing/>
              <w:jc w:val="center"/>
              <w:rPr>
                <w:rFonts w:ascii="Arial" w:hAnsi="Arial" w:cs="Arial"/>
                <w:b/>
                <w:bCs/>
                <w:noProof/>
                <w:sz w:val="20"/>
                <w:szCs w:val="20"/>
              </w:rPr>
            </w:pPr>
            <w:r w:rsidRPr="00F46593">
              <w:rPr>
                <w:rFonts w:ascii="Arial" w:hAnsi="Arial" w:cs="Arial"/>
                <w:b/>
                <w:bCs/>
                <w:sz w:val="20"/>
                <w:szCs w:val="20"/>
              </w:rPr>
              <w:t>Vertinimo kriterijai ir parametrai</w:t>
            </w:r>
          </w:p>
        </w:tc>
        <w:tc>
          <w:tcPr>
            <w:tcW w:w="1281" w:type="pct"/>
            <w:shd w:val="clear" w:color="auto" w:fill="D9D9D9" w:themeFill="background1" w:themeFillShade="D9"/>
            <w:vAlign w:val="center"/>
          </w:tcPr>
          <w:p w14:paraId="30FAC14D" w14:textId="77777777" w:rsidR="00A3597F" w:rsidRPr="00F46593" w:rsidRDefault="00A3597F" w:rsidP="00F46593">
            <w:pPr>
              <w:tabs>
                <w:tab w:val="num" w:pos="1080"/>
                <w:tab w:val="left" w:pos="7655"/>
              </w:tabs>
              <w:spacing w:after="0" w:line="240" w:lineRule="auto"/>
              <w:contextualSpacing/>
              <w:jc w:val="center"/>
              <w:rPr>
                <w:rFonts w:ascii="Arial" w:hAnsi="Arial" w:cs="Arial"/>
                <w:b/>
                <w:noProof/>
                <w:sz w:val="20"/>
                <w:szCs w:val="20"/>
              </w:rPr>
            </w:pPr>
            <w:r w:rsidRPr="00F46593">
              <w:rPr>
                <w:rFonts w:ascii="Arial" w:hAnsi="Arial" w:cs="Arial"/>
                <w:b/>
                <w:noProof/>
                <w:sz w:val="20"/>
                <w:szCs w:val="20"/>
              </w:rPr>
              <w:t>Lyginamasis svoris ekonominio naudingumo įvertinime</w:t>
            </w:r>
          </w:p>
        </w:tc>
      </w:tr>
      <w:tr w:rsidR="00F46593" w:rsidRPr="00F46593" w14:paraId="04800DC2" w14:textId="77777777" w:rsidTr="00C529BE">
        <w:trPr>
          <w:cantSplit/>
          <w:trHeight w:val="60"/>
          <w:jc w:val="center"/>
        </w:trPr>
        <w:tc>
          <w:tcPr>
            <w:tcW w:w="295" w:type="pct"/>
            <w:shd w:val="clear" w:color="auto" w:fill="D9D9D9" w:themeFill="background1" w:themeFillShade="D9"/>
            <w:vAlign w:val="center"/>
          </w:tcPr>
          <w:p w14:paraId="223BA9B9" w14:textId="77777777" w:rsidR="00A3597F" w:rsidRPr="00F46593" w:rsidRDefault="00A3597F" w:rsidP="00F46593">
            <w:pPr>
              <w:tabs>
                <w:tab w:val="num" w:pos="1080"/>
                <w:tab w:val="left" w:pos="7655"/>
              </w:tabs>
              <w:spacing w:after="0" w:line="240" w:lineRule="auto"/>
              <w:ind w:left="27"/>
              <w:contextualSpacing/>
              <w:jc w:val="center"/>
              <w:rPr>
                <w:rFonts w:ascii="Arial" w:hAnsi="Arial" w:cs="Arial"/>
                <w:b/>
                <w:noProof/>
                <w:sz w:val="20"/>
                <w:szCs w:val="20"/>
              </w:rPr>
            </w:pPr>
            <w:r w:rsidRPr="00F46593">
              <w:rPr>
                <w:rFonts w:ascii="Arial" w:hAnsi="Arial" w:cs="Arial"/>
                <w:b/>
                <w:noProof/>
                <w:sz w:val="20"/>
                <w:szCs w:val="20"/>
              </w:rPr>
              <w:t>1.</w:t>
            </w:r>
          </w:p>
        </w:tc>
        <w:tc>
          <w:tcPr>
            <w:tcW w:w="3424" w:type="pct"/>
            <w:vAlign w:val="center"/>
          </w:tcPr>
          <w:p w14:paraId="65EAF5CC" w14:textId="77777777" w:rsidR="00A3597F" w:rsidRPr="00F46593" w:rsidRDefault="00A3597F" w:rsidP="00F46593">
            <w:pPr>
              <w:tabs>
                <w:tab w:val="num" w:pos="1080"/>
                <w:tab w:val="left" w:pos="7655"/>
              </w:tabs>
              <w:spacing w:after="0" w:line="240" w:lineRule="auto"/>
              <w:contextualSpacing/>
              <w:jc w:val="both"/>
              <w:rPr>
                <w:rFonts w:ascii="Arial" w:hAnsi="Arial" w:cs="Arial"/>
                <w:b/>
                <w:noProof/>
                <w:sz w:val="20"/>
                <w:szCs w:val="20"/>
              </w:rPr>
            </w:pPr>
            <w:r w:rsidRPr="00F46593">
              <w:rPr>
                <w:rFonts w:ascii="Arial" w:hAnsi="Arial" w:cs="Arial"/>
                <w:b/>
                <w:noProof/>
                <w:sz w:val="20"/>
                <w:szCs w:val="20"/>
              </w:rPr>
              <w:t>Paslaugų kaina (C)</w:t>
            </w:r>
          </w:p>
          <w:p w14:paraId="01E479EA" w14:textId="77777777" w:rsidR="00A3597F" w:rsidRPr="00F46593" w:rsidRDefault="00A3597F" w:rsidP="00F46593">
            <w:pPr>
              <w:tabs>
                <w:tab w:val="num" w:pos="1080"/>
                <w:tab w:val="left" w:pos="7655"/>
              </w:tabs>
              <w:spacing w:after="0" w:line="240" w:lineRule="auto"/>
              <w:contextualSpacing/>
              <w:jc w:val="both"/>
              <w:rPr>
                <w:rFonts w:ascii="Arial" w:hAnsi="Arial" w:cs="Arial"/>
                <w:noProof/>
                <w:sz w:val="20"/>
                <w:szCs w:val="20"/>
              </w:rPr>
            </w:pPr>
            <w:r w:rsidRPr="00F46593">
              <w:rPr>
                <w:rFonts w:ascii="Arial" w:hAnsi="Arial" w:cs="Arial"/>
                <w:noProof/>
                <w:sz w:val="20"/>
                <w:szCs w:val="20"/>
              </w:rPr>
              <w:t xml:space="preserve">Vertinama Paslaugų kaina pagal šios metodikos 3 punkte nurodytą tvarką. </w:t>
            </w:r>
          </w:p>
        </w:tc>
        <w:tc>
          <w:tcPr>
            <w:tcW w:w="1281" w:type="pct"/>
            <w:vAlign w:val="center"/>
          </w:tcPr>
          <w:p w14:paraId="3525C194" w14:textId="38E44D89" w:rsidR="00A3597F" w:rsidRPr="00F46593" w:rsidRDefault="00A3597F" w:rsidP="00F46593">
            <w:pPr>
              <w:tabs>
                <w:tab w:val="num" w:pos="1080"/>
                <w:tab w:val="left" w:pos="7655"/>
              </w:tabs>
              <w:spacing w:after="0" w:line="240" w:lineRule="auto"/>
              <w:contextualSpacing/>
              <w:jc w:val="center"/>
              <w:rPr>
                <w:rFonts w:ascii="Arial" w:hAnsi="Arial" w:cs="Arial"/>
                <w:b/>
                <w:bCs/>
                <w:noProof/>
                <w:sz w:val="20"/>
                <w:szCs w:val="20"/>
              </w:rPr>
            </w:pPr>
            <w:r w:rsidRPr="00F46593">
              <w:rPr>
                <w:rFonts w:ascii="Arial" w:hAnsi="Arial" w:cs="Arial"/>
                <w:b/>
                <w:bCs/>
                <w:noProof/>
                <w:sz w:val="20"/>
                <w:szCs w:val="20"/>
              </w:rPr>
              <w:t>X= 65</w:t>
            </w:r>
          </w:p>
        </w:tc>
      </w:tr>
      <w:tr w:rsidR="00F46593" w:rsidRPr="00F46593" w14:paraId="104BFC10" w14:textId="77777777" w:rsidTr="00C529BE">
        <w:trPr>
          <w:cantSplit/>
          <w:trHeight w:val="567"/>
          <w:jc w:val="center"/>
        </w:trPr>
        <w:tc>
          <w:tcPr>
            <w:tcW w:w="295" w:type="pct"/>
            <w:shd w:val="clear" w:color="auto" w:fill="D9D9D9" w:themeFill="background1" w:themeFillShade="D9"/>
            <w:vAlign w:val="center"/>
          </w:tcPr>
          <w:p w14:paraId="3F9C7E6E" w14:textId="77777777" w:rsidR="00A3597F" w:rsidRPr="00F46593" w:rsidRDefault="00A3597F" w:rsidP="00F46593">
            <w:pPr>
              <w:tabs>
                <w:tab w:val="num" w:pos="1080"/>
                <w:tab w:val="left" w:pos="7655"/>
              </w:tabs>
              <w:spacing w:after="0" w:line="240" w:lineRule="auto"/>
              <w:ind w:left="27"/>
              <w:contextualSpacing/>
              <w:jc w:val="center"/>
              <w:rPr>
                <w:rFonts w:ascii="Arial" w:hAnsi="Arial" w:cs="Arial"/>
                <w:b/>
                <w:noProof/>
                <w:sz w:val="20"/>
                <w:szCs w:val="20"/>
              </w:rPr>
            </w:pPr>
            <w:r w:rsidRPr="00F46593">
              <w:rPr>
                <w:rFonts w:ascii="Arial" w:hAnsi="Arial" w:cs="Arial"/>
                <w:b/>
                <w:noProof/>
                <w:sz w:val="20"/>
                <w:szCs w:val="20"/>
              </w:rPr>
              <w:t>2.</w:t>
            </w:r>
          </w:p>
        </w:tc>
        <w:tc>
          <w:tcPr>
            <w:tcW w:w="3424" w:type="pct"/>
            <w:vAlign w:val="center"/>
          </w:tcPr>
          <w:p w14:paraId="190F822F" w14:textId="77777777" w:rsidR="00A3597F" w:rsidRPr="00F46593" w:rsidRDefault="00A3597F" w:rsidP="00F46593">
            <w:pPr>
              <w:tabs>
                <w:tab w:val="num" w:pos="1080"/>
                <w:tab w:val="left" w:pos="7655"/>
              </w:tabs>
              <w:spacing w:after="0" w:line="240" w:lineRule="auto"/>
              <w:contextualSpacing/>
              <w:jc w:val="both"/>
              <w:rPr>
                <w:rFonts w:ascii="Arial" w:hAnsi="Arial" w:cs="Arial"/>
                <w:b/>
                <w:noProof/>
                <w:sz w:val="20"/>
                <w:szCs w:val="20"/>
              </w:rPr>
            </w:pPr>
            <w:r w:rsidRPr="00F46593">
              <w:rPr>
                <w:rFonts w:ascii="Arial" w:hAnsi="Arial" w:cs="Arial"/>
                <w:b/>
                <w:noProof/>
                <w:sz w:val="20"/>
                <w:szCs w:val="20"/>
              </w:rPr>
              <w:t>Valandinis darbo užmokesčio dydis (D)</w:t>
            </w:r>
          </w:p>
          <w:p w14:paraId="498D7938" w14:textId="2D041D34" w:rsidR="00A3597F" w:rsidRPr="00F46593" w:rsidRDefault="00A3597F" w:rsidP="00F46593">
            <w:pPr>
              <w:tabs>
                <w:tab w:val="num" w:pos="1080"/>
                <w:tab w:val="left" w:pos="7655"/>
              </w:tabs>
              <w:spacing w:after="0" w:line="240" w:lineRule="auto"/>
              <w:contextualSpacing/>
              <w:jc w:val="both"/>
              <w:rPr>
                <w:rFonts w:ascii="Arial" w:hAnsi="Arial" w:cs="Arial"/>
                <w:bCs/>
                <w:noProof/>
                <w:sz w:val="20"/>
                <w:szCs w:val="20"/>
              </w:rPr>
            </w:pPr>
            <w:r w:rsidRPr="00F46593">
              <w:rPr>
                <w:rFonts w:ascii="Arial" w:hAnsi="Arial" w:cs="Arial"/>
                <w:bCs/>
                <w:noProof/>
                <w:sz w:val="20"/>
                <w:szCs w:val="20"/>
              </w:rPr>
              <w:t xml:space="preserve">Vertinama </w:t>
            </w:r>
            <w:r w:rsidR="006D64E2" w:rsidRPr="00F46593">
              <w:rPr>
                <w:rFonts w:ascii="Arial" w:hAnsi="Arial" w:cs="Arial"/>
                <w:bCs/>
                <w:noProof/>
                <w:sz w:val="20"/>
                <w:szCs w:val="20"/>
              </w:rPr>
              <w:t>tiekėjo siūlomas valandinis darbo užmokesčio dydis pagal šios metodikos 4 punkte nurodytą tvarką.</w:t>
            </w:r>
          </w:p>
        </w:tc>
        <w:tc>
          <w:tcPr>
            <w:tcW w:w="1281" w:type="pct"/>
            <w:vAlign w:val="center"/>
          </w:tcPr>
          <w:p w14:paraId="53702518" w14:textId="13EB4171" w:rsidR="00A3597F" w:rsidRPr="00F46593" w:rsidRDefault="00A3597F" w:rsidP="00F46593">
            <w:pPr>
              <w:tabs>
                <w:tab w:val="num" w:pos="1080"/>
                <w:tab w:val="left" w:pos="7655"/>
              </w:tabs>
              <w:spacing w:after="0" w:line="240" w:lineRule="auto"/>
              <w:contextualSpacing/>
              <w:jc w:val="center"/>
              <w:rPr>
                <w:rFonts w:ascii="Arial" w:hAnsi="Arial" w:cs="Arial"/>
                <w:b/>
                <w:bCs/>
                <w:noProof/>
                <w:sz w:val="20"/>
                <w:szCs w:val="20"/>
              </w:rPr>
            </w:pPr>
            <w:r w:rsidRPr="00F46593">
              <w:rPr>
                <w:rFonts w:ascii="Arial" w:hAnsi="Arial" w:cs="Arial"/>
                <w:b/>
                <w:bCs/>
                <w:noProof/>
                <w:sz w:val="20"/>
                <w:szCs w:val="20"/>
              </w:rPr>
              <w:t xml:space="preserve">Z= </w:t>
            </w:r>
            <w:r w:rsidR="00CB4BBB">
              <w:rPr>
                <w:rFonts w:ascii="Arial" w:hAnsi="Arial" w:cs="Arial"/>
                <w:b/>
                <w:bCs/>
                <w:noProof/>
                <w:sz w:val="20"/>
                <w:szCs w:val="20"/>
              </w:rPr>
              <w:t>2</w:t>
            </w:r>
            <w:r w:rsidRPr="00F46593">
              <w:rPr>
                <w:rFonts w:ascii="Arial" w:hAnsi="Arial" w:cs="Arial"/>
                <w:b/>
                <w:bCs/>
                <w:noProof/>
                <w:sz w:val="20"/>
                <w:szCs w:val="20"/>
              </w:rPr>
              <w:t>5</w:t>
            </w:r>
          </w:p>
        </w:tc>
      </w:tr>
      <w:tr w:rsidR="00F46593" w:rsidRPr="00F46593" w14:paraId="238C1AF3" w14:textId="77777777" w:rsidTr="00C529BE">
        <w:trPr>
          <w:cantSplit/>
          <w:trHeight w:val="737"/>
          <w:jc w:val="center"/>
        </w:trPr>
        <w:tc>
          <w:tcPr>
            <w:tcW w:w="295" w:type="pct"/>
            <w:shd w:val="clear" w:color="auto" w:fill="D9D9D9" w:themeFill="background1" w:themeFillShade="D9"/>
            <w:vAlign w:val="center"/>
          </w:tcPr>
          <w:p w14:paraId="4E11AC55" w14:textId="77777777" w:rsidR="00A3597F" w:rsidRPr="00F46593" w:rsidRDefault="00A3597F" w:rsidP="00F46593">
            <w:pPr>
              <w:tabs>
                <w:tab w:val="num" w:pos="1080"/>
                <w:tab w:val="left" w:pos="7655"/>
              </w:tabs>
              <w:spacing w:after="0" w:line="240" w:lineRule="auto"/>
              <w:ind w:left="27"/>
              <w:contextualSpacing/>
              <w:jc w:val="center"/>
              <w:rPr>
                <w:rFonts w:ascii="Arial" w:hAnsi="Arial" w:cs="Arial"/>
                <w:b/>
                <w:noProof/>
                <w:sz w:val="20"/>
                <w:szCs w:val="20"/>
              </w:rPr>
            </w:pPr>
            <w:r w:rsidRPr="00F46593">
              <w:rPr>
                <w:rFonts w:ascii="Arial" w:hAnsi="Arial" w:cs="Arial"/>
                <w:b/>
                <w:noProof/>
                <w:sz w:val="20"/>
                <w:szCs w:val="20"/>
              </w:rPr>
              <w:t>3.</w:t>
            </w:r>
          </w:p>
        </w:tc>
        <w:tc>
          <w:tcPr>
            <w:tcW w:w="3424" w:type="pct"/>
            <w:vAlign w:val="center"/>
          </w:tcPr>
          <w:p w14:paraId="62821ABB" w14:textId="77777777" w:rsidR="00A3597F" w:rsidRPr="00F46593" w:rsidRDefault="00A3597F" w:rsidP="00F46593">
            <w:pPr>
              <w:tabs>
                <w:tab w:val="num" w:pos="1080"/>
                <w:tab w:val="left" w:pos="7655"/>
              </w:tabs>
              <w:spacing w:after="0" w:line="240" w:lineRule="auto"/>
              <w:contextualSpacing/>
              <w:jc w:val="both"/>
              <w:rPr>
                <w:rFonts w:ascii="Arial" w:hAnsi="Arial" w:cs="Arial"/>
                <w:b/>
                <w:noProof/>
                <w:sz w:val="20"/>
                <w:szCs w:val="20"/>
              </w:rPr>
            </w:pPr>
            <w:r w:rsidRPr="00F46593">
              <w:rPr>
                <w:rFonts w:ascii="Arial" w:hAnsi="Arial" w:cs="Arial"/>
                <w:b/>
                <w:noProof/>
                <w:sz w:val="20"/>
                <w:szCs w:val="20"/>
              </w:rPr>
              <w:t>Tiekimo grandinės valdymas (T)</w:t>
            </w:r>
          </w:p>
          <w:p w14:paraId="6AC7D7B2" w14:textId="0442CC07" w:rsidR="00A3597F" w:rsidRPr="00F46593" w:rsidRDefault="006D64E2" w:rsidP="00F46593">
            <w:pPr>
              <w:tabs>
                <w:tab w:val="num" w:pos="1080"/>
                <w:tab w:val="left" w:pos="7655"/>
              </w:tabs>
              <w:spacing w:after="0" w:line="240" w:lineRule="auto"/>
              <w:contextualSpacing/>
              <w:jc w:val="both"/>
              <w:rPr>
                <w:rFonts w:ascii="Arial" w:hAnsi="Arial" w:cs="Arial"/>
                <w:bCs/>
                <w:noProof/>
                <w:sz w:val="20"/>
                <w:szCs w:val="20"/>
              </w:rPr>
            </w:pPr>
            <w:r w:rsidRPr="00F46593">
              <w:rPr>
                <w:rFonts w:ascii="Arial" w:hAnsi="Arial" w:cs="Arial"/>
                <w:bCs/>
                <w:noProof/>
                <w:sz w:val="20"/>
                <w:szCs w:val="20"/>
              </w:rPr>
              <w:t>Vertinama ar tiekėjas turi patvirtintą etikos (elgesio) kodeksą pagal šios metodikos 5 punkte nurodytą tvarką.</w:t>
            </w:r>
          </w:p>
        </w:tc>
        <w:tc>
          <w:tcPr>
            <w:tcW w:w="1281" w:type="pct"/>
            <w:vAlign w:val="center"/>
          </w:tcPr>
          <w:p w14:paraId="0FAAB91C" w14:textId="71817DFE" w:rsidR="00A3597F" w:rsidRPr="00F46593" w:rsidRDefault="00A3597F" w:rsidP="00F46593">
            <w:pPr>
              <w:tabs>
                <w:tab w:val="num" w:pos="1080"/>
                <w:tab w:val="left" w:pos="7655"/>
              </w:tabs>
              <w:spacing w:after="0" w:line="240" w:lineRule="auto"/>
              <w:contextualSpacing/>
              <w:jc w:val="center"/>
              <w:rPr>
                <w:rFonts w:ascii="Arial" w:hAnsi="Arial" w:cs="Arial"/>
                <w:b/>
                <w:bCs/>
                <w:noProof/>
                <w:sz w:val="20"/>
                <w:szCs w:val="20"/>
              </w:rPr>
            </w:pPr>
            <w:r w:rsidRPr="00F46593">
              <w:rPr>
                <w:rFonts w:ascii="Arial" w:hAnsi="Arial" w:cs="Arial"/>
                <w:b/>
                <w:bCs/>
                <w:noProof/>
                <w:sz w:val="20"/>
                <w:szCs w:val="20"/>
              </w:rPr>
              <w:t>Y= 5</w:t>
            </w:r>
          </w:p>
        </w:tc>
      </w:tr>
      <w:tr w:rsidR="00F46593" w:rsidRPr="00F46593" w14:paraId="5E879B3E" w14:textId="77777777" w:rsidTr="00C529BE">
        <w:trPr>
          <w:cantSplit/>
          <w:trHeight w:val="737"/>
          <w:jc w:val="center"/>
        </w:trPr>
        <w:tc>
          <w:tcPr>
            <w:tcW w:w="295" w:type="pct"/>
            <w:shd w:val="clear" w:color="auto" w:fill="D9D9D9" w:themeFill="background1" w:themeFillShade="D9"/>
            <w:vAlign w:val="center"/>
          </w:tcPr>
          <w:p w14:paraId="550BF01C" w14:textId="5E82AFA7" w:rsidR="00A3597F" w:rsidRPr="00F46593" w:rsidRDefault="00FD77F6" w:rsidP="00F46593">
            <w:pPr>
              <w:tabs>
                <w:tab w:val="num" w:pos="1080"/>
                <w:tab w:val="left" w:pos="7655"/>
              </w:tabs>
              <w:spacing w:after="0" w:line="240" w:lineRule="auto"/>
              <w:ind w:left="27"/>
              <w:contextualSpacing/>
              <w:jc w:val="center"/>
              <w:rPr>
                <w:rFonts w:ascii="Arial" w:hAnsi="Arial" w:cs="Arial"/>
                <w:b/>
                <w:noProof/>
                <w:sz w:val="20"/>
                <w:szCs w:val="20"/>
              </w:rPr>
            </w:pPr>
            <w:r w:rsidRPr="00F46593">
              <w:rPr>
                <w:rFonts w:ascii="Arial" w:hAnsi="Arial" w:cs="Arial"/>
                <w:b/>
                <w:noProof/>
                <w:sz w:val="20"/>
                <w:szCs w:val="20"/>
              </w:rPr>
              <w:t>4.</w:t>
            </w:r>
          </w:p>
        </w:tc>
        <w:tc>
          <w:tcPr>
            <w:tcW w:w="3424" w:type="pct"/>
            <w:vAlign w:val="center"/>
          </w:tcPr>
          <w:p w14:paraId="159618E7" w14:textId="77777777" w:rsidR="0030070A" w:rsidRPr="00F46593" w:rsidRDefault="0030070A" w:rsidP="00F46593">
            <w:pPr>
              <w:tabs>
                <w:tab w:val="num" w:pos="1080"/>
                <w:tab w:val="left" w:pos="7655"/>
              </w:tabs>
              <w:spacing w:after="0" w:line="240" w:lineRule="auto"/>
              <w:contextualSpacing/>
              <w:jc w:val="both"/>
              <w:rPr>
                <w:rFonts w:ascii="Arial" w:hAnsi="Arial" w:cs="Arial"/>
                <w:b/>
                <w:noProof/>
                <w:sz w:val="20"/>
                <w:szCs w:val="20"/>
              </w:rPr>
            </w:pPr>
            <w:r w:rsidRPr="00F46593">
              <w:rPr>
                <w:rFonts w:ascii="Arial" w:hAnsi="Arial" w:cs="Arial"/>
                <w:b/>
                <w:noProof/>
                <w:sz w:val="20"/>
                <w:szCs w:val="20"/>
              </w:rPr>
              <w:t>Saugios, darbuotojų sveikatą ir orumą užtikrinančios darbo sąlygos (S)</w:t>
            </w:r>
          </w:p>
          <w:p w14:paraId="46073CAF" w14:textId="3784E14A" w:rsidR="00A3597F" w:rsidRPr="00F46593" w:rsidRDefault="0030070A" w:rsidP="00F46593">
            <w:pPr>
              <w:tabs>
                <w:tab w:val="num" w:pos="1080"/>
                <w:tab w:val="left" w:pos="7655"/>
              </w:tabs>
              <w:spacing w:after="0" w:line="240" w:lineRule="auto"/>
              <w:contextualSpacing/>
              <w:jc w:val="both"/>
              <w:rPr>
                <w:rFonts w:ascii="Arial" w:hAnsi="Arial" w:cs="Arial"/>
                <w:b/>
                <w:noProof/>
                <w:sz w:val="20"/>
                <w:szCs w:val="20"/>
              </w:rPr>
            </w:pPr>
            <w:r w:rsidRPr="00F46593">
              <w:rPr>
                <w:rFonts w:ascii="Arial" w:hAnsi="Arial" w:cs="Arial"/>
                <w:sz w:val="20"/>
                <w:szCs w:val="20"/>
                <w:bdr w:val="none" w:sz="0" w:space="0" w:color="auto" w:frame="1"/>
              </w:rPr>
              <w:t>Vertinama ar Tiekėjas pirkimo sutarties vykdymo laikotarpiu, Paslaugų teikimu taikys darbuotojų sveikatos ir saugos vadybos sistemos reikalavimus</w:t>
            </w:r>
            <w:r w:rsidR="006D64E2" w:rsidRPr="00F46593">
              <w:rPr>
                <w:rFonts w:ascii="Arial" w:hAnsi="Arial" w:cs="Arial"/>
                <w:sz w:val="20"/>
                <w:szCs w:val="20"/>
                <w:bdr w:val="none" w:sz="0" w:space="0" w:color="auto" w:frame="1"/>
              </w:rPr>
              <w:t xml:space="preserve"> </w:t>
            </w:r>
            <w:r w:rsidR="006D64E2" w:rsidRPr="00F46593">
              <w:rPr>
                <w:rFonts w:ascii="Arial" w:hAnsi="Arial" w:cs="Arial"/>
                <w:bCs/>
                <w:noProof/>
                <w:sz w:val="20"/>
                <w:szCs w:val="20"/>
              </w:rPr>
              <w:t>pagal šios metodikos 6 punkte nurodytą tvarką.</w:t>
            </w:r>
          </w:p>
        </w:tc>
        <w:tc>
          <w:tcPr>
            <w:tcW w:w="1281" w:type="pct"/>
            <w:vAlign w:val="center"/>
          </w:tcPr>
          <w:p w14:paraId="1EAFEF9A" w14:textId="00EBC392" w:rsidR="00A3597F" w:rsidRPr="00F46593" w:rsidRDefault="007911E0" w:rsidP="00F46593">
            <w:pPr>
              <w:tabs>
                <w:tab w:val="num" w:pos="1080"/>
                <w:tab w:val="left" w:pos="7655"/>
              </w:tabs>
              <w:spacing w:after="0" w:line="240" w:lineRule="auto"/>
              <w:contextualSpacing/>
              <w:jc w:val="center"/>
              <w:rPr>
                <w:rFonts w:ascii="Arial" w:hAnsi="Arial" w:cs="Arial"/>
                <w:b/>
                <w:bCs/>
                <w:noProof/>
                <w:sz w:val="20"/>
                <w:szCs w:val="20"/>
                <w:lang w:val="en-US"/>
              </w:rPr>
            </w:pPr>
            <w:r w:rsidRPr="00F46593">
              <w:rPr>
                <w:rFonts w:ascii="Arial" w:hAnsi="Arial" w:cs="Arial"/>
                <w:b/>
                <w:bCs/>
                <w:noProof/>
                <w:sz w:val="20"/>
                <w:szCs w:val="20"/>
              </w:rPr>
              <w:t>Q</w:t>
            </w:r>
            <w:r w:rsidRPr="00F46593">
              <w:rPr>
                <w:rFonts w:ascii="Arial" w:hAnsi="Arial" w:cs="Arial"/>
                <w:b/>
                <w:bCs/>
                <w:noProof/>
                <w:sz w:val="20"/>
                <w:szCs w:val="20"/>
                <w:lang w:val="en-US"/>
              </w:rPr>
              <w:t>=</w:t>
            </w:r>
            <w:r w:rsidR="00CB4BBB">
              <w:rPr>
                <w:rFonts w:ascii="Arial" w:hAnsi="Arial" w:cs="Arial"/>
                <w:b/>
                <w:bCs/>
                <w:noProof/>
                <w:sz w:val="20"/>
                <w:szCs w:val="20"/>
                <w:lang w:val="en-US"/>
              </w:rPr>
              <w:t>5</w:t>
            </w:r>
          </w:p>
        </w:tc>
      </w:tr>
    </w:tbl>
    <w:p w14:paraId="775F8EDC" w14:textId="77777777" w:rsidR="00BC02D2" w:rsidRPr="00F46593" w:rsidRDefault="00BC02D2" w:rsidP="00F46593">
      <w:pPr>
        <w:spacing w:after="0" w:line="240" w:lineRule="auto"/>
        <w:rPr>
          <w:rFonts w:ascii="Arial" w:hAnsi="Arial" w:cs="Arial"/>
          <w:sz w:val="20"/>
          <w:szCs w:val="20"/>
        </w:rPr>
      </w:pPr>
    </w:p>
    <w:p w14:paraId="39B4EB64" w14:textId="77A4C5D1" w:rsidR="004A0B36" w:rsidRDefault="00845ED4" w:rsidP="00F46593">
      <w:pPr>
        <w:pStyle w:val="ListParagraph"/>
        <w:numPr>
          <w:ilvl w:val="0"/>
          <w:numId w:val="7"/>
        </w:numPr>
        <w:tabs>
          <w:tab w:val="left" w:pos="426"/>
        </w:tabs>
        <w:autoSpaceDE w:val="0"/>
        <w:autoSpaceDN w:val="0"/>
        <w:adjustRightInd w:val="0"/>
        <w:ind w:left="0" w:firstLine="0"/>
        <w:jc w:val="both"/>
        <w:rPr>
          <w:rFonts w:ascii="Arial" w:hAnsi="Arial" w:cs="Arial"/>
          <w:iCs/>
          <w:sz w:val="20"/>
          <w:szCs w:val="20"/>
        </w:rPr>
      </w:pPr>
      <w:r w:rsidRPr="00F46593">
        <w:rPr>
          <w:rFonts w:ascii="Arial" w:hAnsi="Arial" w:cs="Arial"/>
          <w:iCs/>
          <w:sz w:val="20"/>
          <w:szCs w:val="20"/>
        </w:rPr>
        <w:t>Kiekvieno Dalyvio Pasiūlymo ekonominis naudingumas (N) apskaičiuojamas sudedant</w:t>
      </w:r>
      <w:r w:rsidR="004A0B36" w:rsidRPr="00F46593">
        <w:rPr>
          <w:rFonts w:ascii="Arial" w:hAnsi="Arial" w:cs="Arial"/>
          <w:iCs/>
          <w:sz w:val="20"/>
          <w:szCs w:val="20"/>
        </w:rPr>
        <w:t xml:space="preserve"> </w:t>
      </w:r>
      <w:r w:rsidR="008B25DB">
        <w:rPr>
          <w:rFonts w:ascii="Arial" w:hAnsi="Arial" w:cs="Arial"/>
          <w:iCs/>
          <w:sz w:val="20"/>
          <w:szCs w:val="20"/>
        </w:rPr>
        <w:t>Paslaugų</w:t>
      </w:r>
      <w:r w:rsidR="004A0B36" w:rsidRPr="00F46593">
        <w:rPr>
          <w:rFonts w:ascii="Arial" w:hAnsi="Arial" w:cs="Arial"/>
          <w:iCs/>
          <w:sz w:val="20"/>
          <w:szCs w:val="20"/>
        </w:rPr>
        <w:t xml:space="preserve"> kainos (C), </w:t>
      </w:r>
      <w:r w:rsidR="007911E0" w:rsidRPr="00F46593">
        <w:rPr>
          <w:rFonts w:ascii="Arial" w:hAnsi="Arial" w:cs="Arial"/>
          <w:iCs/>
          <w:sz w:val="20"/>
          <w:szCs w:val="20"/>
        </w:rPr>
        <w:t>Valandinio darbo užmokesčio dydžio</w:t>
      </w:r>
      <w:r w:rsidR="004A0B36" w:rsidRPr="00F46593">
        <w:rPr>
          <w:rFonts w:ascii="Arial" w:hAnsi="Arial" w:cs="Arial"/>
          <w:iCs/>
          <w:sz w:val="20"/>
          <w:szCs w:val="20"/>
        </w:rPr>
        <w:t xml:space="preserve"> (D)</w:t>
      </w:r>
      <w:r w:rsidR="00DA775F" w:rsidRPr="00F46593">
        <w:rPr>
          <w:rFonts w:ascii="Arial" w:hAnsi="Arial" w:cs="Arial"/>
          <w:iCs/>
          <w:sz w:val="20"/>
          <w:szCs w:val="20"/>
        </w:rPr>
        <w:t>, Tiekimo grandinės valdymo (T)</w:t>
      </w:r>
      <w:r w:rsidR="004A0B36" w:rsidRPr="00F46593">
        <w:rPr>
          <w:rFonts w:ascii="Arial" w:hAnsi="Arial" w:cs="Arial"/>
          <w:iCs/>
          <w:sz w:val="20"/>
          <w:szCs w:val="20"/>
        </w:rPr>
        <w:t xml:space="preserve"> ir</w:t>
      </w:r>
      <w:r w:rsidR="00DA775F" w:rsidRPr="00F46593">
        <w:rPr>
          <w:rFonts w:ascii="Arial" w:hAnsi="Arial" w:cs="Arial"/>
          <w:iCs/>
          <w:sz w:val="20"/>
          <w:szCs w:val="20"/>
        </w:rPr>
        <w:t xml:space="preserve"> Saugios, </w:t>
      </w:r>
      <w:r w:rsidR="008B25DB" w:rsidRPr="00F46593">
        <w:rPr>
          <w:rFonts w:ascii="Arial" w:hAnsi="Arial" w:cs="Arial"/>
          <w:iCs/>
          <w:sz w:val="20"/>
          <w:szCs w:val="20"/>
        </w:rPr>
        <w:t>darbuotojų</w:t>
      </w:r>
      <w:r w:rsidR="00DA775F" w:rsidRPr="00F46593">
        <w:rPr>
          <w:rFonts w:ascii="Arial" w:hAnsi="Arial" w:cs="Arial"/>
          <w:iCs/>
          <w:sz w:val="20"/>
          <w:szCs w:val="20"/>
        </w:rPr>
        <w:t xml:space="preserve"> sveikatą ir orumą užtikrinančių darbo sąlygų</w:t>
      </w:r>
      <w:r w:rsidR="004A0B36" w:rsidRPr="00F46593">
        <w:rPr>
          <w:rFonts w:ascii="Arial" w:hAnsi="Arial" w:cs="Arial"/>
          <w:iCs/>
          <w:sz w:val="20"/>
          <w:szCs w:val="20"/>
        </w:rPr>
        <w:t xml:space="preserve"> (</w:t>
      </w:r>
      <w:r w:rsidR="00DA775F" w:rsidRPr="00F46593">
        <w:rPr>
          <w:rFonts w:ascii="Arial" w:hAnsi="Arial" w:cs="Arial"/>
          <w:iCs/>
          <w:sz w:val="20"/>
          <w:szCs w:val="20"/>
        </w:rPr>
        <w:t>S</w:t>
      </w:r>
      <w:r w:rsidR="004A0B36" w:rsidRPr="00F46593">
        <w:rPr>
          <w:rFonts w:ascii="Arial" w:hAnsi="Arial" w:cs="Arial"/>
          <w:iCs/>
          <w:sz w:val="20"/>
          <w:szCs w:val="20"/>
        </w:rPr>
        <w:t>) balus:</w:t>
      </w:r>
    </w:p>
    <w:p w14:paraId="1B41C78A" w14:textId="77777777" w:rsidR="008B25DB" w:rsidRPr="00F46593" w:rsidRDefault="008B25DB" w:rsidP="008B25DB">
      <w:pPr>
        <w:pStyle w:val="ListParagraph"/>
        <w:tabs>
          <w:tab w:val="left" w:pos="426"/>
        </w:tabs>
        <w:autoSpaceDE w:val="0"/>
        <w:autoSpaceDN w:val="0"/>
        <w:adjustRightInd w:val="0"/>
        <w:ind w:left="0"/>
        <w:jc w:val="both"/>
        <w:rPr>
          <w:rFonts w:ascii="Arial" w:hAnsi="Arial" w:cs="Arial"/>
          <w:iCs/>
          <w:sz w:val="20"/>
          <w:szCs w:val="20"/>
        </w:rPr>
      </w:pPr>
    </w:p>
    <w:p w14:paraId="021E84BB" w14:textId="4C09CE97" w:rsidR="00AF3638" w:rsidRPr="00F46593" w:rsidRDefault="00112E66" w:rsidP="004F5E6A">
      <w:pPr>
        <w:autoSpaceDE w:val="0"/>
        <w:autoSpaceDN w:val="0"/>
        <w:adjustRightInd w:val="0"/>
        <w:spacing w:after="0" w:line="240" w:lineRule="auto"/>
        <w:jc w:val="center"/>
        <w:rPr>
          <w:rFonts w:ascii="Arial" w:hAnsi="Arial" w:cs="Arial"/>
          <w:iCs/>
          <w:sz w:val="20"/>
          <w:szCs w:val="20"/>
          <w:lang w:val="en-US"/>
        </w:rPr>
      </w:pPr>
      <w:r w:rsidRPr="00F46593">
        <w:rPr>
          <w:rFonts w:ascii="Arial" w:hAnsi="Arial" w:cs="Arial"/>
          <w:iCs/>
          <w:sz w:val="20"/>
          <w:szCs w:val="20"/>
          <w:lang w:val="en-US"/>
        </w:rPr>
        <w:t>N=C+</w:t>
      </w:r>
      <w:r w:rsidR="00845ED4" w:rsidRPr="00F46593">
        <w:rPr>
          <w:rFonts w:ascii="Arial" w:hAnsi="Arial" w:cs="Arial"/>
          <w:iCs/>
          <w:sz w:val="20"/>
          <w:szCs w:val="20"/>
          <w:lang w:val="en-US"/>
        </w:rPr>
        <w:t>D+T+S</w:t>
      </w:r>
    </w:p>
    <w:p w14:paraId="6C348111" w14:textId="77777777" w:rsidR="00845ED4" w:rsidRPr="00F46593" w:rsidRDefault="00845ED4" w:rsidP="00F46593">
      <w:pPr>
        <w:autoSpaceDE w:val="0"/>
        <w:autoSpaceDN w:val="0"/>
        <w:adjustRightInd w:val="0"/>
        <w:spacing w:after="0" w:line="240" w:lineRule="auto"/>
        <w:ind w:firstLine="567"/>
        <w:rPr>
          <w:rFonts w:ascii="Arial" w:hAnsi="Arial" w:cs="Arial"/>
          <w:iCs/>
          <w:sz w:val="20"/>
          <w:szCs w:val="20"/>
          <w:lang w:val="en-US"/>
        </w:rPr>
      </w:pPr>
    </w:p>
    <w:p w14:paraId="74A83402" w14:textId="4FBCB713" w:rsidR="005A2ED4" w:rsidRPr="00F46593" w:rsidRDefault="005A2ED4" w:rsidP="008B25DB">
      <w:pPr>
        <w:pStyle w:val="ListParagraph"/>
        <w:numPr>
          <w:ilvl w:val="0"/>
          <w:numId w:val="7"/>
        </w:numPr>
        <w:tabs>
          <w:tab w:val="left" w:pos="284"/>
        </w:tabs>
        <w:ind w:left="0" w:firstLine="0"/>
        <w:jc w:val="both"/>
        <w:outlineLvl w:val="1"/>
        <w:rPr>
          <w:rFonts w:ascii="Arial" w:hAnsi="Arial" w:cs="Arial"/>
          <w:bCs/>
          <w:iCs/>
          <w:noProof/>
          <w:sz w:val="20"/>
          <w:szCs w:val="20"/>
        </w:rPr>
      </w:pPr>
      <w:r w:rsidRPr="00F46593">
        <w:rPr>
          <w:rFonts w:ascii="Arial" w:hAnsi="Arial" w:cs="Arial"/>
          <w:bCs/>
          <w:iCs/>
          <w:noProof/>
          <w:sz w:val="20"/>
          <w:szCs w:val="20"/>
        </w:rPr>
        <w:t xml:space="preserve">Paslaugų kainos (C) balai apskaičiuojami mažiausios Paslaugų kainos, nurodytos Pasiūlymo formoje priede „Pasiūlymo kaina“ eilutėje „Pasiūlymo kaina EUR be PVM“, </w:t>
      </w:r>
      <w:r w:rsidRPr="00F46593">
        <w:rPr>
          <w:rFonts w:ascii="Arial" w:hAnsi="Arial" w:cs="Arial"/>
          <w:bCs/>
          <w:iCs/>
          <w:sz w:val="20"/>
          <w:szCs w:val="20"/>
        </w:rPr>
        <w:t>(</w:t>
      </w:r>
      <w:proofErr w:type="spellStart"/>
      <w:r w:rsidRPr="00F46593">
        <w:rPr>
          <w:rFonts w:ascii="Arial" w:hAnsi="Arial" w:cs="Arial"/>
          <w:bCs/>
          <w:iCs/>
          <w:sz w:val="20"/>
          <w:szCs w:val="20"/>
        </w:rPr>
        <w:t>C</w:t>
      </w:r>
      <w:r w:rsidRPr="00F46593">
        <w:rPr>
          <w:rFonts w:ascii="Arial" w:hAnsi="Arial" w:cs="Arial"/>
          <w:bCs/>
          <w:iCs/>
          <w:sz w:val="20"/>
          <w:szCs w:val="20"/>
          <w:vertAlign w:val="subscript"/>
        </w:rPr>
        <w:t>min</w:t>
      </w:r>
      <w:proofErr w:type="spellEnd"/>
      <w:r w:rsidRPr="00F46593">
        <w:rPr>
          <w:rFonts w:ascii="Arial" w:hAnsi="Arial" w:cs="Arial"/>
          <w:bCs/>
          <w:iCs/>
          <w:sz w:val="20"/>
          <w:szCs w:val="20"/>
        </w:rPr>
        <w:t>) ir vertinamo pasiūlymo kainos (</w:t>
      </w:r>
      <w:proofErr w:type="spellStart"/>
      <w:r w:rsidRPr="00F46593">
        <w:rPr>
          <w:rFonts w:ascii="Arial" w:hAnsi="Arial" w:cs="Arial"/>
          <w:bCs/>
          <w:iCs/>
          <w:sz w:val="20"/>
          <w:szCs w:val="20"/>
        </w:rPr>
        <w:t>C</w:t>
      </w:r>
      <w:r w:rsidRPr="00F46593">
        <w:rPr>
          <w:rFonts w:ascii="Arial" w:hAnsi="Arial" w:cs="Arial"/>
          <w:bCs/>
          <w:iCs/>
          <w:sz w:val="20"/>
          <w:szCs w:val="20"/>
          <w:vertAlign w:val="subscript"/>
        </w:rPr>
        <w:t>p</w:t>
      </w:r>
      <w:proofErr w:type="spellEnd"/>
      <w:r w:rsidRPr="00F46593">
        <w:rPr>
          <w:rFonts w:ascii="Arial" w:hAnsi="Arial" w:cs="Arial"/>
          <w:bCs/>
          <w:iCs/>
          <w:sz w:val="20"/>
          <w:szCs w:val="20"/>
        </w:rPr>
        <w:t>) santykį padauginant iš vertinamo kriterijaus parametro lyginamojo svorio (X):</w:t>
      </w:r>
    </w:p>
    <w:p w14:paraId="73E0296F" w14:textId="77777777" w:rsidR="005A2ED4" w:rsidRPr="00F46593" w:rsidRDefault="005A2ED4" w:rsidP="00F46593">
      <w:pPr>
        <w:tabs>
          <w:tab w:val="left" w:pos="567"/>
        </w:tabs>
        <w:spacing w:after="0" w:line="240" w:lineRule="auto"/>
        <w:contextualSpacing/>
        <w:jc w:val="both"/>
        <w:outlineLvl w:val="1"/>
        <w:rPr>
          <w:rFonts w:ascii="Arial" w:eastAsia="Times New Roman" w:hAnsi="Arial" w:cs="Arial"/>
          <w:bCs/>
          <w:iCs/>
          <w:noProof/>
          <w:sz w:val="20"/>
          <w:szCs w:val="20"/>
        </w:rPr>
      </w:pPr>
    </w:p>
    <w:p w14:paraId="79A27923" w14:textId="77777777" w:rsidR="005A2ED4" w:rsidRPr="008B25DB" w:rsidRDefault="005A2ED4" w:rsidP="00F46593">
      <w:pPr>
        <w:tabs>
          <w:tab w:val="left" w:pos="0"/>
          <w:tab w:val="left" w:pos="567"/>
        </w:tabs>
        <w:spacing w:after="0" w:line="240" w:lineRule="auto"/>
        <w:contextualSpacing/>
        <w:jc w:val="center"/>
        <w:rPr>
          <w:rFonts w:ascii="Arial" w:eastAsia="Times New Roman" w:hAnsi="Arial" w:cs="Arial"/>
          <w:sz w:val="20"/>
          <w:szCs w:val="20"/>
        </w:rPr>
      </w:pPr>
      <m:oMathPara>
        <m:oMath>
          <m:r>
            <m:rPr>
              <m:sty m:val="p"/>
            </m:rPr>
            <w:rPr>
              <w:rFonts w:ascii="Cambria Math" w:eastAsia="Times New Roman" w:hAnsi="Cambria Math" w:cs="Arial"/>
              <w:sz w:val="20"/>
              <w:szCs w:val="20"/>
            </w:rPr>
            <m:t>C=</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C</m:t>
              </m:r>
              <m:r>
                <m:rPr>
                  <m:sty m:val="p"/>
                </m:rPr>
                <w:rPr>
                  <w:rFonts w:ascii="Cambria Math" w:eastAsia="Times New Roman" w:hAnsi="Cambria Math" w:cs="Arial"/>
                  <w:noProof/>
                  <w:sz w:val="20"/>
                  <w:szCs w:val="20"/>
                </w:rPr>
                <m:t>min</m:t>
              </m:r>
            </m:num>
            <m:den>
              <m:r>
                <m:rPr>
                  <m:sty m:val="p"/>
                </m:rPr>
                <w:rPr>
                  <w:rFonts w:ascii="Cambria Math" w:eastAsia="Times New Roman" w:hAnsi="Cambria Math" w:cs="Arial"/>
                  <w:noProof/>
                  <w:sz w:val="20"/>
                  <w:szCs w:val="20"/>
                </w:rPr>
                <m:t>Cp</m:t>
              </m:r>
            </m:den>
          </m:f>
          <m:r>
            <m:rPr>
              <m:sty m:val="p"/>
            </m:rPr>
            <w:rPr>
              <w:rFonts w:ascii="Cambria Math" w:eastAsia="Times New Roman" w:hAnsi="Cambria Math" w:cs="Arial"/>
              <w:sz w:val="20"/>
              <w:szCs w:val="20"/>
            </w:rPr>
            <m:t xml:space="preserve"> ∙X</m:t>
          </m:r>
        </m:oMath>
      </m:oMathPara>
    </w:p>
    <w:p w14:paraId="1F258A42" w14:textId="77777777" w:rsidR="008B25DB" w:rsidRPr="00F46593" w:rsidRDefault="008B25DB" w:rsidP="00F46593">
      <w:pPr>
        <w:tabs>
          <w:tab w:val="left" w:pos="0"/>
          <w:tab w:val="left" w:pos="567"/>
        </w:tabs>
        <w:spacing w:after="0" w:line="240" w:lineRule="auto"/>
        <w:contextualSpacing/>
        <w:jc w:val="center"/>
        <w:rPr>
          <w:rFonts w:ascii="Arial" w:eastAsia="Times New Roman" w:hAnsi="Arial" w:cs="Arial"/>
          <w:sz w:val="20"/>
          <w:szCs w:val="20"/>
        </w:rPr>
      </w:pPr>
    </w:p>
    <w:p w14:paraId="7A7AFEE0" w14:textId="70735925" w:rsidR="004A0B36" w:rsidRPr="00F46593" w:rsidRDefault="004A0B36" w:rsidP="008B25DB">
      <w:pPr>
        <w:pStyle w:val="ListParagraph"/>
        <w:numPr>
          <w:ilvl w:val="0"/>
          <w:numId w:val="7"/>
        </w:numPr>
        <w:tabs>
          <w:tab w:val="left" w:pos="426"/>
        </w:tabs>
        <w:ind w:left="0" w:firstLine="0"/>
        <w:jc w:val="both"/>
        <w:rPr>
          <w:rFonts w:ascii="Arial" w:hAnsi="Arial" w:cs="Arial"/>
          <w:sz w:val="20"/>
          <w:szCs w:val="20"/>
        </w:rPr>
      </w:pPr>
      <w:r w:rsidRPr="00F46593">
        <w:rPr>
          <w:rFonts w:ascii="Arial" w:hAnsi="Arial" w:cs="Arial"/>
          <w:bCs/>
          <w:sz w:val="20"/>
          <w:szCs w:val="20"/>
        </w:rPr>
        <w:t>Darbo užmokesčio</w:t>
      </w:r>
      <w:r w:rsidRPr="00F46593">
        <w:rPr>
          <w:rFonts w:ascii="Arial" w:hAnsi="Arial" w:cs="Arial"/>
          <w:b/>
          <w:sz w:val="20"/>
          <w:szCs w:val="20"/>
        </w:rPr>
        <w:t xml:space="preserve"> </w:t>
      </w:r>
      <w:r w:rsidRPr="00F46593">
        <w:rPr>
          <w:rFonts w:ascii="Arial" w:hAnsi="Arial" w:cs="Arial"/>
          <w:sz w:val="20"/>
          <w:szCs w:val="20"/>
        </w:rPr>
        <w:t>(D) kriterijaus balas apskaičiuojamas pagal formulę:</w:t>
      </w:r>
    </w:p>
    <w:p w14:paraId="5B90C631" w14:textId="77777777" w:rsidR="004A0B36" w:rsidRPr="00F46593" w:rsidRDefault="004A0B36" w:rsidP="00F46593">
      <w:pPr>
        <w:pStyle w:val="ListParagraph"/>
        <w:ind w:left="0" w:firstLine="709"/>
        <w:rPr>
          <w:rFonts w:ascii="Arial" w:hAnsi="Arial" w:cs="Arial"/>
          <w:b/>
          <w:sz w:val="20"/>
          <w:szCs w:val="20"/>
        </w:rPr>
      </w:pPr>
    </w:p>
    <w:p w14:paraId="04CE0A2D" w14:textId="3F026CFD" w:rsidR="005A2ED4" w:rsidRPr="00F46593" w:rsidRDefault="005A2ED4" w:rsidP="00F46593">
      <w:pPr>
        <w:spacing w:after="0" w:line="240" w:lineRule="auto"/>
        <w:ind w:firstLine="709"/>
        <w:contextualSpacing/>
        <w:jc w:val="both"/>
        <w:rPr>
          <w:rFonts w:ascii="Arial" w:eastAsia="Calibri" w:hAnsi="Arial" w:cs="Arial"/>
          <w:sz w:val="20"/>
          <w:szCs w:val="20"/>
        </w:rPr>
      </w:pPr>
      <m:oMathPara>
        <m:oMath>
          <m:r>
            <m:rPr>
              <m:sty m:val="p"/>
            </m:rPr>
            <w:rPr>
              <w:rFonts w:ascii="Cambria Math" w:eastAsia="Times New Roman" w:hAnsi="Cambria Math" w:cs="Arial"/>
              <w:sz w:val="20"/>
              <w:szCs w:val="20"/>
            </w:rPr>
            <m:t>D=</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Dvirš</m:t>
              </m:r>
            </m:num>
            <m:den>
              <m:r>
                <m:rPr>
                  <m:sty m:val="p"/>
                </m:rPr>
                <w:rPr>
                  <w:rFonts w:ascii="Cambria Math" w:eastAsia="Times New Roman" w:hAnsi="Cambria Math" w:cs="Arial"/>
                  <w:noProof/>
                  <w:sz w:val="20"/>
                  <w:szCs w:val="20"/>
                </w:rPr>
                <m:t>Dmax</m:t>
              </m:r>
            </m:den>
          </m:f>
          <m:r>
            <m:rPr>
              <m:sty m:val="p"/>
            </m:rPr>
            <w:rPr>
              <w:rFonts w:ascii="Cambria Math" w:eastAsia="Times New Roman" w:hAnsi="Cambria Math" w:cs="Arial"/>
              <w:sz w:val="20"/>
              <w:szCs w:val="20"/>
            </w:rPr>
            <m:t xml:space="preserve"> ∙Z</m:t>
          </m:r>
        </m:oMath>
      </m:oMathPara>
    </w:p>
    <w:p w14:paraId="2F71DD13" w14:textId="77777777" w:rsidR="005A2ED4" w:rsidRPr="00F46593" w:rsidRDefault="005A2ED4" w:rsidP="00F46593">
      <w:pPr>
        <w:spacing w:after="0" w:line="240" w:lineRule="auto"/>
        <w:ind w:firstLine="709"/>
        <w:contextualSpacing/>
        <w:jc w:val="both"/>
        <w:rPr>
          <w:rFonts w:ascii="Arial" w:eastAsia="Calibri" w:hAnsi="Arial" w:cs="Arial"/>
          <w:sz w:val="20"/>
          <w:szCs w:val="20"/>
        </w:rPr>
      </w:pPr>
    </w:p>
    <w:p w14:paraId="5886CC57" w14:textId="2BCC67C9" w:rsidR="004A0B36" w:rsidRPr="00F46593" w:rsidRDefault="004A0B36" w:rsidP="00F46593">
      <w:pPr>
        <w:spacing w:after="0" w:line="240" w:lineRule="auto"/>
        <w:ind w:firstLine="709"/>
        <w:jc w:val="both"/>
        <w:rPr>
          <w:rFonts w:ascii="Arial" w:hAnsi="Arial" w:cs="Arial"/>
          <w:sz w:val="20"/>
          <w:szCs w:val="20"/>
        </w:rPr>
      </w:pPr>
      <w:r w:rsidRPr="00F46593">
        <w:rPr>
          <w:rFonts w:ascii="Arial" w:hAnsi="Arial" w:cs="Arial"/>
          <w:i/>
          <w:sz w:val="20"/>
          <w:szCs w:val="20"/>
        </w:rPr>
        <w:t xml:space="preserve">Z = </w:t>
      </w:r>
      <w:r w:rsidR="00CB4BBB">
        <w:rPr>
          <w:rFonts w:ascii="Arial" w:hAnsi="Arial" w:cs="Arial"/>
          <w:i/>
          <w:sz w:val="20"/>
          <w:szCs w:val="20"/>
        </w:rPr>
        <w:t>2</w:t>
      </w:r>
      <w:r w:rsidRPr="00CB4BBB">
        <w:rPr>
          <w:rFonts w:ascii="Arial" w:hAnsi="Arial" w:cs="Arial"/>
          <w:i/>
          <w:sz w:val="20"/>
          <w:szCs w:val="20"/>
        </w:rPr>
        <w:t>5</w:t>
      </w:r>
      <w:r w:rsidRPr="00F46593">
        <w:rPr>
          <w:rFonts w:ascii="Arial" w:hAnsi="Arial" w:cs="Arial"/>
          <w:sz w:val="20"/>
          <w:szCs w:val="20"/>
        </w:rPr>
        <w:t xml:space="preserve"> –</w:t>
      </w:r>
      <w:r w:rsidRPr="00F46593">
        <w:rPr>
          <w:rFonts w:ascii="Arial" w:hAnsi="Arial" w:cs="Arial"/>
          <w:spacing w:val="-5"/>
          <w:sz w:val="20"/>
          <w:szCs w:val="20"/>
        </w:rPr>
        <w:t xml:space="preserve"> siūlomo darbo užmokesčio dalies, viršijančios nustatytą minimalų valandinį darbo užmokestį,</w:t>
      </w:r>
      <w:r w:rsidRPr="00F46593">
        <w:rPr>
          <w:rFonts w:ascii="Arial" w:hAnsi="Arial" w:cs="Arial"/>
          <w:bCs/>
          <w:iCs/>
          <w:sz w:val="20"/>
          <w:szCs w:val="20"/>
        </w:rPr>
        <w:t xml:space="preserve"> lyginamasis svoris</w:t>
      </w:r>
      <w:r w:rsidRPr="00F46593">
        <w:rPr>
          <w:rFonts w:ascii="Arial" w:hAnsi="Arial" w:cs="Arial"/>
          <w:sz w:val="20"/>
          <w:szCs w:val="20"/>
        </w:rPr>
        <w:t>.</w:t>
      </w:r>
    </w:p>
    <w:p w14:paraId="4659FD32" w14:textId="5C463963" w:rsidR="004A0B36" w:rsidRPr="00F46593" w:rsidRDefault="004F282B" w:rsidP="00F46593">
      <w:pPr>
        <w:spacing w:after="0" w:line="240" w:lineRule="auto"/>
        <w:ind w:firstLine="850"/>
        <w:jc w:val="both"/>
        <w:rPr>
          <w:rFonts w:ascii="Arial" w:hAnsi="Arial" w:cs="Arial"/>
          <w:sz w:val="20"/>
          <w:szCs w:val="20"/>
        </w:rPr>
      </w:pPr>
      <w:proofErr w:type="spellStart"/>
      <w:r>
        <w:rPr>
          <w:rFonts w:ascii="Arial" w:hAnsi="Arial" w:cs="Arial"/>
          <w:i/>
          <w:sz w:val="20"/>
          <w:szCs w:val="20"/>
        </w:rPr>
        <w:t>D</w:t>
      </w:r>
      <w:r w:rsidR="004A0B36" w:rsidRPr="00F46593">
        <w:rPr>
          <w:rFonts w:ascii="Arial" w:hAnsi="Arial" w:cs="Arial"/>
          <w:i/>
          <w:sz w:val="20"/>
          <w:szCs w:val="20"/>
          <w:vertAlign w:val="subscript"/>
        </w:rPr>
        <w:t>max</w:t>
      </w:r>
      <w:proofErr w:type="spellEnd"/>
      <w:r w:rsidR="004A0B36" w:rsidRPr="00F46593">
        <w:rPr>
          <w:rFonts w:ascii="Arial" w:hAnsi="Arial" w:cs="Arial"/>
          <w:i/>
          <w:sz w:val="20"/>
          <w:szCs w:val="20"/>
          <w:vertAlign w:val="subscript"/>
        </w:rPr>
        <w:t xml:space="preserve"> </w:t>
      </w:r>
      <w:r w:rsidR="004A0B36" w:rsidRPr="00F46593">
        <w:rPr>
          <w:rFonts w:ascii="Arial" w:hAnsi="Arial" w:cs="Arial"/>
          <w:sz w:val="20"/>
          <w:szCs w:val="20"/>
        </w:rPr>
        <w:t xml:space="preserve">– didžiausias pasiūlytas valandinis </w:t>
      </w:r>
      <w:r w:rsidR="004A0B36" w:rsidRPr="00F46593">
        <w:rPr>
          <w:rFonts w:ascii="Arial" w:hAnsi="Arial" w:cs="Arial"/>
          <w:spacing w:val="-5"/>
          <w:sz w:val="20"/>
          <w:szCs w:val="20"/>
        </w:rPr>
        <w:t>darbo užmokestis (EUR), viršijantis nustatytą minimalų valandinį darbo užmokestį</w:t>
      </w:r>
      <w:r w:rsidR="004A0B36" w:rsidRPr="00F46593">
        <w:rPr>
          <w:rFonts w:ascii="Arial" w:hAnsi="Arial" w:cs="Arial"/>
          <w:sz w:val="20"/>
          <w:szCs w:val="20"/>
        </w:rPr>
        <w:t>;</w:t>
      </w:r>
    </w:p>
    <w:p w14:paraId="05534DF8" w14:textId="531D1566" w:rsidR="004A0B36" w:rsidRPr="00F46593" w:rsidRDefault="004F282B" w:rsidP="00F46593">
      <w:pPr>
        <w:spacing w:after="0" w:line="240" w:lineRule="auto"/>
        <w:ind w:firstLine="851"/>
        <w:jc w:val="both"/>
        <w:rPr>
          <w:rFonts w:ascii="Arial" w:hAnsi="Arial" w:cs="Arial"/>
          <w:bCs/>
          <w:iCs/>
          <w:sz w:val="20"/>
          <w:szCs w:val="20"/>
        </w:rPr>
      </w:pPr>
      <w:proofErr w:type="spellStart"/>
      <w:r>
        <w:rPr>
          <w:rFonts w:ascii="Arial" w:hAnsi="Arial" w:cs="Arial"/>
          <w:i/>
          <w:sz w:val="20"/>
          <w:szCs w:val="20"/>
        </w:rPr>
        <w:t>D</w:t>
      </w:r>
      <w:r w:rsidR="005A2ED4" w:rsidRPr="00F46593">
        <w:rPr>
          <w:rFonts w:ascii="Arial" w:hAnsi="Arial" w:cs="Arial"/>
          <w:i/>
          <w:sz w:val="20"/>
          <w:szCs w:val="20"/>
          <w:vertAlign w:val="subscript"/>
        </w:rPr>
        <w:t>virš</w:t>
      </w:r>
      <w:proofErr w:type="spellEnd"/>
      <w:r w:rsidR="004A0B36" w:rsidRPr="00F46593">
        <w:rPr>
          <w:rFonts w:ascii="Arial" w:hAnsi="Arial" w:cs="Arial"/>
          <w:sz w:val="20"/>
          <w:szCs w:val="20"/>
        </w:rPr>
        <w:t xml:space="preserve"> – tiekėjo vertinamo pasiūlymo valandinis darbo </w:t>
      </w:r>
      <w:r w:rsidR="004A0B36" w:rsidRPr="00F46593">
        <w:rPr>
          <w:rFonts w:ascii="Arial" w:hAnsi="Arial" w:cs="Arial"/>
          <w:spacing w:val="-5"/>
          <w:sz w:val="20"/>
          <w:szCs w:val="20"/>
        </w:rPr>
        <w:t xml:space="preserve"> užmokestis (EUR), viršijantis nustatytą minimalų valandinį darbo užmokestį</w:t>
      </w:r>
      <w:r w:rsidR="004A0B36" w:rsidRPr="00F46593">
        <w:rPr>
          <w:rFonts w:ascii="Arial" w:hAnsi="Arial" w:cs="Arial"/>
          <w:bCs/>
          <w:iCs/>
          <w:sz w:val="20"/>
          <w:szCs w:val="20"/>
        </w:rPr>
        <w:t>.</w:t>
      </w:r>
    </w:p>
    <w:p w14:paraId="67E2DEA9" w14:textId="77777777" w:rsidR="004A0B36" w:rsidRPr="00F46593" w:rsidRDefault="004A0B36" w:rsidP="00F46593">
      <w:pPr>
        <w:spacing w:after="0" w:line="240" w:lineRule="auto"/>
        <w:contextualSpacing/>
        <w:jc w:val="both"/>
        <w:rPr>
          <w:rFonts w:ascii="Arial" w:eastAsia="Calibri" w:hAnsi="Arial" w:cs="Arial"/>
          <w:sz w:val="20"/>
          <w:szCs w:val="20"/>
        </w:rPr>
      </w:pPr>
      <w:r w:rsidRPr="00F46593">
        <w:rPr>
          <w:rFonts w:ascii="Arial" w:eastAsia="Calibri" w:hAnsi="Arial" w:cs="Arial"/>
          <w:iCs/>
          <w:sz w:val="20"/>
          <w:szCs w:val="20"/>
        </w:rPr>
        <w:t xml:space="preserve">Kriterijaus </w:t>
      </w:r>
      <w:r w:rsidRPr="00F46593">
        <w:rPr>
          <w:rFonts w:ascii="Arial" w:eastAsia="Calibri" w:hAnsi="Arial" w:cs="Arial"/>
          <w:sz w:val="20"/>
          <w:szCs w:val="20"/>
        </w:rPr>
        <w:t>(D) balas suapvalinamas iki dviejų skaičių po kablelio.</w:t>
      </w:r>
    </w:p>
    <w:p w14:paraId="0584E2BF" w14:textId="4717CA8F" w:rsidR="004A0B36" w:rsidRPr="00F46593" w:rsidRDefault="004A0B36" w:rsidP="00F46593">
      <w:pPr>
        <w:spacing w:after="0" w:line="240" w:lineRule="auto"/>
        <w:contextualSpacing/>
        <w:jc w:val="both"/>
        <w:rPr>
          <w:rFonts w:ascii="Arial" w:eastAsia="Calibri" w:hAnsi="Arial" w:cs="Arial"/>
          <w:sz w:val="20"/>
          <w:szCs w:val="20"/>
        </w:rPr>
      </w:pPr>
      <w:r w:rsidRPr="00F46593">
        <w:rPr>
          <w:rFonts w:ascii="Arial" w:hAnsi="Arial" w:cs="Arial"/>
          <w:i/>
          <w:sz w:val="20"/>
          <w:szCs w:val="20"/>
        </w:rPr>
        <w:t xml:space="preserve">Jei </w:t>
      </w:r>
      <w:proofErr w:type="spellStart"/>
      <w:r w:rsidR="004F282B">
        <w:rPr>
          <w:rFonts w:ascii="Arial" w:hAnsi="Arial" w:cs="Arial"/>
          <w:i/>
          <w:sz w:val="20"/>
          <w:szCs w:val="20"/>
        </w:rPr>
        <w:t>D</w:t>
      </w:r>
      <w:r w:rsidRPr="00F46593">
        <w:rPr>
          <w:rFonts w:ascii="Arial" w:hAnsi="Arial" w:cs="Arial"/>
          <w:i/>
          <w:sz w:val="20"/>
          <w:szCs w:val="20"/>
          <w:vertAlign w:val="subscript"/>
        </w:rPr>
        <w:t>max</w:t>
      </w:r>
      <w:proofErr w:type="spellEnd"/>
      <w:r w:rsidRPr="00F46593">
        <w:rPr>
          <w:rFonts w:ascii="Arial" w:hAnsi="Arial" w:cs="Arial"/>
          <w:i/>
          <w:sz w:val="20"/>
          <w:szCs w:val="20"/>
          <w:vertAlign w:val="subscript"/>
        </w:rPr>
        <w:t xml:space="preserve"> </w:t>
      </w:r>
      <w:r w:rsidRPr="00F46593">
        <w:rPr>
          <w:rFonts w:ascii="Arial" w:hAnsi="Arial" w:cs="Arial"/>
          <w:sz w:val="20"/>
          <w:szCs w:val="20"/>
        </w:rPr>
        <w:t xml:space="preserve"> ir (ar) </w:t>
      </w:r>
      <w:r w:rsidR="004F282B">
        <w:rPr>
          <w:rFonts w:ascii="Arial" w:hAnsi="Arial" w:cs="Arial"/>
          <w:i/>
          <w:sz w:val="20"/>
          <w:szCs w:val="20"/>
        </w:rPr>
        <w:t>D</w:t>
      </w:r>
      <w:r w:rsidRPr="00F46593">
        <w:rPr>
          <w:rFonts w:ascii="Arial" w:hAnsi="Arial" w:cs="Arial"/>
          <w:i/>
          <w:sz w:val="20"/>
          <w:szCs w:val="20"/>
          <w:vertAlign w:val="subscript"/>
        </w:rPr>
        <w:t>VIRŠ</w:t>
      </w:r>
      <w:r w:rsidRPr="00F46593">
        <w:rPr>
          <w:rFonts w:ascii="Arial" w:hAnsi="Arial" w:cs="Arial"/>
          <w:sz w:val="20"/>
          <w:szCs w:val="20"/>
        </w:rPr>
        <w:t xml:space="preserve"> yra lygi 0 (nuliui) – pasiūlymas už šį kriterijų gauna 0 balų.</w:t>
      </w:r>
    </w:p>
    <w:p w14:paraId="55FB7BB2" w14:textId="77777777" w:rsidR="004A0B36" w:rsidRPr="00F46593" w:rsidRDefault="004A0B36" w:rsidP="00F46593">
      <w:pPr>
        <w:tabs>
          <w:tab w:val="left" w:pos="426"/>
        </w:tabs>
        <w:spacing w:after="0" w:line="240" w:lineRule="auto"/>
        <w:jc w:val="both"/>
        <w:rPr>
          <w:rFonts w:ascii="Arial" w:hAnsi="Arial" w:cs="Arial"/>
          <w:sz w:val="20"/>
          <w:szCs w:val="20"/>
        </w:rPr>
      </w:pPr>
    </w:p>
    <w:p w14:paraId="2BC5525A" w14:textId="77777777" w:rsidR="004A0B36" w:rsidRPr="00F46593" w:rsidRDefault="004A0B36" w:rsidP="00F46593">
      <w:pPr>
        <w:tabs>
          <w:tab w:val="left" w:pos="426"/>
        </w:tabs>
        <w:spacing w:after="0" w:line="240" w:lineRule="auto"/>
        <w:jc w:val="both"/>
        <w:rPr>
          <w:rFonts w:ascii="Arial" w:hAnsi="Arial" w:cs="Arial"/>
          <w:sz w:val="20"/>
          <w:szCs w:val="20"/>
        </w:rPr>
      </w:pPr>
      <w:r w:rsidRPr="00F46593">
        <w:rPr>
          <w:rFonts w:ascii="Arial" w:hAnsi="Arial" w:cs="Arial"/>
          <w:sz w:val="20"/>
          <w:szCs w:val="20"/>
        </w:rPr>
        <w:t>Vertinama:</w:t>
      </w:r>
    </w:p>
    <w:p w14:paraId="4BF515BF" w14:textId="25FDDB2F" w:rsidR="004A0B36" w:rsidRPr="00F46593" w:rsidRDefault="004A0B36" w:rsidP="00F46593">
      <w:pPr>
        <w:tabs>
          <w:tab w:val="left" w:pos="426"/>
        </w:tabs>
        <w:spacing w:after="0" w:line="240" w:lineRule="auto"/>
        <w:jc w:val="both"/>
        <w:rPr>
          <w:rFonts w:ascii="Arial" w:hAnsi="Arial" w:cs="Arial"/>
          <w:sz w:val="20"/>
          <w:szCs w:val="20"/>
        </w:rPr>
      </w:pPr>
      <w:r w:rsidRPr="00F46593">
        <w:rPr>
          <w:rFonts w:ascii="Arial" w:hAnsi="Arial" w:cs="Arial"/>
          <w:sz w:val="20"/>
          <w:szCs w:val="20"/>
        </w:rPr>
        <w:t xml:space="preserve">-kokiu dydžiu, eurais, Tiekėjo siūlomas valandinis darbo užmokestis pirkimo sutartį vykdysiantiems darbuotojams (neįtraukiant </w:t>
      </w:r>
      <w:r w:rsidRPr="000E4A3B">
        <w:rPr>
          <w:rFonts w:ascii="Arial" w:hAnsi="Arial" w:cs="Arial"/>
          <w:sz w:val="20"/>
          <w:szCs w:val="20"/>
        </w:rPr>
        <w:t xml:space="preserve">vadybos, priežiūros ir kontrolės paslaugas teiksiančių darbuotojų atlyginimų, įtraukiant tik tiesioginius </w:t>
      </w:r>
      <w:r w:rsidR="00C26AAD" w:rsidRPr="000E4A3B">
        <w:rPr>
          <w:rFonts w:ascii="Arial" w:hAnsi="Arial" w:cs="Arial"/>
          <w:sz w:val="20"/>
          <w:szCs w:val="20"/>
        </w:rPr>
        <w:t xml:space="preserve">fizinės apsaugos </w:t>
      </w:r>
      <w:r w:rsidRPr="000E4A3B">
        <w:rPr>
          <w:rFonts w:ascii="Arial" w:hAnsi="Arial" w:cs="Arial"/>
          <w:sz w:val="20"/>
          <w:szCs w:val="20"/>
        </w:rPr>
        <w:t>paslaugas atliekančius darbuotojus) viršija Lietuvos Respublikos Vyriausybės patvirtintą (įsigaliojantį nuo 202</w:t>
      </w:r>
      <w:r w:rsidR="00C26AAD" w:rsidRPr="000E4A3B">
        <w:rPr>
          <w:rFonts w:ascii="Arial" w:hAnsi="Arial" w:cs="Arial"/>
          <w:sz w:val="20"/>
          <w:szCs w:val="20"/>
        </w:rPr>
        <w:t>6</w:t>
      </w:r>
      <w:r w:rsidRPr="000E4A3B">
        <w:rPr>
          <w:rFonts w:ascii="Arial" w:hAnsi="Arial" w:cs="Arial"/>
          <w:sz w:val="20"/>
          <w:szCs w:val="20"/>
        </w:rPr>
        <w:t xml:space="preserve">-01-01) minimalų valandinį darbo užmokestį, t. y. vertinamas (palyginamas) Tiekėjo Pasiūlyme nurodytas dydis </w:t>
      </w:r>
      <w:r w:rsidRPr="000E4A3B">
        <w:rPr>
          <w:rFonts w:ascii="Arial" w:hAnsi="Arial" w:cs="Arial"/>
          <w:i/>
          <w:sz w:val="20"/>
          <w:szCs w:val="20"/>
        </w:rPr>
        <w:t>MA</w:t>
      </w:r>
      <w:r w:rsidRPr="000E4A3B">
        <w:rPr>
          <w:rFonts w:ascii="Arial" w:hAnsi="Arial" w:cs="Arial"/>
          <w:i/>
          <w:sz w:val="20"/>
          <w:szCs w:val="20"/>
          <w:vertAlign w:val="subscript"/>
        </w:rPr>
        <w:t>VIRŠ</w:t>
      </w:r>
      <w:r w:rsidRPr="000E4A3B">
        <w:rPr>
          <w:rFonts w:ascii="Arial" w:hAnsi="Arial" w:cs="Arial"/>
          <w:sz w:val="20"/>
          <w:szCs w:val="20"/>
        </w:rPr>
        <w:t>.</w:t>
      </w:r>
    </w:p>
    <w:p w14:paraId="14500C11" w14:textId="77777777" w:rsidR="004A0B36" w:rsidRPr="000E4A3B" w:rsidRDefault="004A0B36" w:rsidP="00F46593">
      <w:pPr>
        <w:tabs>
          <w:tab w:val="left" w:pos="426"/>
        </w:tabs>
        <w:spacing w:after="0" w:line="240" w:lineRule="auto"/>
        <w:jc w:val="both"/>
        <w:rPr>
          <w:rFonts w:ascii="Arial" w:hAnsi="Arial" w:cs="Arial"/>
          <w:sz w:val="20"/>
          <w:szCs w:val="20"/>
        </w:rPr>
      </w:pPr>
      <w:r w:rsidRPr="00F46593">
        <w:rPr>
          <w:rFonts w:ascii="Arial" w:hAnsi="Arial" w:cs="Arial"/>
          <w:sz w:val="20"/>
          <w:szCs w:val="20"/>
        </w:rPr>
        <w:lastRenderedPageBreak/>
        <w:t>Tuo atveju, jei pasiūlymo vertinimo metu Tiekėjo pasiūlymas už šį vertinimo kriterijų gaus papildomų balų, Pirkimo laimėjimo atveju tiekėjas įsipareigos visą Pirkimo sutarties laikotarpį užtikrinti, kad kiekvieno Pirkimo sutartį vykdysiančio darbuotojo, įskaitant ūkio subjektų, kurių pajėgumais tiekėjas remiasi, darbuotojus, mėnesio valandinio darbo užmokesčio (pilno etato, neatskaičius mokesčių) dydis Pasiūlyme nurodytu dydžiu viršys minimalų valan</w:t>
      </w:r>
      <w:r w:rsidRPr="000E4A3B">
        <w:rPr>
          <w:rFonts w:ascii="Arial" w:hAnsi="Arial" w:cs="Arial"/>
          <w:sz w:val="20"/>
          <w:szCs w:val="20"/>
        </w:rPr>
        <w:t>dinį darbo užmokestį. Sutartyje bus numatyta teisė Pirkėjui tikrinti šių įsipareigojimų vykdymą ir nustatytos sankcijos už tiekėjo prisiimtų įsipareigojimų nesilaikymą.</w:t>
      </w:r>
    </w:p>
    <w:p w14:paraId="3EC303DF" w14:textId="77777777" w:rsidR="004F5E6A" w:rsidRPr="000E4A3B" w:rsidRDefault="004F5E6A" w:rsidP="00F46593">
      <w:pPr>
        <w:tabs>
          <w:tab w:val="left" w:pos="426"/>
        </w:tabs>
        <w:spacing w:after="0" w:line="240" w:lineRule="auto"/>
        <w:jc w:val="both"/>
        <w:rPr>
          <w:rFonts w:ascii="Arial" w:hAnsi="Arial" w:cs="Arial"/>
          <w:sz w:val="20"/>
          <w:szCs w:val="20"/>
        </w:rPr>
      </w:pPr>
    </w:p>
    <w:p w14:paraId="7487B9BC" w14:textId="77777777" w:rsidR="000A4C98" w:rsidRPr="000E4A3B" w:rsidRDefault="004A0B36" w:rsidP="004F5E6A">
      <w:pPr>
        <w:pStyle w:val="ListParagraph"/>
        <w:numPr>
          <w:ilvl w:val="0"/>
          <w:numId w:val="7"/>
        </w:numPr>
        <w:tabs>
          <w:tab w:val="left" w:pos="284"/>
        </w:tabs>
        <w:ind w:left="0" w:firstLine="0"/>
        <w:jc w:val="both"/>
        <w:rPr>
          <w:rFonts w:ascii="Arial" w:hAnsi="Arial" w:cs="Arial"/>
          <w:sz w:val="20"/>
          <w:szCs w:val="20"/>
        </w:rPr>
      </w:pPr>
      <w:r w:rsidRPr="000E4A3B">
        <w:rPr>
          <w:rFonts w:ascii="Arial" w:hAnsi="Arial" w:cs="Arial"/>
          <w:noProof/>
          <w:sz w:val="20"/>
          <w:szCs w:val="20"/>
        </w:rPr>
        <w:t>Tiekimo grandinės valdymo (T) balai suteikiami</w:t>
      </w:r>
      <w:r w:rsidR="000A4C98" w:rsidRPr="000E4A3B">
        <w:rPr>
          <w:rFonts w:ascii="Arial" w:hAnsi="Arial" w:cs="Arial"/>
          <w:noProof/>
          <w:sz w:val="20"/>
          <w:szCs w:val="20"/>
        </w:rPr>
        <w:t>:</w:t>
      </w:r>
    </w:p>
    <w:p w14:paraId="0ABB0747" w14:textId="006B184F" w:rsidR="00F60B60" w:rsidRPr="000E4A3B" w:rsidRDefault="00F60B60" w:rsidP="004F5E6A">
      <w:pPr>
        <w:pStyle w:val="ListParagraph"/>
        <w:numPr>
          <w:ilvl w:val="1"/>
          <w:numId w:val="7"/>
        </w:numPr>
        <w:tabs>
          <w:tab w:val="left" w:pos="142"/>
          <w:tab w:val="left" w:pos="284"/>
          <w:tab w:val="left" w:pos="360"/>
          <w:tab w:val="left" w:pos="426"/>
          <w:tab w:val="left" w:pos="709"/>
        </w:tabs>
        <w:ind w:left="284" w:firstLine="0"/>
        <w:rPr>
          <w:rFonts w:ascii="Arial" w:hAnsi="Arial" w:cs="Arial"/>
          <w:iCs/>
          <w:sz w:val="20"/>
          <w:szCs w:val="20"/>
        </w:rPr>
      </w:pPr>
      <w:r w:rsidRPr="000E4A3B">
        <w:rPr>
          <w:rFonts w:ascii="Arial" w:hAnsi="Arial" w:cs="Arial"/>
          <w:iCs/>
          <w:sz w:val="20"/>
          <w:szCs w:val="20"/>
        </w:rPr>
        <w:t xml:space="preserve">Tiekėjui pateikusiam </w:t>
      </w:r>
      <w:r w:rsidRPr="000E4A3B">
        <w:rPr>
          <w:rFonts w:ascii="Arial" w:hAnsi="Arial" w:cs="Arial"/>
          <w:sz w:val="20"/>
          <w:szCs w:val="20"/>
        </w:rPr>
        <w:t xml:space="preserve">tiekimo grandinės valdymo reikalavimus įrodančius dokumentus pagal 2 lentelėje keliamą reikalavimą skiriami </w:t>
      </w:r>
      <w:r w:rsidR="000E4A3B" w:rsidRPr="000E4A3B">
        <w:rPr>
          <w:rFonts w:ascii="Arial" w:hAnsi="Arial" w:cs="Arial"/>
          <w:sz w:val="20"/>
          <w:szCs w:val="20"/>
        </w:rPr>
        <w:t>5</w:t>
      </w:r>
      <w:r w:rsidRPr="000E4A3B">
        <w:rPr>
          <w:rFonts w:ascii="Arial" w:hAnsi="Arial" w:cs="Arial"/>
          <w:sz w:val="20"/>
          <w:szCs w:val="20"/>
        </w:rPr>
        <w:t xml:space="preserve"> (</w:t>
      </w:r>
      <w:r w:rsidR="00A42260" w:rsidRPr="000E4A3B">
        <w:rPr>
          <w:rFonts w:ascii="Arial" w:hAnsi="Arial" w:cs="Arial"/>
          <w:sz w:val="20"/>
          <w:szCs w:val="20"/>
        </w:rPr>
        <w:t>5</w:t>
      </w:r>
      <w:r w:rsidRPr="000E4A3B">
        <w:rPr>
          <w:rFonts w:ascii="Arial" w:hAnsi="Arial" w:cs="Arial"/>
          <w:sz w:val="20"/>
          <w:szCs w:val="20"/>
        </w:rPr>
        <w:t>) balai.</w:t>
      </w:r>
    </w:p>
    <w:p w14:paraId="4412E57E" w14:textId="5A103F80" w:rsidR="00F60B60" w:rsidRPr="000E4A3B" w:rsidRDefault="00F60B60" w:rsidP="004F5E6A">
      <w:pPr>
        <w:pStyle w:val="ListParagraph"/>
        <w:numPr>
          <w:ilvl w:val="1"/>
          <w:numId w:val="7"/>
        </w:numPr>
        <w:tabs>
          <w:tab w:val="left" w:pos="142"/>
          <w:tab w:val="left" w:pos="284"/>
          <w:tab w:val="left" w:pos="360"/>
          <w:tab w:val="left" w:pos="426"/>
          <w:tab w:val="left" w:pos="709"/>
        </w:tabs>
        <w:ind w:left="284" w:firstLine="0"/>
        <w:rPr>
          <w:rFonts w:ascii="Arial" w:hAnsi="Arial" w:cs="Arial"/>
          <w:iCs/>
          <w:sz w:val="20"/>
          <w:szCs w:val="20"/>
        </w:rPr>
      </w:pPr>
      <w:r w:rsidRPr="000E4A3B">
        <w:rPr>
          <w:rFonts w:ascii="Arial" w:hAnsi="Arial" w:cs="Arial"/>
          <w:iCs/>
          <w:sz w:val="20"/>
          <w:szCs w:val="20"/>
        </w:rPr>
        <w:t>Tiekėjui nepateikusiam tiekimo grandinės valdymo</w:t>
      </w:r>
      <w:r w:rsidRPr="000E4A3B">
        <w:rPr>
          <w:rFonts w:ascii="Arial" w:hAnsi="Arial" w:cs="Arial"/>
          <w:sz w:val="20"/>
          <w:szCs w:val="20"/>
        </w:rPr>
        <w:t xml:space="preserve"> reikalavimų įrodančių dokumentų pagal 2 lentelėje keliamą reikalavimą skiriama 0 (nulis) balų.</w:t>
      </w:r>
    </w:p>
    <w:p w14:paraId="4FEA5000" w14:textId="77777777" w:rsidR="000A4C98" w:rsidRPr="000E4A3B" w:rsidRDefault="000A4C98" w:rsidP="00F46593">
      <w:pPr>
        <w:pStyle w:val="ListParagraph"/>
        <w:tabs>
          <w:tab w:val="left" w:pos="426"/>
          <w:tab w:val="left" w:pos="567"/>
        </w:tabs>
        <w:ind w:left="0"/>
        <w:jc w:val="both"/>
        <w:rPr>
          <w:rFonts w:ascii="Arial" w:hAnsi="Arial" w:cs="Arial"/>
          <w:sz w:val="20"/>
          <w:szCs w:val="20"/>
        </w:rPr>
      </w:pPr>
    </w:p>
    <w:p w14:paraId="7122B279" w14:textId="77777777" w:rsidR="000A4C98" w:rsidRPr="000E4A3B" w:rsidRDefault="000A4C98" w:rsidP="00F46593">
      <w:pPr>
        <w:pStyle w:val="ListParagraph"/>
        <w:tabs>
          <w:tab w:val="left" w:pos="426"/>
          <w:tab w:val="left" w:pos="567"/>
        </w:tabs>
        <w:ind w:left="0"/>
        <w:jc w:val="both"/>
        <w:rPr>
          <w:rFonts w:ascii="Arial" w:hAnsi="Arial" w:cs="Arial"/>
          <w:sz w:val="20"/>
          <w:szCs w:val="20"/>
        </w:rPr>
      </w:pPr>
    </w:p>
    <w:p w14:paraId="69956614" w14:textId="24117339" w:rsidR="008A2C17" w:rsidRPr="000E4A3B" w:rsidRDefault="008A2C17" w:rsidP="00F46593">
      <w:pPr>
        <w:pStyle w:val="ListParagraph"/>
        <w:tabs>
          <w:tab w:val="left" w:pos="284"/>
        </w:tabs>
        <w:jc w:val="right"/>
        <w:rPr>
          <w:rFonts w:ascii="Arial" w:hAnsi="Arial" w:cs="Arial"/>
          <w:i/>
          <w:iCs/>
          <w:sz w:val="20"/>
          <w:szCs w:val="20"/>
          <w:u w:val="single"/>
        </w:rPr>
      </w:pPr>
      <w:r w:rsidRPr="000E4A3B">
        <w:rPr>
          <w:rFonts w:ascii="Arial" w:hAnsi="Arial" w:cs="Arial"/>
          <w:i/>
          <w:iCs/>
          <w:sz w:val="20"/>
          <w:szCs w:val="20"/>
          <w:u w:val="single"/>
        </w:rPr>
        <w:t>2 lentelė. Tiekimo grandinės valdymo (T) kriterijus</w:t>
      </w:r>
    </w:p>
    <w:tbl>
      <w:tblPr>
        <w:tblStyle w:val="TableGrid"/>
        <w:tblW w:w="0" w:type="auto"/>
        <w:tblLook w:val="04A0" w:firstRow="1" w:lastRow="0" w:firstColumn="1" w:lastColumn="0" w:noHBand="0" w:noVBand="1"/>
      </w:tblPr>
      <w:tblGrid>
        <w:gridCol w:w="4390"/>
        <w:gridCol w:w="5238"/>
      </w:tblGrid>
      <w:tr w:rsidR="00F46593" w:rsidRPr="000E4A3B" w14:paraId="33E367E8" w14:textId="77777777" w:rsidTr="00885FDF">
        <w:tc>
          <w:tcPr>
            <w:tcW w:w="4390" w:type="dxa"/>
            <w:shd w:val="clear" w:color="auto" w:fill="E7E6E6" w:themeFill="background2"/>
          </w:tcPr>
          <w:p w14:paraId="2379EE13" w14:textId="77777777" w:rsidR="008A2C17" w:rsidRPr="000E4A3B" w:rsidRDefault="008A2C17" w:rsidP="00F46593">
            <w:pPr>
              <w:tabs>
                <w:tab w:val="left" w:pos="284"/>
                <w:tab w:val="left" w:pos="426"/>
                <w:tab w:val="left" w:pos="7655"/>
              </w:tabs>
              <w:jc w:val="center"/>
              <w:rPr>
                <w:rFonts w:ascii="Arial" w:hAnsi="Arial" w:cs="Arial"/>
                <w:b/>
                <w:bCs/>
              </w:rPr>
            </w:pPr>
            <w:r w:rsidRPr="000E4A3B">
              <w:rPr>
                <w:rFonts w:ascii="Arial" w:hAnsi="Arial" w:cs="Arial"/>
                <w:b/>
                <w:bCs/>
              </w:rPr>
              <w:t>Reikalavimas</w:t>
            </w:r>
          </w:p>
        </w:tc>
        <w:tc>
          <w:tcPr>
            <w:tcW w:w="5238" w:type="dxa"/>
            <w:shd w:val="clear" w:color="auto" w:fill="E7E6E6" w:themeFill="background2"/>
          </w:tcPr>
          <w:p w14:paraId="17AF1C75" w14:textId="77777777" w:rsidR="008A2C17" w:rsidRPr="000E4A3B" w:rsidRDefault="008A2C17" w:rsidP="00F46593">
            <w:pPr>
              <w:tabs>
                <w:tab w:val="left" w:pos="284"/>
                <w:tab w:val="left" w:pos="426"/>
                <w:tab w:val="left" w:pos="7655"/>
              </w:tabs>
              <w:jc w:val="center"/>
              <w:rPr>
                <w:rFonts w:ascii="Arial" w:hAnsi="Arial" w:cs="Arial"/>
                <w:b/>
                <w:bCs/>
              </w:rPr>
            </w:pPr>
            <w:r w:rsidRPr="000E4A3B">
              <w:rPr>
                <w:rFonts w:ascii="Arial" w:hAnsi="Arial" w:cs="Arial"/>
                <w:b/>
                <w:bCs/>
              </w:rPr>
              <w:t>Atitiktį įrodantys dokumentai</w:t>
            </w:r>
          </w:p>
        </w:tc>
      </w:tr>
      <w:tr w:rsidR="00F46593" w:rsidRPr="000E4A3B" w14:paraId="12DCBB09" w14:textId="77777777" w:rsidTr="00885FDF">
        <w:tc>
          <w:tcPr>
            <w:tcW w:w="4390" w:type="dxa"/>
            <w:vAlign w:val="center"/>
          </w:tcPr>
          <w:p w14:paraId="04241610" w14:textId="710E955A" w:rsidR="00885FDF" w:rsidRPr="000E4A3B" w:rsidRDefault="00885FDF" w:rsidP="00F46593">
            <w:pPr>
              <w:jc w:val="both"/>
              <w:rPr>
                <w:rFonts w:ascii="Arial" w:hAnsi="Arial" w:cs="Arial"/>
                <w:b/>
                <w:bCs/>
              </w:rPr>
            </w:pPr>
            <w:r w:rsidRPr="000E4A3B">
              <w:rPr>
                <w:rStyle w:val="font1431"/>
                <w:rFonts w:ascii="Arial" w:hAnsi="Arial" w:cs="Arial"/>
                <w:color w:val="auto"/>
                <w:sz w:val="20"/>
                <w:szCs w:val="20"/>
              </w:rPr>
              <w:t>Tiekėjas turi patvirtintą</w:t>
            </w:r>
            <w:r w:rsidRPr="000E4A3B">
              <w:rPr>
                <w:rStyle w:val="font1441"/>
                <w:rFonts w:ascii="Arial" w:hAnsi="Arial" w:cs="Arial"/>
                <w:color w:val="auto"/>
                <w:sz w:val="20"/>
                <w:szCs w:val="20"/>
              </w:rPr>
              <w:t xml:space="preserve"> tiekėjų etikos kodeksą</w:t>
            </w:r>
            <w:r w:rsidRPr="000E4A3B">
              <w:rPr>
                <w:rStyle w:val="font1431"/>
                <w:rFonts w:ascii="Arial" w:hAnsi="Arial" w:cs="Arial"/>
                <w:color w:val="auto"/>
                <w:sz w:val="20"/>
                <w:szCs w:val="20"/>
              </w:rPr>
              <w:t>, kuriame nustatyti reikalavimai jo tiekėjui (-</w:t>
            </w:r>
            <w:proofErr w:type="spellStart"/>
            <w:r w:rsidRPr="000E4A3B">
              <w:rPr>
                <w:rStyle w:val="font1431"/>
                <w:rFonts w:ascii="Arial" w:hAnsi="Arial" w:cs="Arial"/>
                <w:color w:val="auto"/>
                <w:sz w:val="20"/>
                <w:szCs w:val="20"/>
              </w:rPr>
              <w:t>ams</w:t>
            </w:r>
            <w:proofErr w:type="spellEnd"/>
            <w:r w:rsidRPr="000E4A3B">
              <w:rPr>
                <w:rStyle w:val="font1431"/>
                <w:rFonts w:ascii="Arial" w:hAnsi="Arial" w:cs="Arial"/>
                <w:color w:val="auto"/>
                <w:sz w:val="20"/>
                <w:szCs w:val="20"/>
              </w:rPr>
              <w:t>) aplinkosaugos, socialinės atsakomybes, verslo etikos ir valdysenos srityse. Tiekėjų etikos kodeksą taikys Sutarties vykdymo laikotarpiu.</w:t>
            </w:r>
          </w:p>
        </w:tc>
        <w:tc>
          <w:tcPr>
            <w:tcW w:w="5238" w:type="dxa"/>
          </w:tcPr>
          <w:p w14:paraId="01F0EDBA" w14:textId="578488C4" w:rsidR="00885FDF" w:rsidRPr="000E4A3B" w:rsidRDefault="00885FDF" w:rsidP="00F46593">
            <w:pPr>
              <w:pStyle w:val="ListParagraph"/>
              <w:tabs>
                <w:tab w:val="left" w:pos="259"/>
              </w:tabs>
              <w:ind w:left="0"/>
              <w:jc w:val="both"/>
              <w:rPr>
                <w:rFonts w:ascii="Arial" w:hAnsi="Arial" w:cs="Arial"/>
                <w:b/>
                <w:bCs/>
                <w:sz w:val="20"/>
                <w:szCs w:val="20"/>
              </w:rPr>
            </w:pPr>
            <w:r w:rsidRPr="000E4A3B">
              <w:rPr>
                <w:rFonts w:ascii="Arial" w:hAnsi="Arial" w:cs="Arial"/>
                <w:sz w:val="20"/>
                <w:szCs w:val="20"/>
              </w:rPr>
              <w:t xml:space="preserve">Tiekėjo patvirtintas Tiekėjų etikos kodekso ir/ar lygiaverčio dokumento, kuris atitinka nustatytus reikalavimus, kopija, arba kitas lygiavertis įrodymas (pvz. internetinės svetainės adresas, kur galima būtų susipažinti su tiekėjo etikos kodeksu). </w:t>
            </w:r>
          </w:p>
        </w:tc>
      </w:tr>
    </w:tbl>
    <w:p w14:paraId="318C9B08" w14:textId="77777777" w:rsidR="00F60B60" w:rsidRPr="000E4A3B" w:rsidRDefault="00F60B60" w:rsidP="00F46593">
      <w:pPr>
        <w:pStyle w:val="ListParagraph"/>
        <w:tabs>
          <w:tab w:val="left" w:pos="426"/>
          <w:tab w:val="left" w:pos="567"/>
        </w:tabs>
        <w:ind w:left="0"/>
        <w:jc w:val="both"/>
        <w:rPr>
          <w:rFonts w:ascii="Arial" w:hAnsi="Arial" w:cs="Arial"/>
          <w:sz w:val="20"/>
          <w:szCs w:val="20"/>
        </w:rPr>
      </w:pPr>
    </w:p>
    <w:p w14:paraId="154E17F1" w14:textId="2B674361" w:rsidR="00B321E5" w:rsidRPr="000E4A3B" w:rsidRDefault="00B321E5" w:rsidP="004F5E6A">
      <w:pPr>
        <w:pStyle w:val="ListParagraph"/>
        <w:numPr>
          <w:ilvl w:val="0"/>
          <w:numId w:val="7"/>
        </w:numPr>
        <w:tabs>
          <w:tab w:val="left" w:pos="284"/>
          <w:tab w:val="left" w:pos="426"/>
          <w:tab w:val="left" w:pos="567"/>
        </w:tabs>
        <w:ind w:left="0" w:firstLine="0"/>
        <w:jc w:val="both"/>
        <w:rPr>
          <w:rFonts w:ascii="Arial" w:hAnsi="Arial" w:cs="Arial"/>
          <w:sz w:val="20"/>
          <w:szCs w:val="20"/>
        </w:rPr>
      </w:pPr>
      <w:r w:rsidRPr="000E4A3B">
        <w:rPr>
          <w:rFonts w:ascii="Arial" w:hAnsi="Arial" w:cs="Arial"/>
          <w:sz w:val="20"/>
          <w:szCs w:val="20"/>
        </w:rPr>
        <w:t>Saugios, darbuotojų sveikatą ir orumą užtikrinančių darbo sąlygų (S) balai suteikiami:</w:t>
      </w:r>
    </w:p>
    <w:p w14:paraId="6FF946EC" w14:textId="19F8500D" w:rsidR="00B321E5" w:rsidRPr="000E4A3B" w:rsidRDefault="00B321E5" w:rsidP="004F5E6A">
      <w:pPr>
        <w:pStyle w:val="ListParagraph"/>
        <w:numPr>
          <w:ilvl w:val="1"/>
          <w:numId w:val="7"/>
        </w:numPr>
        <w:tabs>
          <w:tab w:val="left" w:pos="142"/>
          <w:tab w:val="left" w:pos="284"/>
          <w:tab w:val="left" w:pos="360"/>
          <w:tab w:val="left" w:pos="709"/>
        </w:tabs>
        <w:ind w:left="284" w:firstLine="0"/>
        <w:rPr>
          <w:rFonts w:ascii="Arial" w:hAnsi="Arial" w:cs="Arial"/>
          <w:iCs/>
          <w:sz w:val="20"/>
          <w:szCs w:val="20"/>
        </w:rPr>
      </w:pPr>
      <w:r w:rsidRPr="000E4A3B">
        <w:rPr>
          <w:rFonts w:ascii="Arial" w:hAnsi="Arial" w:cs="Arial"/>
          <w:iCs/>
          <w:sz w:val="20"/>
          <w:szCs w:val="20"/>
        </w:rPr>
        <w:t xml:space="preserve">Tiekėjui pateikusiam </w:t>
      </w:r>
      <w:r w:rsidRPr="000E4A3B">
        <w:rPr>
          <w:rFonts w:ascii="Arial" w:hAnsi="Arial" w:cs="Arial"/>
          <w:sz w:val="20"/>
          <w:szCs w:val="20"/>
        </w:rPr>
        <w:t xml:space="preserve">darbuotojų sveikatos ir saugos vadybos sistemos reikalavimus įrodančius dokumentus pagal </w:t>
      </w:r>
      <w:r w:rsidR="004F5E6A" w:rsidRPr="000E4A3B">
        <w:rPr>
          <w:rFonts w:ascii="Arial" w:hAnsi="Arial" w:cs="Arial"/>
          <w:sz w:val="20"/>
          <w:szCs w:val="20"/>
        </w:rPr>
        <w:t>3</w:t>
      </w:r>
      <w:r w:rsidRPr="000E4A3B">
        <w:rPr>
          <w:rFonts w:ascii="Arial" w:hAnsi="Arial" w:cs="Arial"/>
          <w:sz w:val="20"/>
          <w:szCs w:val="20"/>
        </w:rPr>
        <w:t xml:space="preserve"> lentelėje keliamą reikalavimą skiriami </w:t>
      </w:r>
      <w:r w:rsidR="000E4A3B" w:rsidRPr="000E4A3B">
        <w:rPr>
          <w:rFonts w:ascii="Arial" w:hAnsi="Arial" w:cs="Arial"/>
          <w:sz w:val="20"/>
          <w:szCs w:val="20"/>
          <w:lang w:val="en-US"/>
        </w:rPr>
        <w:t>5</w:t>
      </w:r>
      <w:r w:rsidR="004F5E6A" w:rsidRPr="000E4A3B">
        <w:rPr>
          <w:rFonts w:ascii="Arial" w:hAnsi="Arial" w:cs="Arial"/>
          <w:sz w:val="20"/>
          <w:szCs w:val="20"/>
        </w:rPr>
        <w:t xml:space="preserve"> (</w:t>
      </w:r>
      <w:r w:rsidR="00A42260" w:rsidRPr="000E4A3B">
        <w:rPr>
          <w:rFonts w:ascii="Arial" w:hAnsi="Arial" w:cs="Arial"/>
          <w:sz w:val="20"/>
          <w:szCs w:val="20"/>
        </w:rPr>
        <w:t>5</w:t>
      </w:r>
      <w:r w:rsidR="004F5E6A" w:rsidRPr="000E4A3B">
        <w:rPr>
          <w:rFonts w:ascii="Arial" w:hAnsi="Arial" w:cs="Arial"/>
          <w:sz w:val="20"/>
          <w:szCs w:val="20"/>
        </w:rPr>
        <w:t>) balai.</w:t>
      </w:r>
    </w:p>
    <w:p w14:paraId="4922CBC9" w14:textId="36FC7DE6" w:rsidR="00B321E5" w:rsidRPr="000E4A3B" w:rsidRDefault="00B321E5" w:rsidP="004F5E6A">
      <w:pPr>
        <w:pStyle w:val="ListParagraph"/>
        <w:numPr>
          <w:ilvl w:val="1"/>
          <w:numId w:val="7"/>
        </w:numPr>
        <w:tabs>
          <w:tab w:val="left" w:pos="142"/>
          <w:tab w:val="left" w:pos="284"/>
          <w:tab w:val="left" w:pos="360"/>
          <w:tab w:val="left" w:pos="709"/>
        </w:tabs>
        <w:ind w:left="284" w:firstLine="0"/>
        <w:rPr>
          <w:rFonts w:ascii="Arial" w:hAnsi="Arial" w:cs="Arial"/>
          <w:iCs/>
          <w:sz w:val="20"/>
          <w:szCs w:val="20"/>
        </w:rPr>
      </w:pPr>
      <w:r w:rsidRPr="000E4A3B">
        <w:rPr>
          <w:rFonts w:ascii="Arial" w:hAnsi="Arial" w:cs="Arial"/>
          <w:iCs/>
          <w:sz w:val="20"/>
          <w:szCs w:val="20"/>
        </w:rPr>
        <w:t xml:space="preserve">Tiekėjui nepateikusiam darbuotojų </w:t>
      </w:r>
      <w:r w:rsidRPr="000E4A3B">
        <w:rPr>
          <w:rFonts w:ascii="Arial" w:hAnsi="Arial" w:cs="Arial"/>
          <w:sz w:val="20"/>
          <w:szCs w:val="20"/>
        </w:rPr>
        <w:t xml:space="preserve">sveikatos ir saugos vadybos sistemos reikalavimus įrodančius dokumentus pagal </w:t>
      </w:r>
      <w:r w:rsidR="004F5E6A" w:rsidRPr="000E4A3B">
        <w:rPr>
          <w:rFonts w:ascii="Arial" w:hAnsi="Arial" w:cs="Arial"/>
          <w:sz w:val="20"/>
          <w:szCs w:val="20"/>
        </w:rPr>
        <w:t>3</w:t>
      </w:r>
      <w:r w:rsidRPr="000E4A3B">
        <w:rPr>
          <w:rFonts w:ascii="Arial" w:hAnsi="Arial" w:cs="Arial"/>
          <w:sz w:val="20"/>
          <w:szCs w:val="20"/>
        </w:rPr>
        <w:t xml:space="preserve"> lentelėje keliamą reikalavimą skiriama 0 (nulis) balų.</w:t>
      </w:r>
    </w:p>
    <w:p w14:paraId="56F0C831" w14:textId="77777777" w:rsidR="00B321E5" w:rsidRPr="00F46593" w:rsidRDefault="00B321E5" w:rsidP="00F46593">
      <w:pPr>
        <w:pStyle w:val="ListParagraph"/>
        <w:tabs>
          <w:tab w:val="left" w:pos="142"/>
          <w:tab w:val="left" w:pos="284"/>
          <w:tab w:val="left" w:pos="360"/>
          <w:tab w:val="left" w:pos="426"/>
        </w:tabs>
        <w:ind w:left="0"/>
        <w:rPr>
          <w:rFonts w:ascii="Arial" w:hAnsi="Arial" w:cs="Arial"/>
          <w:iCs/>
          <w:sz w:val="20"/>
          <w:szCs w:val="20"/>
        </w:rPr>
      </w:pPr>
    </w:p>
    <w:p w14:paraId="6E3CE866" w14:textId="58948977" w:rsidR="00B321E5" w:rsidRPr="00F46593" w:rsidRDefault="004F5E6A" w:rsidP="00F46593">
      <w:pPr>
        <w:pStyle w:val="ListParagraph"/>
        <w:tabs>
          <w:tab w:val="left" w:pos="284"/>
        </w:tabs>
        <w:jc w:val="right"/>
        <w:rPr>
          <w:rFonts w:ascii="Arial" w:hAnsi="Arial" w:cs="Arial"/>
          <w:i/>
          <w:iCs/>
          <w:sz w:val="20"/>
          <w:szCs w:val="20"/>
          <w:u w:val="single"/>
        </w:rPr>
      </w:pPr>
      <w:r>
        <w:rPr>
          <w:rFonts w:ascii="Arial" w:hAnsi="Arial" w:cs="Arial"/>
          <w:i/>
          <w:iCs/>
          <w:sz w:val="20"/>
          <w:szCs w:val="20"/>
          <w:u w:val="single"/>
        </w:rPr>
        <w:t>3</w:t>
      </w:r>
      <w:r w:rsidR="00B321E5" w:rsidRPr="00F46593">
        <w:rPr>
          <w:rFonts w:ascii="Arial" w:hAnsi="Arial" w:cs="Arial"/>
          <w:i/>
          <w:iCs/>
          <w:sz w:val="20"/>
          <w:szCs w:val="20"/>
          <w:u w:val="single"/>
        </w:rPr>
        <w:t xml:space="preserve"> lentelė. Saugios, darbuotojų sveikatą ir orumą užtikrinančių darbo sąlygų (S) kriterijus</w:t>
      </w:r>
    </w:p>
    <w:tbl>
      <w:tblPr>
        <w:tblStyle w:val="TableGrid"/>
        <w:tblW w:w="0" w:type="auto"/>
        <w:tblLook w:val="04A0" w:firstRow="1" w:lastRow="0" w:firstColumn="1" w:lastColumn="0" w:noHBand="0" w:noVBand="1"/>
      </w:tblPr>
      <w:tblGrid>
        <w:gridCol w:w="2689"/>
        <w:gridCol w:w="6939"/>
      </w:tblGrid>
      <w:tr w:rsidR="00F46593" w:rsidRPr="00F46593" w14:paraId="234E339F" w14:textId="77777777" w:rsidTr="004F5E6A">
        <w:tc>
          <w:tcPr>
            <w:tcW w:w="2689" w:type="dxa"/>
            <w:shd w:val="clear" w:color="auto" w:fill="E7E6E6" w:themeFill="background2"/>
          </w:tcPr>
          <w:p w14:paraId="31AC80C6" w14:textId="77777777" w:rsidR="00B321E5" w:rsidRPr="00F46593" w:rsidRDefault="00B321E5" w:rsidP="00F46593">
            <w:pPr>
              <w:tabs>
                <w:tab w:val="left" w:pos="284"/>
                <w:tab w:val="left" w:pos="426"/>
                <w:tab w:val="left" w:pos="7655"/>
              </w:tabs>
              <w:jc w:val="center"/>
              <w:rPr>
                <w:rFonts w:ascii="Arial" w:hAnsi="Arial" w:cs="Arial"/>
                <w:b/>
                <w:bCs/>
              </w:rPr>
            </w:pPr>
            <w:r w:rsidRPr="00F46593">
              <w:rPr>
                <w:rFonts w:ascii="Arial" w:hAnsi="Arial" w:cs="Arial"/>
                <w:b/>
                <w:bCs/>
              </w:rPr>
              <w:t>Reikalavimas</w:t>
            </w:r>
          </w:p>
        </w:tc>
        <w:tc>
          <w:tcPr>
            <w:tcW w:w="6939" w:type="dxa"/>
            <w:shd w:val="clear" w:color="auto" w:fill="E7E6E6" w:themeFill="background2"/>
          </w:tcPr>
          <w:p w14:paraId="41D4FF2D" w14:textId="77777777" w:rsidR="00B321E5" w:rsidRPr="00F46593" w:rsidRDefault="00B321E5" w:rsidP="00F46593">
            <w:pPr>
              <w:tabs>
                <w:tab w:val="left" w:pos="284"/>
                <w:tab w:val="left" w:pos="426"/>
                <w:tab w:val="left" w:pos="7655"/>
              </w:tabs>
              <w:jc w:val="center"/>
              <w:rPr>
                <w:rFonts w:ascii="Arial" w:hAnsi="Arial" w:cs="Arial"/>
                <w:b/>
                <w:bCs/>
              </w:rPr>
            </w:pPr>
            <w:r w:rsidRPr="00F46593">
              <w:rPr>
                <w:rFonts w:ascii="Arial" w:hAnsi="Arial" w:cs="Arial"/>
                <w:b/>
                <w:bCs/>
              </w:rPr>
              <w:t>Atitiktį įrodantys dokumentai</w:t>
            </w:r>
          </w:p>
        </w:tc>
      </w:tr>
      <w:tr w:rsidR="00F46593" w:rsidRPr="00F46593" w14:paraId="2A16D168" w14:textId="77777777" w:rsidTr="004F5E6A">
        <w:tc>
          <w:tcPr>
            <w:tcW w:w="2689" w:type="dxa"/>
            <w:vAlign w:val="center"/>
          </w:tcPr>
          <w:p w14:paraId="0A1F1F2D" w14:textId="77777777" w:rsidR="00B321E5" w:rsidRPr="00F46593" w:rsidRDefault="00B321E5" w:rsidP="00F46593">
            <w:pPr>
              <w:jc w:val="both"/>
              <w:rPr>
                <w:rFonts w:ascii="Arial" w:hAnsi="Arial" w:cs="Arial"/>
              </w:rPr>
            </w:pPr>
            <w:r w:rsidRPr="00F46593">
              <w:rPr>
                <w:rStyle w:val="font1461"/>
                <w:rFonts w:ascii="Arial" w:hAnsi="Arial" w:cs="Arial"/>
                <w:color w:val="auto"/>
                <w:sz w:val="20"/>
                <w:szCs w:val="20"/>
              </w:rPr>
              <w:t xml:space="preserve">Tiekėjas pirkimo sutarties vykdymo laikotarpiu, </w:t>
            </w:r>
            <w:r w:rsidRPr="00F46593">
              <w:rPr>
                <w:rStyle w:val="font1521"/>
                <w:rFonts w:ascii="Arial" w:hAnsi="Arial" w:cs="Arial"/>
                <w:color w:val="auto"/>
                <w:sz w:val="20"/>
                <w:szCs w:val="20"/>
              </w:rPr>
              <w:t xml:space="preserve">Paslaugų teikimui </w:t>
            </w:r>
            <w:r w:rsidRPr="00F46593">
              <w:rPr>
                <w:rStyle w:val="font1471"/>
                <w:rFonts w:ascii="Arial" w:hAnsi="Arial" w:cs="Arial"/>
                <w:b w:val="0"/>
                <w:bCs w:val="0"/>
                <w:color w:val="auto"/>
                <w:sz w:val="20"/>
                <w:szCs w:val="20"/>
              </w:rPr>
              <w:t>taikys darbuotojų sveikatos ir saugos vadybos sistemos reikalavimus pagal standartą LST EN ISO 45001</w:t>
            </w:r>
            <w:r w:rsidRPr="00F46593">
              <w:rPr>
                <w:rStyle w:val="font1461"/>
                <w:rFonts w:ascii="Arial" w:hAnsi="Arial" w:cs="Arial"/>
                <w:b/>
                <w:bCs/>
                <w:color w:val="auto"/>
                <w:sz w:val="20"/>
                <w:szCs w:val="20"/>
              </w:rPr>
              <w:t>,</w:t>
            </w:r>
            <w:r w:rsidRPr="00F46593">
              <w:rPr>
                <w:rStyle w:val="font1461"/>
                <w:rFonts w:ascii="Arial" w:hAnsi="Arial" w:cs="Arial"/>
                <w:color w:val="auto"/>
                <w:sz w:val="20"/>
                <w:szCs w:val="20"/>
              </w:rPr>
              <w:t xml:space="preserve"> ar kitus darbuotojų sveikatos ir 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66FBAE9A" w14:textId="77777777" w:rsidR="00B321E5" w:rsidRPr="00F46593" w:rsidRDefault="00B321E5" w:rsidP="00F46593">
            <w:pPr>
              <w:jc w:val="both"/>
              <w:rPr>
                <w:rFonts w:ascii="Arial" w:hAnsi="Arial" w:cs="Arial"/>
              </w:rPr>
            </w:pPr>
          </w:p>
        </w:tc>
        <w:tc>
          <w:tcPr>
            <w:tcW w:w="6939" w:type="dxa"/>
          </w:tcPr>
          <w:p w14:paraId="60663F0E" w14:textId="77777777" w:rsidR="00B321E5" w:rsidRPr="00F46593" w:rsidRDefault="00B321E5" w:rsidP="00F46593">
            <w:pPr>
              <w:tabs>
                <w:tab w:val="left" w:pos="259"/>
              </w:tabs>
              <w:jc w:val="both"/>
              <w:rPr>
                <w:rStyle w:val="font1461"/>
                <w:rFonts w:ascii="Arial" w:hAnsi="Arial" w:cs="Arial"/>
                <w:color w:val="auto"/>
                <w:sz w:val="20"/>
                <w:szCs w:val="20"/>
              </w:rPr>
            </w:pPr>
            <w:r w:rsidRPr="00F46593">
              <w:rPr>
                <w:rStyle w:val="font1461"/>
                <w:rFonts w:ascii="Arial" w:hAnsi="Arial" w:cs="Arial"/>
                <w:color w:val="auto"/>
                <w:sz w:val="20"/>
                <w:szCs w:val="20"/>
              </w:rPr>
              <w:t xml:space="preserve">LST EN ISO 45001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Pr="00F46593">
              <w:rPr>
                <w:rStyle w:val="font1521"/>
                <w:rFonts w:ascii="Arial" w:hAnsi="Arial" w:cs="Arial"/>
                <w:color w:val="auto"/>
                <w:sz w:val="20"/>
                <w:szCs w:val="20"/>
              </w:rPr>
              <w:t xml:space="preserve">Paslaugų teikimu </w:t>
            </w:r>
            <w:r w:rsidRPr="00F46593">
              <w:rPr>
                <w:rStyle w:val="font1461"/>
                <w:rFonts w:ascii="Arial" w:hAnsi="Arial" w:cs="Arial"/>
                <w:color w:val="auto"/>
                <w:sz w:val="20"/>
                <w:szCs w:val="20"/>
              </w:rPr>
              <w:t xml:space="preserve"> taikys darbuotojų sveikatos ir saugos vadybos priemones.</w:t>
            </w:r>
          </w:p>
          <w:p w14:paraId="4D8DF89E" w14:textId="77777777" w:rsidR="00B321E5" w:rsidRPr="00F46593" w:rsidRDefault="00B321E5" w:rsidP="00F46593">
            <w:pPr>
              <w:tabs>
                <w:tab w:val="left" w:pos="293"/>
              </w:tabs>
              <w:jc w:val="both"/>
              <w:rPr>
                <w:rStyle w:val="font1441"/>
                <w:rFonts w:ascii="Arial" w:hAnsi="Arial" w:cs="Arial"/>
                <w:color w:val="auto"/>
                <w:sz w:val="20"/>
                <w:szCs w:val="20"/>
              </w:rPr>
            </w:pPr>
            <w:r w:rsidRPr="00F46593">
              <w:rPr>
                <w:rStyle w:val="font1461"/>
                <w:rFonts w:ascii="Arial" w:hAnsi="Arial" w:cs="Arial"/>
                <w:color w:val="auto"/>
                <w:sz w:val="20"/>
                <w:szCs w:val="20"/>
              </w:rPr>
              <w:t xml:space="preserve">Jeigu tiekėjas negali pateikti pirkimo vykdytojo reikalaujamų aukščiau nurodytų dokumentų, jis turi teisę pateikti kitus pirkimo vykdytojui priimtinus dokumentus - </w:t>
            </w:r>
            <w:r w:rsidRPr="00F46593">
              <w:rPr>
                <w:rStyle w:val="font1441"/>
                <w:rFonts w:ascii="Arial" w:hAnsi="Arial" w:cs="Arial"/>
                <w:color w:val="auto"/>
                <w:sz w:val="20"/>
                <w:szCs w:val="20"/>
              </w:rPr>
              <w:t>lygiaverčius aplinkos apsaugos vadybos užtikrinimo priemonių įrodymus, užpildant Pasiūlymo formos priedą „</w:t>
            </w:r>
            <w:r w:rsidRPr="00F46593">
              <w:rPr>
                <w:rFonts w:ascii="Arial" w:hAnsi="Arial" w:cs="Arial"/>
              </w:rPr>
              <w:t>ISO 45001 standarto lygiavertiškumo atitikties įrodymai " bei kartu patiekiant įrodančius dokumentus</w:t>
            </w:r>
            <w:r w:rsidRPr="00F46593">
              <w:rPr>
                <w:rStyle w:val="font1441"/>
                <w:rFonts w:ascii="Arial" w:hAnsi="Arial" w:cs="Arial"/>
                <w:color w:val="auto"/>
                <w:sz w:val="20"/>
                <w:szCs w:val="20"/>
              </w:rPr>
              <w:t>, tenkinančius visus šiuos reikalavimus:</w:t>
            </w:r>
          </w:p>
          <w:p w14:paraId="5A879AE4" w14:textId="77777777" w:rsidR="00B321E5" w:rsidRPr="00F46593" w:rsidRDefault="00B321E5" w:rsidP="00F46593">
            <w:pPr>
              <w:pStyle w:val="ListParagraph"/>
              <w:numPr>
                <w:ilvl w:val="0"/>
                <w:numId w:val="9"/>
              </w:numPr>
              <w:tabs>
                <w:tab w:val="left" w:pos="259"/>
                <w:tab w:val="left" w:pos="293"/>
              </w:tabs>
              <w:ind w:left="0" w:firstLine="0"/>
              <w:jc w:val="both"/>
              <w:rPr>
                <w:rStyle w:val="font1461"/>
                <w:rFonts w:ascii="Arial" w:hAnsi="Arial" w:cs="Arial"/>
                <w:color w:val="auto"/>
                <w:sz w:val="20"/>
                <w:szCs w:val="20"/>
              </w:rPr>
            </w:pPr>
            <w:r w:rsidRPr="00F46593">
              <w:rPr>
                <w:rStyle w:val="font1461"/>
                <w:rFonts w:ascii="Arial" w:hAnsi="Arial" w:cs="Arial"/>
                <w:color w:val="auto"/>
                <w:sz w:val="20"/>
                <w:szCs w:val="20"/>
              </w:rPr>
              <w:t>nustatyta, įgyvendinta ir prižiūrėta darbuotojų sveikatos ir saugos politika;</w:t>
            </w:r>
          </w:p>
          <w:p w14:paraId="1F4E0056" w14:textId="77777777" w:rsidR="00B321E5" w:rsidRPr="00F46593" w:rsidRDefault="00B321E5" w:rsidP="00F46593">
            <w:pPr>
              <w:pStyle w:val="ListParagraph"/>
              <w:numPr>
                <w:ilvl w:val="0"/>
                <w:numId w:val="9"/>
              </w:numPr>
              <w:tabs>
                <w:tab w:val="left" w:pos="259"/>
                <w:tab w:val="left" w:pos="293"/>
              </w:tabs>
              <w:ind w:left="0" w:firstLine="0"/>
              <w:jc w:val="both"/>
              <w:rPr>
                <w:rStyle w:val="font1461"/>
                <w:rFonts w:ascii="Arial" w:hAnsi="Arial" w:cs="Arial"/>
                <w:color w:val="auto"/>
                <w:sz w:val="20"/>
                <w:szCs w:val="20"/>
              </w:rPr>
            </w:pPr>
            <w:r w:rsidRPr="00F46593">
              <w:rPr>
                <w:rStyle w:val="font1461"/>
                <w:rFonts w:ascii="Arial" w:hAnsi="Arial" w:cs="Arial"/>
                <w:color w:val="auto"/>
                <w:sz w:val="20"/>
                <w:szCs w:val="20"/>
              </w:rPr>
              <w:t>organizacijoje nustatyti, įdiegti ir prižiūrėti tęstiniai ir aktyvūs pavojų nustatymo procesai įskaitant darbuotojų sveikatos ir saugos rizikas, bei nustatyti aktualūs teisiniai reikalavimai taikytini pavojams ir rizikos veiksniams;</w:t>
            </w:r>
          </w:p>
          <w:p w14:paraId="0E6F9F1D" w14:textId="77777777" w:rsidR="00B321E5" w:rsidRPr="00F46593" w:rsidRDefault="00B321E5" w:rsidP="00F46593">
            <w:pPr>
              <w:pStyle w:val="ListParagraph"/>
              <w:numPr>
                <w:ilvl w:val="0"/>
                <w:numId w:val="9"/>
              </w:numPr>
              <w:tabs>
                <w:tab w:val="left" w:pos="259"/>
                <w:tab w:val="left" w:pos="293"/>
              </w:tabs>
              <w:ind w:left="0" w:firstLine="0"/>
              <w:jc w:val="both"/>
              <w:rPr>
                <w:rStyle w:val="font1461"/>
                <w:rFonts w:ascii="Arial" w:hAnsi="Arial" w:cs="Arial"/>
                <w:color w:val="auto"/>
                <w:sz w:val="20"/>
                <w:szCs w:val="20"/>
              </w:rPr>
            </w:pPr>
            <w:r w:rsidRPr="00F46593">
              <w:rPr>
                <w:rStyle w:val="font1461"/>
                <w:rFonts w:ascii="Arial" w:hAnsi="Arial" w:cs="Arial"/>
                <w:color w:val="auto"/>
                <w:sz w:val="20"/>
                <w:szCs w:val="20"/>
              </w:rPr>
              <w:t>organizacija rengia ir saugo dokumentuotą informaciją apie darbuotojų sveikatos ir saugos tikslus ir jų pasiekimo planus;</w:t>
            </w:r>
          </w:p>
          <w:p w14:paraId="6B37D407" w14:textId="77777777" w:rsidR="00B321E5" w:rsidRPr="00F46593" w:rsidRDefault="00B321E5" w:rsidP="00F46593">
            <w:pPr>
              <w:pStyle w:val="ListParagraph"/>
              <w:tabs>
                <w:tab w:val="left" w:pos="259"/>
                <w:tab w:val="left" w:pos="293"/>
              </w:tabs>
              <w:ind w:left="0"/>
              <w:jc w:val="both"/>
              <w:rPr>
                <w:rStyle w:val="font1461"/>
                <w:rFonts w:ascii="Arial" w:hAnsi="Arial" w:cs="Arial"/>
                <w:color w:val="auto"/>
                <w:sz w:val="20"/>
                <w:szCs w:val="20"/>
              </w:rPr>
            </w:pPr>
            <w:r w:rsidRPr="00F46593">
              <w:rPr>
                <w:rStyle w:val="font1461"/>
                <w:rFonts w:ascii="Arial" w:hAnsi="Arial" w:cs="Arial"/>
                <w:color w:val="auto"/>
                <w:sz w:val="20"/>
                <w:szCs w:val="20"/>
              </w:rPr>
              <w:t>4. organizacija užtikrina, kad darbuotojams nustatyta būtina kompetencija, kuri daro ar gali daryti įtaką darbuotojų sveikatai ir saugumui ir darbuotojai yra kompetentingi;</w:t>
            </w:r>
          </w:p>
          <w:p w14:paraId="57CE0F19" w14:textId="77777777" w:rsidR="00B321E5" w:rsidRPr="00F46593" w:rsidRDefault="00B321E5" w:rsidP="00F46593">
            <w:pPr>
              <w:pStyle w:val="ListParagraph"/>
              <w:tabs>
                <w:tab w:val="left" w:pos="259"/>
                <w:tab w:val="left" w:pos="293"/>
              </w:tabs>
              <w:ind w:left="0"/>
              <w:jc w:val="both"/>
              <w:rPr>
                <w:rStyle w:val="font1461"/>
                <w:rFonts w:ascii="Arial" w:hAnsi="Arial" w:cs="Arial"/>
                <w:color w:val="auto"/>
                <w:sz w:val="20"/>
                <w:szCs w:val="20"/>
              </w:rPr>
            </w:pPr>
            <w:r w:rsidRPr="00F46593">
              <w:rPr>
                <w:rStyle w:val="font1461"/>
                <w:rFonts w:ascii="Arial" w:hAnsi="Arial" w:cs="Arial"/>
                <w:color w:val="auto"/>
                <w:sz w:val="20"/>
                <w:szCs w:val="20"/>
              </w:rPr>
              <w:t>5. užtikrina, kad rangovai ir jų darbuotojai laikytųsi darbuotojų sveikatos ir saugos vadybos sistemos reikalavimų: atrenkant rangovus darbuotojų sveikatos ir saugos kriterijai rangovams yra nustatyti ir taikomi;</w:t>
            </w:r>
          </w:p>
          <w:p w14:paraId="172603FB" w14:textId="77777777" w:rsidR="00B321E5" w:rsidRPr="00F46593" w:rsidRDefault="00B321E5" w:rsidP="00F46593">
            <w:pPr>
              <w:pStyle w:val="ListParagraph"/>
              <w:tabs>
                <w:tab w:val="left" w:pos="259"/>
                <w:tab w:val="left" w:pos="293"/>
              </w:tabs>
              <w:ind w:left="0"/>
              <w:jc w:val="both"/>
              <w:rPr>
                <w:rStyle w:val="font1461"/>
                <w:rFonts w:ascii="Arial" w:hAnsi="Arial" w:cs="Arial"/>
                <w:color w:val="auto"/>
                <w:sz w:val="20"/>
                <w:szCs w:val="20"/>
              </w:rPr>
            </w:pPr>
            <w:r w:rsidRPr="00F46593">
              <w:rPr>
                <w:rStyle w:val="font1461"/>
                <w:rFonts w:ascii="Arial" w:hAnsi="Arial" w:cs="Arial"/>
                <w:color w:val="auto"/>
                <w:sz w:val="20"/>
                <w:szCs w:val="20"/>
              </w:rPr>
              <w:t xml:space="preserve">6. parengtas reagavimo į galimas avarines situacijas planas; </w:t>
            </w:r>
            <w:r w:rsidRPr="00F46593">
              <w:rPr>
                <w:rFonts w:ascii="Arial" w:hAnsi="Arial" w:cs="Arial"/>
                <w:sz w:val="20"/>
                <w:szCs w:val="20"/>
              </w:rPr>
              <w:br/>
            </w:r>
            <w:r w:rsidRPr="00F46593">
              <w:rPr>
                <w:rStyle w:val="font1461"/>
                <w:rFonts w:ascii="Arial" w:hAnsi="Arial" w:cs="Arial"/>
                <w:color w:val="auto"/>
                <w:sz w:val="20"/>
                <w:szCs w:val="20"/>
              </w:rPr>
              <w:t>7. organizacija atlieka darbuotojų sveikatos ir saugos teisinių reikalavimų laikymosi proceso įvertinimą pagal numatytą dažnumą ir metodą ir prireikus imasi veiksmų atitikties užtikrinimui;</w:t>
            </w:r>
          </w:p>
          <w:p w14:paraId="28737C1E" w14:textId="77777777" w:rsidR="00B321E5" w:rsidRPr="00F46593" w:rsidRDefault="00B321E5" w:rsidP="00F46593">
            <w:pPr>
              <w:pStyle w:val="ListParagraph"/>
              <w:tabs>
                <w:tab w:val="left" w:pos="259"/>
                <w:tab w:val="left" w:pos="293"/>
              </w:tabs>
              <w:ind w:left="0"/>
              <w:jc w:val="both"/>
              <w:rPr>
                <w:rStyle w:val="font1461"/>
                <w:rFonts w:ascii="Arial" w:hAnsi="Arial" w:cs="Arial"/>
                <w:color w:val="auto"/>
                <w:sz w:val="20"/>
                <w:szCs w:val="20"/>
              </w:rPr>
            </w:pPr>
            <w:r w:rsidRPr="00F46593">
              <w:rPr>
                <w:rStyle w:val="font1461"/>
                <w:rFonts w:ascii="Arial" w:hAnsi="Arial" w:cs="Arial"/>
                <w:color w:val="auto"/>
                <w:sz w:val="20"/>
                <w:szCs w:val="20"/>
              </w:rPr>
              <w:lastRenderedPageBreak/>
              <w:t>8. organizacijos vadovybė planuotais laiko tarpais atlieka organizacijos darbuotojų sveikatos ir saugos vadybos sistemos vertinamąją analizę, kad būtų užtikrintas jos nuolatinis tinkamumas, adekvatumas ir rezultatyvumas;</w:t>
            </w:r>
          </w:p>
          <w:p w14:paraId="716D4CC2" w14:textId="77777777" w:rsidR="00B321E5" w:rsidRPr="00F46593" w:rsidRDefault="00B321E5" w:rsidP="00F46593">
            <w:pPr>
              <w:pStyle w:val="ListParagraph"/>
              <w:tabs>
                <w:tab w:val="left" w:pos="259"/>
              </w:tabs>
              <w:ind w:left="0"/>
              <w:jc w:val="both"/>
              <w:rPr>
                <w:rStyle w:val="font1461"/>
                <w:rFonts w:ascii="Arial" w:hAnsi="Arial" w:cs="Arial"/>
                <w:color w:val="auto"/>
                <w:sz w:val="20"/>
                <w:szCs w:val="20"/>
              </w:rPr>
            </w:pPr>
            <w:r w:rsidRPr="00F46593">
              <w:rPr>
                <w:rStyle w:val="font1461"/>
                <w:rFonts w:ascii="Arial" w:hAnsi="Arial" w:cs="Arial"/>
                <w:color w:val="auto"/>
                <w:sz w:val="20"/>
                <w:szCs w:val="20"/>
              </w:rPr>
              <w:t>9. sukurtas, įdiegtas ir prižiūrimas incidentų ir neatitikčių valdymo procesas įskaitant ataskaitų teikimą, tyrimų ir veiksmų vykdymą.</w:t>
            </w:r>
          </w:p>
          <w:p w14:paraId="0926A1B8" w14:textId="77777777" w:rsidR="00B321E5" w:rsidRPr="00F46593" w:rsidRDefault="00B321E5" w:rsidP="00F46593">
            <w:pPr>
              <w:pStyle w:val="ListParagraph"/>
              <w:tabs>
                <w:tab w:val="left" w:pos="259"/>
              </w:tabs>
              <w:ind w:left="0"/>
              <w:jc w:val="both"/>
              <w:rPr>
                <w:rFonts w:ascii="Arial" w:hAnsi="Arial" w:cs="Arial"/>
                <w:sz w:val="20"/>
                <w:szCs w:val="20"/>
              </w:rPr>
            </w:pPr>
            <w:r w:rsidRPr="00F46593">
              <w:rPr>
                <w:rFonts w:ascii="Arial" w:hAnsi="Arial" w:cs="Arial"/>
                <w:sz w:val="20"/>
                <w:szCs w:val="20"/>
              </w:rPr>
              <w:br/>
            </w:r>
            <w:r w:rsidRPr="00F46593">
              <w:rPr>
                <w:rStyle w:val="font1461"/>
                <w:rFonts w:ascii="Arial" w:hAnsi="Arial" w:cs="Arial"/>
                <w:color w:val="auto"/>
                <w:sz w:val="20"/>
                <w:szCs w:val="20"/>
              </w:rPr>
              <w:t xml:space="preserve">Tiekėjas taip pat turi pateikti aprašymą pagrindžiančius dokumentus (pateikiamos šių dokumentų kopijos). </w:t>
            </w:r>
          </w:p>
        </w:tc>
      </w:tr>
    </w:tbl>
    <w:p w14:paraId="6E672845" w14:textId="77777777" w:rsidR="004F5E6A" w:rsidRDefault="004F5E6A" w:rsidP="00F46593">
      <w:pPr>
        <w:tabs>
          <w:tab w:val="left" w:pos="426"/>
        </w:tabs>
        <w:spacing w:after="0" w:line="240" w:lineRule="auto"/>
        <w:jc w:val="both"/>
        <w:rPr>
          <w:rFonts w:ascii="Arial" w:hAnsi="Arial" w:cs="Arial"/>
          <w:sz w:val="20"/>
          <w:szCs w:val="20"/>
        </w:rPr>
      </w:pPr>
    </w:p>
    <w:p w14:paraId="2269F183" w14:textId="56B09251" w:rsidR="004A0B36" w:rsidRPr="004F5E6A" w:rsidRDefault="004A0B36" w:rsidP="004F5E6A">
      <w:pPr>
        <w:pStyle w:val="ListParagraph"/>
        <w:numPr>
          <w:ilvl w:val="0"/>
          <w:numId w:val="7"/>
        </w:numPr>
        <w:tabs>
          <w:tab w:val="left" w:pos="284"/>
        </w:tabs>
        <w:ind w:left="0" w:firstLine="0"/>
        <w:jc w:val="both"/>
        <w:rPr>
          <w:rFonts w:ascii="Arial" w:hAnsi="Arial" w:cs="Arial"/>
          <w:i/>
          <w:sz w:val="20"/>
          <w:szCs w:val="20"/>
        </w:rPr>
      </w:pPr>
      <w:r w:rsidRPr="004F5E6A">
        <w:rPr>
          <w:rFonts w:ascii="Arial" w:hAnsi="Arial" w:cs="Arial"/>
          <w:sz w:val="20"/>
          <w:szCs w:val="20"/>
        </w:rPr>
        <w:t>Ekonomiškai naudingiausiu bus pripažįstamas Pasiūlymas, surinkęs daugiausiai balų.</w:t>
      </w:r>
    </w:p>
    <w:p w14:paraId="5562F3D3" w14:textId="77777777" w:rsidR="004A0B36" w:rsidRPr="00F46593" w:rsidRDefault="004A0B36" w:rsidP="00F46593">
      <w:pPr>
        <w:pStyle w:val="ListParagraph"/>
        <w:ind w:left="426"/>
        <w:rPr>
          <w:rFonts w:ascii="Arial" w:hAnsi="Arial" w:cs="Arial"/>
          <w:i/>
          <w:sz w:val="20"/>
          <w:szCs w:val="20"/>
        </w:rPr>
      </w:pPr>
    </w:p>
    <w:p w14:paraId="5030B932" w14:textId="77777777" w:rsidR="004A0B36" w:rsidRPr="00F46593" w:rsidRDefault="004A0B36" w:rsidP="00F46593">
      <w:pPr>
        <w:pStyle w:val="ListParagraph"/>
        <w:rPr>
          <w:rFonts w:ascii="Arial" w:hAnsi="Arial" w:cs="Arial"/>
          <w:i/>
          <w:sz w:val="20"/>
          <w:szCs w:val="20"/>
        </w:rPr>
      </w:pPr>
    </w:p>
    <w:p w14:paraId="783DA14E" w14:textId="77777777" w:rsidR="004A0B36" w:rsidRPr="00F46593" w:rsidRDefault="004A0B36" w:rsidP="00F46593">
      <w:pPr>
        <w:pStyle w:val="Heading2"/>
        <w:tabs>
          <w:tab w:val="left" w:pos="567"/>
        </w:tabs>
        <w:spacing w:before="0" w:after="0"/>
        <w:jc w:val="both"/>
        <w:rPr>
          <w:rFonts w:ascii="Arial" w:hAnsi="Arial" w:cs="Arial"/>
          <w:sz w:val="20"/>
          <w:szCs w:val="20"/>
        </w:rPr>
      </w:pPr>
    </w:p>
    <w:p w14:paraId="6F622DFC" w14:textId="77777777" w:rsidR="004A0B36" w:rsidRPr="00CB4BBB" w:rsidRDefault="004A0B36" w:rsidP="00F46593">
      <w:pPr>
        <w:spacing w:after="0" w:line="240" w:lineRule="auto"/>
        <w:rPr>
          <w:rFonts w:ascii="Arial" w:hAnsi="Arial" w:cs="Arial"/>
          <w:sz w:val="20"/>
          <w:szCs w:val="20"/>
        </w:rPr>
      </w:pPr>
    </w:p>
    <w:p w14:paraId="7C6DB07A" w14:textId="77777777" w:rsidR="00DE621D" w:rsidRPr="00F46593" w:rsidRDefault="00DE621D" w:rsidP="00F46593">
      <w:pPr>
        <w:spacing w:after="0" w:line="240" w:lineRule="auto"/>
        <w:rPr>
          <w:rFonts w:ascii="Arial" w:hAnsi="Arial" w:cs="Arial"/>
          <w:sz w:val="20"/>
          <w:szCs w:val="20"/>
        </w:rPr>
      </w:pPr>
    </w:p>
    <w:sectPr w:rsidR="00DE621D" w:rsidRPr="00F46593">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98ED" w14:textId="77777777" w:rsidR="001A3884" w:rsidRDefault="001A3884" w:rsidP="00197F1B">
      <w:pPr>
        <w:spacing w:after="0" w:line="240" w:lineRule="auto"/>
      </w:pPr>
      <w:r>
        <w:separator/>
      </w:r>
    </w:p>
  </w:endnote>
  <w:endnote w:type="continuationSeparator" w:id="0">
    <w:p w14:paraId="37A22D2B" w14:textId="77777777" w:rsidR="001A3884" w:rsidRDefault="001A3884" w:rsidP="00197F1B">
      <w:pPr>
        <w:spacing w:after="0" w:line="240" w:lineRule="auto"/>
      </w:pPr>
      <w:r>
        <w:continuationSeparator/>
      </w:r>
    </w:p>
  </w:endnote>
  <w:endnote w:type="continuationNotice" w:id="1">
    <w:p w14:paraId="46E301CE" w14:textId="77777777" w:rsidR="001A3884" w:rsidRDefault="001A3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0949" w14:textId="77777777" w:rsidR="001A3884" w:rsidRDefault="001A3884" w:rsidP="00197F1B">
      <w:pPr>
        <w:spacing w:after="0" w:line="240" w:lineRule="auto"/>
      </w:pPr>
      <w:r>
        <w:separator/>
      </w:r>
    </w:p>
  </w:footnote>
  <w:footnote w:type="continuationSeparator" w:id="0">
    <w:p w14:paraId="6B390C36" w14:textId="77777777" w:rsidR="001A3884" w:rsidRDefault="001A3884" w:rsidP="00197F1B">
      <w:pPr>
        <w:spacing w:after="0" w:line="240" w:lineRule="auto"/>
      </w:pPr>
      <w:r>
        <w:continuationSeparator/>
      </w:r>
    </w:p>
  </w:footnote>
  <w:footnote w:type="continuationNotice" w:id="1">
    <w:p w14:paraId="515F79A5" w14:textId="77777777" w:rsidR="001A3884" w:rsidRDefault="001A3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9B8D" w14:textId="27F171DD" w:rsidR="00B704B5" w:rsidRPr="00B704B5" w:rsidRDefault="00B704B5" w:rsidP="00B704B5">
    <w:pPr>
      <w:spacing w:after="0" w:line="240" w:lineRule="auto"/>
      <w:rPr>
        <w:rFonts w:ascii="Arial" w:hAnsi="Arial" w:cs="Arial"/>
        <w:i/>
        <w:iCs/>
        <w:sz w:val="16"/>
        <w:szCs w:val="16"/>
      </w:rPr>
    </w:pPr>
  </w:p>
  <w:p w14:paraId="1C752163" w14:textId="77777777" w:rsidR="00C63FDD" w:rsidRDefault="00C63FDD">
    <w:pPr>
      <w:pStyle w:val="Header"/>
    </w:pPr>
  </w:p>
  <w:p w14:paraId="6EBC011D" w14:textId="36027551" w:rsidR="00197F1B" w:rsidRPr="00C63FDD" w:rsidRDefault="00197F1B">
    <w:pPr>
      <w:pStyle w:val="Header"/>
      <w:rPr>
        <w:rFonts w:ascii="Arial" w:hAnsi="Arial" w:cs="Arial"/>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5AA5D8B"/>
    <w:multiLevelType w:val="hybridMultilevel"/>
    <w:tmpl w:val="110E9CB2"/>
    <w:lvl w:ilvl="0" w:tplc="E13C3542">
      <w:start w:val="1"/>
      <w:numFmt w:val="decimal"/>
      <w:lvlText w:val="%1."/>
      <w:lvlJc w:val="left"/>
      <w:pPr>
        <w:ind w:left="720" w:hanging="360"/>
      </w:pPr>
      <w:rPr>
        <w:rFonts w:cs="Times New Roman" w:hint="default"/>
        <w:i w:val="0"/>
        <w:iCs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DD0DAA"/>
    <w:multiLevelType w:val="multilevel"/>
    <w:tmpl w:val="4C441A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4D655194"/>
    <w:multiLevelType w:val="multilevel"/>
    <w:tmpl w:val="A0B83BD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6FA725E6"/>
    <w:multiLevelType w:val="hybridMultilevel"/>
    <w:tmpl w:val="2A7E7476"/>
    <w:lvl w:ilvl="0" w:tplc="76CAB5F2">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3117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19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40078">
    <w:abstractNumId w:val="1"/>
  </w:num>
  <w:num w:numId="4" w16cid:durableId="1850295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96443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155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594460">
    <w:abstractNumId w:val="2"/>
  </w:num>
  <w:num w:numId="8" w16cid:durableId="1628966660">
    <w:abstractNumId w:val="5"/>
  </w:num>
  <w:num w:numId="9" w16cid:durableId="1279025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1B"/>
    <w:rsid w:val="00070D03"/>
    <w:rsid w:val="000A4C98"/>
    <w:rsid w:val="000B2F59"/>
    <w:rsid w:val="000E4A3B"/>
    <w:rsid w:val="00112E66"/>
    <w:rsid w:val="00116F45"/>
    <w:rsid w:val="00197F1B"/>
    <w:rsid w:val="001A3884"/>
    <w:rsid w:val="001B5AA3"/>
    <w:rsid w:val="00277B27"/>
    <w:rsid w:val="0028056A"/>
    <w:rsid w:val="0030070A"/>
    <w:rsid w:val="003441A8"/>
    <w:rsid w:val="00351770"/>
    <w:rsid w:val="00363B0D"/>
    <w:rsid w:val="00364141"/>
    <w:rsid w:val="00366D62"/>
    <w:rsid w:val="003778A4"/>
    <w:rsid w:val="004A0B36"/>
    <w:rsid w:val="004C71CE"/>
    <w:rsid w:val="004D0948"/>
    <w:rsid w:val="004F282B"/>
    <w:rsid w:val="004F5E6A"/>
    <w:rsid w:val="00511985"/>
    <w:rsid w:val="00591135"/>
    <w:rsid w:val="005A2ED4"/>
    <w:rsid w:val="005F3CA9"/>
    <w:rsid w:val="006A2E46"/>
    <w:rsid w:val="006C5C43"/>
    <w:rsid w:val="006D64E2"/>
    <w:rsid w:val="006E7FE8"/>
    <w:rsid w:val="00764A20"/>
    <w:rsid w:val="007911E0"/>
    <w:rsid w:val="007C3444"/>
    <w:rsid w:val="007C4A32"/>
    <w:rsid w:val="00836480"/>
    <w:rsid w:val="008416FE"/>
    <w:rsid w:val="00845ED4"/>
    <w:rsid w:val="00885FDF"/>
    <w:rsid w:val="008A2C17"/>
    <w:rsid w:val="008B25DB"/>
    <w:rsid w:val="008D0947"/>
    <w:rsid w:val="009138B7"/>
    <w:rsid w:val="00920B56"/>
    <w:rsid w:val="009E1A36"/>
    <w:rsid w:val="00A3597F"/>
    <w:rsid w:val="00A42260"/>
    <w:rsid w:val="00A503D3"/>
    <w:rsid w:val="00A62EAC"/>
    <w:rsid w:val="00AF3638"/>
    <w:rsid w:val="00B14F29"/>
    <w:rsid w:val="00B24461"/>
    <w:rsid w:val="00B321E5"/>
    <w:rsid w:val="00B34AB9"/>
    <w:rsid w:val="00B704B5"/>
    <w:rsid w:val="00B9305B"/>
    <w:rsid w:val="00BC02D2"/>
    <w:rsid w:val="00BC3A7E"/>
    <w:rsid w:val="00C02552"/>
    <w:rsid w:val="00C26AAD"/>
    <w:rsid w:val="00C4697E"/>
    <w:rsid w:val="00C51B03"/>
    <w:rsid w:val="00C5505A"/>
    <w:rsid w:val="00C63FDD"/>
    <w:rsid w:val="00CB4BBB"/>
    <w:rsid w:val="00CB6D60"/>
    <w:rsid w:val="00CE43A9"/>
    <w:rsid w:val="00D571E1"/>
    <w:rsid w:val="00D6090D"/>
    <w:rsid w:val="00DA775F"/>
    <w:rsid w:val="00DE4D0E"/>
    <w:rsid w:val="00DE621D"/>
    <w:rsid w:val="00F46593"/>
    <w:rsid w:val="00F516FC"/>
    <w:rsid w:val="00F60B60"/>
    <w:rsid w:val="00F73F8F"/>
    <w:rsid w:val="00F931B2"/>
    <w:rsid w:val="00FD3BF0"/>
    <w:rsid w:val="00FD77F6"/>
    <w:rsid w:val="00FF6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008A"/>
  <w15:chartTrackingRefBased/>
  <w15:docId w15:val="{3BCA3E83-D616-47E2-BC54-0D10D857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97F1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97F1B"/>
    <w:rPr>
      <w:rFonts w:ascii="Cambria" w:eastAsia="Times New Roman" w:hAnsi="Cambria" w:cs="Times New Roman"/>
      <w:b/>
      <w:bCs/>
      <w:i/>
      <w:i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197F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99"/>
    <w:rsid w:val="00197F1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97F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7F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7F1B"/>
  </w:style>
  <w:style w:type="paragraph" w:styleId="Footer">
    <w:name w:val="footer"/>
    <w:basedOn w:val="Normal"/>
    <w:link w:val="FooterChar"/>
    <w:uiPriority w:val="99"/>
    <w:unhideWhenUsed/>
    <w:rsid w:val="00197F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7F1B"/>
  </w:style>
  <w:style w:type="paragraph" w:styleId="BalloonText">
    <w:name w:val="Balloon Text"/>
    <w:basedOn w:val="Normal"/>
    <w:link w:val="BalloonTextChar"/>
    <w:uiPriority w:val="99"/>
    <w:semiHidden/>
    <w:unhideWhenUsed/>
    <w:rsid w:val="007C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44"/>
    <w:rPr>
      <w:rFonts w:ascii="Segoe UI" w:hAnsi="Segoe UI" w:cs="Segoe UI"/>
      <w:sz w:val="18"/>
      <w:szCs w:val="18"/>
    </w:rPr>
  </w:style>
  <w:style w:type="character" w:styleId="Hyperlink">
    <w:name w:val="Hyperlink"/>
    <w:basedOn w:val="DefaultParagraphFont"/>
    <w:uiPriority w:val="99"/>
    <w:semiHidden/>
    <w:unhideWhenUsed/>
    <w:rsid w:val="00DE621D"/>
    <w:rPr>
      <w:color w:val="0000FF"/>
      <w:u w:val="single"/>
    </w:rPr>
  </w:style>
  <w:style w:type="character" w:customStyle="1" w:styleId="Laukeliai">
    <w:name w:val="Laukeliai"/>
    <w:basedOn w:val="DefaultParagraphFont"/>
    <w:uiPriority w:val="1"/>
    <w:qFormat/>
    <w:rsid w:val="00DE621D"/>
    <w:rPr>
      <w:rFonts w:ascii="Arial" w:hAnsi="Arial"/>
      <w:sz w:val="20"/>
    </w:rPr>
  </w:style>
  <w:style w:type="table" w:customStyle="1" w:styleId="TableGrid1">
    <w:name w:val="Table Grid1"/>
    <w:basedOn w:val="TableNormal"/>
    <w:uiPriority w:val="39"/>
    <w:rsid w:val="00DE62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3F8F"/>
    <w:rPr>
      <w:sz w:val="16"/>
      <w:szCs w:val="16"/>
    </w:rPr>
  </w:style>
  <w:style w:type="paragraph" w:styleId="CommentText">
    <w:name w:val="annotation text"/>
    <w:basedOn w:val="Normal"/>
    <w:link w:val="CommentTextChar"/>
    <w:uiPriority w:val="99"/>
    <w:unhideWhenUsed/>
    <w:rsid w:val="00F73F8F"/>
    <w:pPr>
      <w:spacing w:line="240" w:lineRule="auto"/>
    </w:pPr>
    <w:rPr>
      <w:sz w:val="20"/>
      <w:szCs w:val="20"/>
    </w:rPr>
  </w:style>
  <w:style w:type="character" w:customStyle="1" w:styleId="CommentTextChar">
    <w:name w:val="Comment Text Char"/>
    <w:basedOn w:val="DefaultParagraphFont"/>
    <w:link w:val="CommentText"/>
    <w:uiPriority w:val="99"/>
    <w:rsid w:val="00F73F8F"/>
    <w:rPr>
      <w:sz w:val="20"/>
      <w:szCs w:val="20"/>
    </w:rPr>
  </w:style>
  <w:style w:type="paragraph" w:styleId="CommentSubject">
    <w:name w:val="annotation subject"/>
    <w:basedOn w:val="CommentText"/>
    <w:next w:val="CommentText"/>
    <w:link w:val="CommentSubjectChar"/>
    <w:uiPriority w:val="99"/>
    <w:semiHidden/>
    <w:unhideWhenUsed/>
    <w:rsid w:val="00F73F8F"/>
    <w:rPr>
      <w:b/>
      <w:bCs/>
    </w:rPr>
  </w:style>
  <w:style w:type="character" w:customStyle="1" w:styleId="CommentSubjectChar">
    <w:name w:val="Comment Subject Char"/>
    <w:basedOn w:val="CommentTextChar"/>
    <w:link w:val="CommentSubject"/>
    <w:uiPriority w:val="99"/>
    <w:semiHidden/>
    <w:rsid w:val="00F73F8F"/>
    <w:rPr>
      <w:b/>
      <w:bCs/>
      <w:sz w:val="20"/>
      <w:szCs w:val="20"/>
    </w:rPr>
  </w:style>
  <w:style w:type="paragraph" w:styleId="Revision">
    <w:name w:val="Revision"/>
    <w:hidden/>
    <w:uiPriority w:val="99"/>
    <w:semiHidden/>
    <w:rsid w:val="000B2F59"/>
    <w:pPr>
      <w:spacing w:after="0" w:line="240" w:lineRule="auto"/>
    </w:pPr>
  </w:style>
  <w:style w:type="character" w:styleId="FollowedHyperlink">
    <w:name w:val="FollowedHyperlink"/>
    <w:basedOn w:val="DefaultParagraphFont"/>
    <w:uiPriority w:val="99"/>
    <w:semiHidden/>
    <w:unhideWhenUsed/>
    <w:rsid w:val="006C5C43"/>
    <w:rPr>
      <w:color w:val="954F72" w:themeColor="followedHyperlink"/>
      <w:u w:val="single"/>
    </w:rPr>
  </w:style>
  <w:style w:type="character" w:customStyle="1" w:styleId="font1461">
    <w:name w:val="font1461"/>
    <w:basedOn w:val="DefaultParagraphFont"/>
    <w:rsid w:val="008A2C17"/>
    <w:rPr>
      <w:rFonts w:ascii="Calibri" w:hAnsi="Calibri" w:cs="Calibri" w:hint="default"/>
      <w:b w:val="0"/>
      <w:bCs w:val="0"/>
      <w:i w:val="0"/>
      <w:iCs w:val="0"/>
      <w:strike w:val="0"/>
      <w:dstrike w:val="0"/>
      <w:color w:val="000000"/>
      <w:sz w:val="24"/>
      <w:szCs w:val="24"/>
      <w:u w:val="none"/>
      <w:effect w:val="none"/>
    </w:rPr>
  </w:style>
  <w:style w:type="character" w:customStyle="1" w:styleId="font1521">
    <w:name w:val="font1521"/>
    <w:basedOn w:val="DefaultParagraphFont"/>
    <w:rsid w:val="008A2C17"/>
    <w:rPr>
      <w:rFonts w:ascii="Calibri" w:hAnsi="Calibri" w:cs="Calibri" w:hint="default"/>
      <w:b w:val="0"/>
      <w:bCs w:val="0"/>
      <w:i w:val="0"/>
      <w:iCs w:val="0"/>
      <w:strike w:val="0"/>
      <w:dstrike w:val="0"/>
      <w:color w:val="FF0000"/>
      <w:sz w:val="24"/>
      <w:szCs w:val="24"/>
      <w:u w:val="none"/>
      <w:effect w:val="none"/>
    </w:rPr>
  </w:style>
  <w:style w:type="character" w:customStyle="1" w:styleId="font1471">
    <w:name w:val="font1471"/>
    <w:basedOn w:val="DefaultParagraphFont"/>
    <w:rsid w:val="008A2C17"/>
    <w:rPr>
      <w:rFonts w:ascii="Calibri" w:hAnsi="Calibri" w:cs="Calibri" w:hint="default"/>
      <w:b/>
      <w:bCs/>
      <w:i w:val="0"/>
      <w:iCs w:val="0"/>
      <w:strike w:val="0"/>
      <w:dstrike w:val="0"/>
      <w:color w:val="000000"/>
      <w:sz w:val="24"/>
      <w:szCs w:val="24"/>
      <w:u w:val="none"/>
      <w:effect w:val="none"/>
    </w:rPr>
  </w:style>
  <w:style w:type="character" w:customStyle="1" w:styleId="font1441">
    <w:name w:val="font1441"/>
    <w:basedOn w:val="DefaultParagraphFont"/>
    <w:rsid w:val="008A2C17"/>
    <w:rPr>
      <w:rFonts w:ascii="Calibri" w:hAnsi="Calibri" w:cs="Calibri" w:hint="default"/>
      <w:b w:val="0"/>
      <w:bCs w:val="0"/>
      <w:i w:val="0"/>
      <w:iCs w:val="0"/>
      <w:strike w:val="0"/>
      <w:dstrike w:val="0"/>
      <w:color w:val="000000"/>
      <w:sz w:val="22"/>
      <w:szCs w:val="22"/>
      <w:u w:val="none"/>
      <w:effect w:val="none"/>
    </w:rPr>
  </w:style>
  <w:style w:type="character" w:customStyle="1" w:styleId="font1431">
    <w:name w:val="font1431"/>
    <w:basedOn w:val="DefaultParagraphFont"/>
    <w:rsid w:val="00885FDF"/>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069D2-EB14-4DF8-8B5D-982690F76115}">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8e1067c2-82b2-43e6-ba4a-21d0911eaf9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2A6DFF9-B7CC-4E8F-A6FF-E32EA9D45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BD88-1B3A-46AE-839B-4F27744DE0EA}">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1118</TotalTime>
  <Pages>3</Pages>
  <Words>5000</Words>
  <Characters>2850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5 (20191015)</dc:description>
  <cp:lastModifiedBy>Gintarė Alonderytė</cp:lastModifiedBy>
  <cp:revision>60</cp:revision>
  <dcterms:created xsi:type="dcterms:W3CDTF">2019-05-16T13:00:00Z</dcterms:created>
  <dcterms:modified xsi:type="dcterms:W3CDTF">2025-12-11T13:53:00Z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2019-06-11T07:19:21.2492494Z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f01ab589-3d03-4a47-8f50-da3e645bfe7d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2019-06-11T07:19:21.2492494Z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f01ab589-3d03-4a47-8f50-da3e645bfe7d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0x01010043E8CAB965D8B64B9970BA8E12001CE6</vt:lpwstr>
  </property>
</Properties>
</file>