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448E2" w14:textId="77777777" w:rsidR="00890B46" w:rsidRPr="00C82705" w:rsidRDefault="00890B46" w:rsidP="00890B46">
      <w:pPr>
        <w:pStyle w:val="Betarp"/>
        <w:jc w:val="right"/>
        <w:rPr>
          <w:rFonts w:ascii="Times New Roman" w:hAnsi="Times New Roman" w:cs="Times New Roman"/>
          <w:szCs w:val="20"/>
        </w:rPr>
      </w:pPr>
      <w:r w:rsidRPr="00C82705">
        <w:rPr>
          <w:rFonts w:ascii="Times New Roman" w:hAnsi="Times New Roman" w:cs="Times New Roman"/>
          <w:szCs w:val="20"/>
        </w:rPr>
        <w:t>Padidinto pravažumo 4x4 savivarčio krovininio automobilio su kranu</w:t>
      </w:r>
    </w:p>
    <w:p w14:paraId="1FFCCFE9" w14:textId="77777777" w:rsidR="00103F2F" w:rsidRPr="00C82705" w:rsidRDefault="00103F2F" w:rsidP="00103F2F">
      <w:pPr>
        <w:widowControl/>
        <w:suppressAutoHyphens w:val="0"/>
        <w:autoSpaceDE/>
        <w:autoSpaceDN/>
        <w:ind w:firstLine="0"/>
        <w:jc w:val="right"/>
        <w:textAlignment w:val="auto"/>
        <w:rPr>
          <w:rFonts w:ascii="Times New Roman" w:eastAsia="Batang" w:hAnsi="Times New Roman" w:cs="Times New Roman"/>
          <w:szCs w:val="20"/>
          <w:lang w:eastAsia="en-US"/>
        </w:rPr>
      </w:pPr>
      <w:r w:rsidRPr="00C82705">
        <w:rPr>
          <w:rFonts w:ascii="Times New Roman" w:eastAsia="Batang" w:hAnsi="Times New Roman" w:cs="Times New Roman"/>
          <w:szCs w:val="20"/>
          <w:lang w:eastAsia="en-US"/>
        </w:rPr>
        <w:t>Specialiųjų pirkimo sąlygų 7 priedas</w:t>
      </w:r>
    </w:p>
    <w:p w14:paraId="40C0CDE6" w14:textId="77777777" w:rsidR="00EB4121" w:rsidRPr="00C82705" w:rsidRDefault="00EB4121"/>
    <w:p w14:paraId="3FA7C97F" w14:textId="77777777" w:rsidR="009C50B4" w:rsidRPr="00C82705" w:rsidRDefault="009C50B4" w:rsidP="00103F2F">
      <w:pPr>
        <w:pStyle w:val="Betarp"/>
        <w:jc w:val="center"/>
        <w:rPr>
          <w:rFonts w:ascii="Times New Roman" w:hAnsi="Times New Roman" w:cs="Times New Roman"/>
          <w:b/>
          <w:sz w:val="24"/>
        </w:rPr>
      </w:pPr>
    </w:p>
    <w:p w14:paraId="22E9D7EB" w14:textId="77777777" w:rsidR="00103F2F" w:rsidRPr="00C82705" w:rsidRDefault="00103F2F" w:rsidP="00103F2F">
      <w:pPr>
        <w:pStyle w:val="Betarp"/>
        <w:jc w:val="center"/>
        <w:rPr>
          <w:rFonts w:ascii="Times New Roman" w:hAnsi="Times New Roman" w:cs="Times New Roman"/>
          <w:b/>
          <w:sz w:val="24"/>
        </w:rPr>
      </w:pPr>
      <w:r w:rsidRPr="00C82705">
        <w:rPr>
          <w:rFonts w:ascii="Times New Roman" w:hAnsi="Times New Roman" w:cs="Times New Roman"/>
          <w:b/>
          <w:sz w:val="24"/>
        </w:rPr>
        <w:t>PASIŪLYMŲ VERTINIMO KRITERIJAI IR SĄLYGOS</w:t>
      </w:r>
    </w:p>
    <w:p w14:paraId="000D107E" w14:textId="77777777" w:rsidR="00103F2F" w:rsidRPr="00C82705" w:rsidRDefault="00103F2F" w:rsidP="00103F2F">
      <w:pPr>
        <w:pStyle w:val="Betarp"/>
        <w:jc w:val="center"/>
        <w:rPr>
          <w:rFonts w:ascii="Times New Roman" w:hAnsi="Times New Roman" w:cs="Times New Roman"/>
          <w:b/>
          <w:sz w:val="24"/>
        </w:rPr>
      </w:pPr>
    </w:p>
    <w:p w14:paraId="103E5525" w14:textId="145C685D" w:rsidR="00103F2F" w:rsidRPr="00C82705" w:rsidRDefault="00103F2F" w:rsidP="00103F2F">
      <w:pPr>
        <w:pStyle w:val="Betarp"/>
        <w:jc w:val="both"/>
        <w:rPr>
          <w:rFonts w:ascii="Times New Roman" w:hAnsi="Times New Roman" w:cs="Times New Roman"/>
          <w:sz w:val="24"/>
          <w:szCs w:val="32"/>
        </w:rPr>
      </w:pPr>
      <w:r w:rsidRPr="00C82705">
        <w:rPr>
          <w:rFonts w:ascii="Times New Roman" w:hAnsi="Times New Roman" w:cs="Times New Roman"/>
          <w:sz w:val="24"/>
          <w:szCs w:val="32"/>
        </w:rPr>
        <w:t xml:space="preserve">Ekonomiškai naudingiausias </w:t>
      </w:r>
      <w:r w:rsidR="000A64B9" w:rsidRPr="00C82705">
        <w:rPr>
          <w:rFonts w:ascii="Times New Roman" w:hAnsi="Times New Roman" w:cs="Times New Roman"/>
          <w:sz w:val="24"/>
        </w:rPr>
        <w:t xml:space="preserve">pasiūlymas bus išrenkamas </w:t>
      </w:r>
      <w:r w:rsidR="000A64B9" w:rsidRPr="00C82705">
        <w:rPr>
          <w:rFonts w:ascii="Times New Roman" w:hAnsi="Times New Roman" w:cs="Times New Roman"/>
          <w:b/>
          <w:bCs/>
          <w:sz w:val="24"/>
        </w:rPr>
        <w:t>pagal kainos ir kokybės santykį</w:t>
      </w:r>
      <w:r w:rsidR="000A64B9" w:rsidRPr="00C82705">
        <w:rPr>
          <w:rFonts w:ascii="Times New Roman" w:hAnsi="Times New Roman" w:cs="Times New Roman"/>
          <w:bCs/>
          <w:sz w:val="24"/>
        </w:rPr>
        <w:t>.</w:t>
      </w:r>
      <w:r w:rsidR="000A64B9" w:rsidRPr="00C82705">
        <w:rPr>
          <w:b/>
          <w:bCs/>
          <w:sz w:val="23"/>
          <w:szCs w:val="23"/>
        </w:rPr>
        <w:t xml:space="preserve"> </w:t>
      </w:r>
      <w:r w:rsidR="000A64B9" w:rsidRPr="00C82705">
        <w:rPr>
          <w:rFonts w:ascii="Times New Roman" w:hAnsi="Times New Roman" w:cs="Times New Roman"/>
          <w:sz w:val="24"/>
          <w:szCs w:val="32"/>
        </w:rPr>
        <w:t>P</w:t>
      </w:r>
      <w:r w:rsidRPr="00C82705">
        <w:rPr>
          <w:rFonts w:ascii="Times New Roman" w:hAnsi="Times New Roman" w:cs="Times New Roman"/>
          <w:sz w:val="24"/>
          <w:szCs w:val="32"/>
        </w:rPr>
        <w:t xml:space="preserve">asiūlymo vertinimas bus atliekamas pagal vertinimo kriterijus ir jų lyginamuosius svorius. Tiekėjas turi pateikti dokumentus, leidžiančius įvertinti jo pasiūlymą pagal šiose konkurso </w:t>
      </w:r>
      <w:r w:rsidR="00745D30" w:rsidRPr="00C82705">
        <w:rPr>
          <w:rFonts w:ascii="Times New Roman" w:hAnsi="Times New Roman" w:cs="Times New Roman"/>
          <w:sz w:val="24"/>
          <w:szCs w:val="32"/>
        </w:rPr>
        <w:t>s</w:t>
      </w:r>
      <w:r w:rsidRPr="00C82705">
        <w:rPr>
          <w:rFonts w:ascii="Times New Roman" w:hAnsi="Times New Roman" w:cs="Times New Roman"/>
          <w:sz w:val="24"/>
          <w:szCs w:val="32"/>
        </w:rPr>
        <w:t>ąlygose nurodytus vertinimo kriterijus ir jų parametrus. Nebus taikomi jokie kiti vertinimo kriterijai.</w:t>
      </w:r>
    </w:p>
    <w:p w14:paraId="425515BA" w14:textId="77777777" w:rsidR="00D35E58" w:rsidRPr="00C82705" w:rsidRDefault="00D35E58" w:rsidP="00103F2F">
      <w:pPr>
        <w:pStyle w:val="Betarp"/>
        <w:jc w:val="both"/>
        <w:rPr>
          <w:rFonts w:ascii="Times New Roman" w:hAnsi="Times New Roman" w:cs="Times New Roman"/>
          <w:sz w:val="16"/>
          <w:szCs w:val="16"/>
        </w:rPr>
      </w:pPr>
    </w:p>
    <w:p w14:paraId="552F6B49" w14:textId="77777777" w:rsidR="00545F76" w:rsidRPr="00C82705" w:rsidRDefault="00103F2F" w:rsidP="003608C4">
      <w:pPr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32"/>
        </w:rPr>
      </w:pPr>
      <w:r w:rsidRPr="00C82705">
        <w:rPr>
          <w:rFonts w:ascii="Times New Roman" w:hAnsi="Times New Roman" w:cs="Times New Roman"/>
          <w:sz w:val="24"/>
          <w:szCs w:val="32"/>
        </w:rPr>
        <w:t>Pasiūlymų vertinimui bus taikomi šie kriterijai:</w:t>
      </w:r>
    </w:p>
    <w:tbl>
      <w:tblPr>
        <w:tblpPr w:leftFromText="180" w:rightFromText="180" w:bottomFromText="160" w:vertAnchor="text" w:horzAnchor="margin" w:tblpY="29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677"/>
      </w:tblGrid>
      <w:tr w:rsidR="00C82705" w:rsidRPr="00C82705" w14:paraId="072FC93D" w14:textId="77777777" w:rsidTr="003608C4">
        <w:trPr>
          <w:cantSplit/>
          <w:trHeight w:val="55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BAAB" w14:textId="77777777" w:rsidR="00545F76" w:rsidRPr="00C82705" w:rsidRDefault="00545F76" w:rsidP="0087318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Eil</w:t>
            </w:r>
            <w:proofErr w:type="spellEnd"/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 xml:space="preserve"> 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0238" w14:textId="77777777" w:rsidR="00545F76" w:rsidRPr="00C82705" w:rsidRDefault="00545F76" w:rsidP="00873182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Vertinimo kriterijai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FEDA" w14:textId="77777777" w:rsidR="00545F76" w:rsidRPr="00C82705" w:rsidRDefault="00545F76" w:rsidP="00873182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Lyginamasis svoris įvertinant ekonominį naudingumą, balais</w:t>
            </w:r>
          </w:p>
        </w:tc>
      </w:tr>
      <w:tr w:rsidR="00C82705" w:rsidRPr="00C82705" w14:paraId="57957F30" w14:textId="77777777" w:rsidTr="003608C4">
        <w:trPr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ED0B" w14:textId="77777777" w:rsidR="00545F76" w:rsidRPr="00C82705" w:rsidRDefault="00545F76" w:rsidP="00873182">
            <w:pPr>
              <w:ind w:firstLine="29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AE91" w14:textId="77777777" w:rsidR="00545F76" w:rsidRPr="00C82705" w:rsidRDefault="00873182" w:rsidP="00873182">
            <w:pPr>
              <w:ind w:firstLine="34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Prekės kaina, Eur su</w:t>
            </w:r>
            <w:r w:rsidR="00545F76" w:rsidRPr="00C82705">
              <w:rPr>
                <w:rFonts w:ascii="Times New Roman" w:hAnsi="Times New Roman" w:cs="Times New Roman"/>
                <w:bCs/>
                <w:sz w:val="24"/>
              </w:rPr>
              <w:t xml:space="preserve"> PVM </w:t>
            </w:r>
            <w:r w:rsidR="00545F76" w:rsidRPr="00C82705">
              <w:rPr>
                <w:rFonts w:ascii="Times New Roman" w:hAnsi="Times New Roman" w:cs="Times New Roman"/>
                <w:b/>
                <w:bCs/>
                <w:sz w:val="24"/>
              </w:rPr>
              <w:t>(C)</w:t>
            </w:r>
            <w:r w:rsidR="00545F76" w:rsidRPr="00C8270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B5E9" w14:textId="7AA3A597" w:rsidR="00545F76" w:rsidRPr="00C82705" w:rsidRDefault="00C75E8C" w:rsidP="00873182">
            <w:pPr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C82705" w:rsidRPr="00C82705" w14:paraId="2AD481F0" w14:textId="77777777" w:rsidTr="003608C4">
        <w:trPr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4296" w14:textId="77777777" w:rsidR="00545F76" w:rsidRPr="00C82705" w:rsidRDefault="00545F76" w:rsidP="00873182">
            <w:pPr>
              <w:ind w:firstLine="29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286B" w14:textId="6A2AFACF" w:rsidR="00545F76" w:rsidRPr="00C82705" w:rsidRDefault="00545F76" w:rsidP="00873182">
            <w:pPr>
              <w:ind w:firstLine="34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 xml:space="preserve">Prekės </w:t>
            </w:r>
            <w:r w:rsidR="00DA3D02" w:rsidRPr="00C82705">
              <w:rPr>
                <w:rFonts w:ascii="Times New Roman" w:hAnsi="Times New Roman" w:cs="Times New Roman"/>
                <w:bCs/>
                <w:sz w:val="24"/>
              </w:rPr>
              <w:t xml:space="preserve">kokybiniai </w:t>
            </w:r>
            <w:r w:rsidRPr="00C82705">
              <w:rPr>
                <w:rFonts w:ascii="Times New Roman" w:hAnsi="Times New Roman" w:cs="Times New Roman"/>
                <w:bCs/>
                <w:sz w:val="24"/>
              </w:rPr>
              <w:t xml:space="preserve">techniniai parametrai,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(T)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65FE" w14:textId="77289BB6" w:rsidR="00545F76" w:rsidRPr="00C82705" w:rsidRDefault="00DA090F" w:rsidP="00873182">
            <w:pPr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3</w:t>
            </w:r>
            <w:r w:rsidR="00C75E8C" w:rsidRPr="00C82705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82705" w:rsidRPr="00C82705" w14:paraId="1954F065" w14:textId="77777777" w:rsidTr="003608C4"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4A9" w14:textId="77777777" w:rsidR="00545F76" w:rsidRPr="00C82705" w:rsidRDefault="00873182" w:rsidP="00873182">
            <w:pPr>
              <w:ind w:firstLine="29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C461" w14:textId="77777777" w:rsidR="00545F76" w:rsidRPr="00C82705" w:rsidRDefault="00545F76" w:rsidP="00873182">
            <w:pPr>
              <w:ind w:firstLine="34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 xml:space="preserve">Ekonominis naudingumas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(S</w:t>
            </w:r>
            <w:r w:rsidR="00873182" w:rsidRPr="00C8270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=</w:t>
            </w:r>
            <w:r w:rsidR="00873182" w:rsidRPr="00C8270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  <w:r w:rsidR="00873182" w:rsidRPr="00C8270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+</w:t>
            </w:r>
            <w:r w:rsidR="00873182" w:rsidRPr="00C8270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82705">
              <w:rPr>
                <w:rFonts w:ascii="Times New Roman" w:hAnsi="Times New Roman" w:cs="Times New Roman"/>
                <w:b/>
                <w:bCs/>
                <w:sz w:val="24"/>
              </w:rPr>
              <w:t>T)</w:t>
            </w:r>
            <w:r w:rsidRPr="00C8270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70A" w14:textId="77777777" w:rsidR="00545F76" w:rsidRPr="00C82705" w:rsidRDefault="00545F76" w:rsidP="00873182">
            <w:pPr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6A970A49" w14:textId="77777777" w:rsidR="00545F76" w:rsidRPr="00C82705" w:rsidRDefault="00545F76" w:rsidP="00545F76">
      <w:pPr>
        <w:rPr>
          <w:rFonts w:ascii="Times New Roman" w:hAnsi="Times New Roman" w:cs="Times New Roman"/>
          <w:sz w:val="16"/>
          <w:szCs w:val="16"/>
        </w:rPr>
      </w:pPr>
    </w:p>
    <w:p w14:paraId="3F728A2E" w14:textId="77777777" w:rsidR="000D715E" w:rsidRPr="00C82705" w:rsidRDefault="000D715E" w:rsidP="00196695">
      <w:pPr>
        <w:pStyle w:val="Betarp"/>
        <w:jc w:val="both"/>
        <w:rPr>
          <w:rFonts w:ascii="Times New Roman" w:hAnsi="Times New Roman" w:cs="Times New Roman"/>
          <w:b/>
          <w:sz w:val="24"/>
        </w:rPr>
      </w:pPr>
      <w:r w:rsidRPr="00C82705">
        <w:rPr>
          <w:rFonts w:ascii="Times New Roman" w:hAnsi="Times New Roman" w:cs="Times New Roman"/>
          <w:b/>
          <w:sz w:val="24"/>
        </w:rPr>
        <w:t>1. Pasiūlymo kainos vertinimas.</w:t>
      </w:r>
    </w:p>
    <w:p w14:paraId="282BE3A0" w14:textId="2B37BFB8" w:rsidR="00196695" w:rsidRPr="00C82705" w:rsidRDefault="00196695" w:rsidP="00196695">
      <w:pPr>
        <w:pStyle w:val="Betarp"/>
        <w:jc w:val="both"/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sz w:val="24"/>
        </w:rPr>
        <w:t>Pasiūlymo kainos (C) balai apskaičiuojami mažiausios pasiūlymo kainos (</w:t>
      </w:r>
      <w:proofErr w:type="spellStart"/>
      <w:r w:rsidRPr="00C82705">
        <w:rPr>
          <w:rFonts w:ascii="Times New Roman" w:hAnsi="Times New Roman" w:cs="Times New Roman"/>
          <w:sz w:val="24"/>
        </w:rPr>
        <w:t>C</w:t>
      </w:r>
      <w:r w:rsidRPr="00C82705">
        <w:rPr>
          <w:rFonts w:ascii="Times New Roman" w:hAnsi="Times New Roman" w:cs="Times New Roman"/>
          <w:sz w:val="24"/>
          <w:vertAlign w:val="subscript"/>
        </w:rPr>
        <w:t>min</w:t>
      </w:r>
      <w:proofErr w:type="spellEnd"/>
      <w:r w:rsidRPr="00C82705">
        <w:rPr>
          <w:rFonts w:ascii="Times New Roman" w:hAnsi="Times New Roman" w:cs="Times New Roman"/>
          <w:sz w:val="24"/>
        </w:rPr>
        <w:t>)</w:t>
      </w:r>
      <w:r w:rsidR="00745D30" w:rsidRPr="00C82705">
        <w:rPr>
          <w:rFonts w:ascii="Times New Roman" w:hAnsi="Times New Roman" w:cs="Times New Roman"/>
          <w:sz w:val="24"/>
        </w:rPr>
        <w:t xml:space="preserve"> </w:t>
      </w:r>
      <w:r w:rsidRPr="00C82705">
        <w:rPr>
          <w:rFonts w:ascii="Times New Roman" w:hAnsi="Times New Roman" w:cs="Times New Roman"/>
          <w:sz w:val="24"/>
        </w:rPr>
        <w:t>ir vertinamo pasiūlymo kainos (</w:t>
      </w:r>
      <w:proofErr w:type="spellStart"/>
      <w:r w:rsidRPr="00C82705">
        <w:rPr>
          <w:rFonts w:ascii="Times New Roman" w:hAnsi="Times New Roman" w:cs="Times New Roman"/>
          <w:sz w:val="24"/>
        </w:rPr>
        <w:t>C</w:t>
      </w:r>
      <w:r w:rsidRPr="00C82705">
        <w:rPr>
          <w:rFonts w:ascii="Times New Roman" w:hAnsi="Times New Roman" w:cs="Times New Roman"/>
          <w:sz w:val="24"/>
          <w:vertAlign w:val="subscript"/>
        </w:rPr>
        <w:t>p</w:t>
      </w:r>
      <w:proofErr w:type="spellEnd"/>
      <w:r w:rsidRPr="00C82705">
        <w:rPr>
          <w:rFonts w:ascii="Times New Roman" w:hAnsi="Times New Roman" w:cs="Times New Roman"/>
          <w:sz w:val="24"/>
        </w:rPr>
        <w:t>) santykį padauginant</w:t>
      </w:r>
      <w:r w:rsidR="00C75E8C" w:rsidRPr="00C82705">
        <w:rPr>
          <w:rFonts w:ascii="Times New Roman" w:hAnsi="Times New Roman" w:cs="Times New Roman"/>
          <w:sz w:val="24"/>
        </w:rPr>
        <w:t xml:space="preserve"> iš kainos lyginamojo svorio (65</w:t>
      </w:r>
      <w:r w:rsidRPr="00C82705">
        <w:rPr>
          <w:rFonts w:ascii="Times New Roman" w:hAnsi="Times New Roman" w:cs="Times New Roman"/>
          <w:sz w:val="24"/>
        </w:rPr>
        <w:t>):</w:t>
      </w:r>
    </w:p>
    <w:p w14:paraId="36C82D98" w14:textId="0D4DA4CA" w:rsidR="00196695" w:rsidRPr="00C82705" w:rsidRDefault="00196695" w:rsidP="00196695">
      <w:pPr>
        <w:pStyle w:val="Betarp"/>
        <w:jc w:val="both"/>
        <w:rPr>
          <w:rFonts w:ascii="Times New Roman" w:hAnsi="Times New Roman" w:cs="Times New Roman"/>
          <w:b/>
          <w:sz w:val="24"/>
        </w:rPr>
      </w:pPr>
      <w:r w:rsidRPr="00C82705">
        <w:rPr>
          <w:rFonts w:ascii="Times New Roman" w:hAnsi="Times New Roman" w:cs="Times New Roman"/>
          <w:b/>
          <w:sz w:val="24"/>
        </w:rPr>
        <w:t>C= (</w:t>
      </w:r>
      <w:proofErr w:type="spellStart"/>
      <w:r w:rsidRPr="00C82705">
        <w:rPr>
          <w:rFonts w:ascii="Times New Roman" w:hAnsi="Times New Roman" w:cs="Times New Roman"/>
          <w:b/>
          <w:sz w:val="24"/>
        </w:rPr>
        <w:t>C</w:t>
      </w:r>
      <w:r w:rsidRPr="00C82705">
        <w:rPr>
          <w:rFonts w:ascii="Times New Roman" w:hAnsi="Times New Roman" w:cs="Times New Roman"/>
          <w:b/>
          <w:sz w:val="24"/>
          <w:vertAlign w:val="subscript"/>
        </w:rPr>
        <w:t>min</w:t>
      </w:r>
      <w:proofErr w:type="spellEnd"/>
      <w:r w:rsidRPr="00C82705">
        <w:rPr>
          <w:rFonts w:ascii="Times New Roman" w:hAnsi="Times New Roman" w:cs="Times New Roman"/>
          <w:b/>
          <w:sz w:val="24"/>
          <w:vertAlign w:val="subscript"/>
        </w:rPr>
        <w:t xml:space="preserve"> </w:t>
      </w:r>
      <w:r w:rsidRPr="00C82705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Pr="00C82705">
        <w:rPr>
          <w:rFonts w:ascii="Times New Roman" w:hAnsi="Times New Roman" w:cs="Times New Roman"/>
          <w:b/>
          <w:sz w:val="24"/>
        </w:rPr>
        <w:t>C</w:t>
      </w:r>
      <w:r w:rsidRPr="00C82705">
        <w:rPr>
          <w:rFonts w:ascii="Times New Roman" w:hAnsi="Times New Roman" w:cs="Times New Roman"/>
          <w:b/>
          <w:sz w:val="24"/>
          <w:vertAlign w:val="subscript"/>
        </w:rPr>
        <w:t>p</w:t>
      </w:r>
      <w:proofErr w:type="spellEnd"/>
      <w:r w:rsidRPr="00C82705">
        <w:rPr>
          <w:rFonts w:ascii="Times New Roman" w:hAnsi="Times New Roman" w:cs="Times New Roman"/>
          <w:b/>
          <w:sz w:val="24"/>
          <w:vertAlign w:val="subscript"/>
        </w:rPr>
        <w:t xml:space="preserve"> </w:t>
      </w:r>
      <w:r w:rsidR="00C75E8C" w:rsidRPr="00C82705">
        <w:rPr>
          <w:rFonts w:ascii="Times New Roman" w:hAnsi="Times New Roman" w:cs="Times New Roman"/>
          <w:b/>
          <w:sz w:val="24"/>
        </w:rPr>
        <w:t>) x 65</w:t>
      </w:r>
    </w:p>
    <w:p w14:paraId="3889EA19" w14:textId="01B37E42" w:rsidR="00196695" w:rsidRPr="00C82705" w:rsidRDefault="00196695" w:rsidP="00196695">
      <w:pPr>
        <w:pStyle w:val="Betarp"/>
        <w:jc w:val="both"/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sz w:val="24"/>
        </w:rPr>
        <w:t xml:space="preserve">Maksimalus </w:t>
      </w:r>
      <w:r w:rsidRPr="00C82705">
        <w:rPr>
          <w:rFonts w:ascii="Times New Roman" w:hAnsi="Times New Roman" w:cs="Times New Roman"/>
          <w:b/>
          <w:sz w:val="24"/>
        </w:rPr>
        <w:t>C</w:t>
      </w:r>
      <w:r w:rsidRPr="00C82705">
        <w:rPr>
          <w:rFonts w:ascii="Times New Roman" w:hAnsi="Times New Roman" w:cs="Times New Roman"/>
          <w:sz w:val="24"/>
        </w:rPr>
        <w:t xml:space="preserve"> kriterijaus galimas įvertinimas – </w:t>
      </w:r>
      <w:r w:rsidR="00C75E8C" w:rsidRPr="00C82705">
        <w:rPr>
          <w:rFonts w:ascii="Times New Roman" w:hAnsi="Times New Roman" w:cs="Times New Roman"/>
          <w:b/>
          <w:sz w:val="24"/>
        </w:rPr>
        <w:t>65</w:t>
      </w:r>
      <w:r w:rsidR="009C50B4" w:rsidRPr="00C82705">
        <w:rPr>
          <w:rFonts w:ascii="Times New Roman" w:hAnsi="Times New Roman" w:cs="Times New Roman"/>
          <w:sz w:val="24"/>
        </w:rPr>
        <w:t xml:space="preserve"> balų</w:t>
      </w:r>
      <w:r w:rsidRPr="00C82705">
        <w:rPr>
          <w:rFonts w:ascii="Times New Roman" w:hAnsi="Times New Roman" w:cs="Times New Roman"/>
          <w:sz w:val="24"/>
        </w:rPr>
        <w:t>.</w:t>
      </w:r>
    </w:p>
    <w:p w14:paraId="7A57FC42" w14:textId="75BF5B9C" w:rsidR="00745D30" w:rsidRPr="00C82705" w:rsidRDefault="00745D30" w:rsidP="00196695">
      <w:pPr>
        <w:pStyle w:val="Betarp"/>
        <w:jc w:val="both"/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sz w:val="24"/>
        </w:rPr>
        <w:t>C kriteri</w:t>
      </w:r>
      <w:r w:rsidR="005949F0" w:rsidRPr="00C82705">
        <w:rPr>
          <w:rFonts w:ascii="Times New Roman" w:hAnsi="Times New Roman" w:cs="Times New Roman"/>
          <w:sz w:val="24"/>
        </w:rPr>
        <w:t xml:space="preserve">jaus apvalinimas atliekamas </w:t>
      </w:r>
      <w:r w:rsidRPr="00C82705">
        <w:rPr>
          <w:rFonts w:ascii="Times New Roman" w:hAnsi="Times New Roman" w:cs="Times New Roman"/>
          <w:sz w:val="24"/>
        </w:rPr>
        <w:t>2 skaičių po kablelio tikslumu.</w:t>
      </w:r>
    </w:p>
    <w:p w14:paraId="1DE69EAB" w14:textId="77777777" w:rsidR="00196695" w:rsidRPr="00C82705" w:rsidRDefault="00196695" w:rsidP="00196695">
      <w:pPr>
        <w:pStyle w:val="Betarp"/>
        <w:jc w:val="both"/>
        <w:rPr>
          <w:rFonts w:ascii="Times New Roman" w:hAnsi="Times New Roman" w:cs="Times New Roman"/>
          <w:sz w:val="16"/>
          <w:szCs w:val="16"/>
        </w:rPr>
      </w:pPr>
      <w:r w:rsidRPr="00C82705">
        <w:rPr>
          <w:rFonts w:ascii="Times New Roman" w:hAnsi="Times New Roman" w:cs="Times New Roman"/>
          <w:sz w:val="24"/>
        </w:rPr>
        <w:t xml:space="preserve"> </w:t>
      </w:r>
    </w:p>
    <w:p w14:paraId="3361DAF1" w14:textId="77777777" w:rsidR="00196695" w:rsidRPr="00C82705" w:rsidRDefault="000D715E" w:rsidP="00873182">
      <w:pPr>
        <w:pStyle w:val="Betarp"/>
        <w:jc w:val="both"/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b/>
          <w:sz w:val="24"/>
        </w:rPr>
        <w:t xml:space="preserve">2. </w:t>
      </w:r>
      <w:r w:rsidR="00545F76" w:rsidRPr="00C82705">
        <w:rPr>
          <w:rFonts w:ascii="Times New Roman" w:hAnsi="Times New Roman" w:cs="Times New Roman"/>
          <w:b/>
          <w:sz w:val="24"/>
        </w:rPr>
        <w:t>Technini</w:t>
      </w:r>
      <w:r w:rsidR="009C50B4" w:rsidRPr="00C82705">
        <w:rPr>
          <w:rFonts w:ascii="Times New Roman" w:hAnsi="Times New Roman" w:cs="Times New Roman"/>
          <w:b/>
          <w:sz w:val="24"/>
        </w:rPr>
        <w:t>ų parametrų (T) vertinimas</w:t>
      </w:r>
      <w:r w:rsidR="00545F76" w:rsidRPr="00C82705">
        <w:rPr>
          <w:rFonts w:ascii="Times New Roman" w:hAnsi="Times New Roman" w:cs="Times New Roman"/>
          <w:b/>
          <w:sz w:val="24"/>
        </w:rPr>
        <w:t>.</w:t>
      </w:r>
      <w:r w:rsidR="00545F76" w:rsidRPr="00C82705">
        <w:rPr>
          <w:rFonts w:ascii="Times New Roman" w:hAnsi="Times New Roman" w:cs="Times New Roman"/>
          <w:sz w:val="24"/>
        </w:rPr>
        <w:t xml:space="preserve"> </w:t>
      </w:r>
    </w:p>
    <w:p w14:paraId="4C191AB4" w14:textId="01F5329E" w:rsidR="00DA090F" w:rsidRPr="00C82705" w:rsidRDefault="00545F76" w:rsidP="00873182">
      <w:pPr>
        <w:pStyle w:val="Betarp"/>
        <w:jc w:val="both"/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sz w:val="24"/>
        </w:rPr>
        <w:t xml:space="preserve">Perkančioji organizacija už numatytus </w:t>
      </w:r>
      <w:r w:rsidR="00182FCE" w:rsidRPr="00C82705">
        <w:rPr>
          <w:rFonts w:ascii="Times New Roman" w:hAnsi="Times New Roman" w:cs="Times New Roman"/>
          <w:sz w:val="24"/>
        </w:rPr>
        <w:t xml:space="preserve">kokybinius </w:t>
      </w:r>
      <w:r w:rsidRPr="00C82705">
        <w:rPr>
          <w:rFonts w:ascii="Times New Roman" w:hAnsi="Times New Roman" w:cs="Times New Roman"/>
          <w:sz w:val="24"/>
        </w:rPr>
        <w:t>techninius parametrus skiria balus:</w:t>
      </w:r>
    </w:p>
    <w:p w14:paraId="7A224C58" w14:textId="77777777" w:rsidR="00545F76" w:rsidRPr="00C82705" w:rsidRDefault="00545F76" w:rsidP="00873182">
      <w:pPr>
        <w:pStyle w:val="Betarp"/>
        <w:rPr>
          <w:rFonts w:ascii="Times New Roman" w:hAnsi="Times New Roman" w:cs="Times New Roman"/>
          <w:sz w:val="16"/>
          <w:szCs w:val="16"/>
        </w:rPr>
      </w:pPr>
      <w:r w:rsidRPr="00C82705">
        <w:rPr>
          <w:rFonts w:ascii="Times New Roman" w:hAnsi="Times New Roman" w:cs="Times New Roman"/>
          <w:sz w:val="24"/>
        </w:rPr>
        <w:t xml:space="preserve">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3261"/>
      </w:tblGrid>
      <w:tr w:rsidR="00C82705" w:rsidRPr="00C82705" w14:paraId="25D47ED9" w14:textId="77777777" w:rsidTr="0059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CDD3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705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C2E3" w14:textId="77777777" w:rsidR="005949F0" w:rsidRPr="00C82705" w:rsidRDefault="005949F0" w:rsidP="008731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450E4" w14:textId="77777777" w:rsidR="005949F0" w:rsidRPr="00C82705" w:rsidRDefault="005949F0" w:rsidP="002B48E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2705">
              <w:rPr>
                <w:rFonts w:ascii="Times New Roman" w:hAnsi="Times New Roman" w:cs="Times New Roman"/>
                <w:b/>
                <w:sz w:val="24"/>
              </w:rPr>
              <w:t>Aprašymas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E6CF" w14:textId="0861F514" w:rsidR="005949F0" w:rsidRPr="00C82705" w:rsidRDefault="004524EF" w:rsidP="004524EF">
            <w:pPr>
              <w:pStyle w:val="Betarp"/>
              <w:ind w:right="-5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705">
              <w:rPr>
                <w:rFonts w:ascii="Times New Roman" w:hAnsi="Times New Roman" w:cs="Times New Roman"/>
                <w:b/>
                <w:sz w:val="22"/>
                <w:szCs w:val="22"/>
              </w:rPr>
              <w:t>Skiriami balai</w:t>
            </w:r>
          </w:p>
        </w:tc>
      </w:tr>
      <w:tr w:rsidR="00C82705" w:rsidRPr="00C82705" w14:paraId="0492213A" w14:textId="77777777" w:rsidTr="005949F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D7A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B892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Automobilio šoninės saugos oro pagalvės vairuotojo ir keleivio pusėse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E6A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C82705" w:rsidRPr="00C82705" w14:paraId="6434657E" w14:textId="77777777" w:rsidTr="005949F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E36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AE6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 xml:space="preserve">Gamyklinis automobilio aklosios zonos apžvalgos langas keleivio duryse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800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394D7694" w14:textId="77777777" w:rsidTr="005949F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AD9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C22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Automobilio šoninio posvyrio/stabilumo monitoringo sistema išverčiant konteinerį, blokuojanti vertimą esant 5° kampui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545F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</w:tr>
      <w:tr w:rsidR="00C82705" w:rsidRPr="00C82705" w14:paraId="0B82D7BB" w14:textId="77777777" w:rsidTr="005949F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0EC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0AC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Manipuliatoriaus elektronikos valdymo blokas abiejose automobilio pusėse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18E7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051BC124" w14:textId="77777777" w:rsidTr="005949F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87E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EF29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Manipuliatoriaus atraminių kojų valdymas radijo bangų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304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4E4EE28E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FE6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86A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Manipuliatoriaus strėlės vertikalaus švytavimo slopinimo automatinė sistema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447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C82705" w:rsidRPr="00C82705" w14:paraId="48F090A8" w14:textId="77777777" w:rsidTr="005949F0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86E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9B71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Manipuliatoriaus automatinio suparkavimo transportavimui už kabinos funkcija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2D5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C82705" w:rsidRPr="00C82705" w14:paraId="6915664D" w14:textId="77777777" w:rsidTr="0059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FB6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B6C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Manipuliatoriaus kelmo ir kolonos žarnos jų konstrukcijų viduje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411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647C99E8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673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AFE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Keltuvas su konteinerio traukimo metu pakėlimo nuo atraminių padelių funkcija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DCC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C82705" w:rsidRPr="00C82705" w14:paraId="123DFCD5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8A9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D25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Keltuvas su proporciniu valdymu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E70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0E8047FD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3A7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A6D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 xml:space="preserve">Keltuvas su automatine kablio stabdymo funkcija, atlenkiant ties konteinerio kilpos aukščiu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BB4" w14:textId="77777777" w:rsidR="005949F0" w:rsidRPr="00C82705" w:rsidRDefault="005949F0" w:rsidP="003608C4">
            <w:pPr>
              <w:pStyle w:val="Betarp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</w:tr>
      <w:tr w:rsidR="00C82705" w:rsidRPr="00C82705" w14:paraId="1E41063D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220" w14:textId="77777777" w:rsidR="005949F0" w:rsidRPr="00C82705" w:rsidRDefault="005949F0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ED4" w14:textId="77777777" w:rsidR="005949F0" w:rsidRPr="00C82705" w:rsidRDefault="005949F0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Keltuvas su lengvai keičiamu kabliu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F63" w14:textId="77777777" w:rsidR="005949F0" w:rsidRPr="00C82705" w:rsidRDefault="005949F0" w:rsidP="003608C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C82705" w:rsidRPr="00C82705" w14:paraId="08E3818D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5F4" w14:textId="61F9AA84" w:rsidR="00C75E8C" w:rsidRPr="00C82705" w:rsidRDefault="00C75E8C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839" w14:textId="6F6407A6" w:rsidR="00C75E8C" w:rsidRPr="00C82705" w:rsidRDefault="00C75E8C" w:rsidP="00C75E8C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Aklųjų zonų stebėjimo sistema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098" w14:textId="381E0204" w:rsidR="00C75E8C" w:rsidRPr="00C82705" w:rsidRDefault="00C75E8C" w:rsidP="003608C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4F8FFD6A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D9" w14:textId="420F7015" w:rsidR="00C75E8C" w:rsidRPr="00C82705" w:rsidRDefault="00C75E8C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0AE" w14:textId="1A761E6A" w:rsidR="00C75E8C" w:rsidRPr="00C82705" w:rsidRDefault="00C75E8C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Įspėjimo apie susidūrimą sistema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8D9" w14:textId="0FF7FFD3" w:rsidR="00C75E8C" w:rsidRPr="00C82705" w:rsidRDefault="00C75E8C" w:rsidP="003608C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C82705" w:rsidRPr="00C82705" w14:paraId="0B31E18F" w14:textId="77777777" w:rsidTr="005949F0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F90" w14:textId="654B9F35" w:rsidR="00C75E8C" w:rsidRPr="00C82705" w:rsidRDefault="00C75E8C" w:rsidP="00873182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A43" w14:textId="02D9C27F" w:rsidR="00C75E8C" w:rsidRPr="00C82705" w:rsidRDefault="00C75E8C" w:rsidP="003608C4">
            <w:pPr>
              <w:pStyle w:val="Betarp"/>
              <w:ind w:firstLine="0"/>
              <w:rPr>
                <w:rFonts w:ascii="Times New Roman" w:hAnsi="Times New Roman" w:cs="Times New Roman"/>
                <w:sz w:val="24"/>
              </w:rPr>
            </w:pPr>
            <w:r w:rsidRPr="00C82705">
              <w:rPr>
                <w:rFonts w:ascii="Times New Roman" w:hAnsi="Times New Roman" w:cs="Times New Roman"/>
                <w:sz w:val="24"/>
              </w:rPr>
              <w:t>Avarinis stabdymas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02BD" w14:textId="40797E88" w:rsidR="00C75E8C" w:rsidRPr="00C82705" w:rsidRDefault="00C75E8C" w:rsidP="003608C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2705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C82705" w:rsidRPr="00C82705" w14:paraId="1D31A76C" w14:textId="77777777" w:rsidTr="005949F0">
        <w:trPr>
          <w:trHeight w:val="263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1C6" w14:textId="77777777" w:rsidR="005949F0" w:rsidRPr="00C82705" w:rsidRDefault="005949F0" w:rsidP="009C50B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2705">
              <w:rPr>
                <w:rFonts w:ascii="Times New Roman" w:hAnsi="Times New Roman" w:cs="Times New Roman"/>
                <w:b/>
                <w:sz w:val="24"/>
              </w:rPr>
              <w:t>IŠ VISO: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BAEF" w14:textId="234185FB" w:rsidR="005949F0" w:rsidRPr="00C82705" w:rsidRDefault="00C75E8C" w:rsidP="003608C4">
            <w:pPr>
              <w:pStyle w:val="Betarp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14:paraId="14F0A1A5" w14:textId="77777777" w:rsidR="00DA090F" w:rsidRPr="00C82705" w:rsidRDefault="00DA090F" w:rsidP="00545F76">
      <w:pPr>
        <w:rPr>
          <w:rFonts w:ascii="Times New Roman" w:hAnsi="Times New Roman" w:cs="Times New Roman"/>
        </w:rPr>
      </w:pPr>
    </w:p>
    <w:p w14:paraId="0590E66C" w14:textId="77777777" w:rsidR="00DA090F" w:rsidRPr="00C82705" w:rsidRDefault="00DA090F" w:rsidP="00545F76">
      <w:pPr>
        <w:rPr>
          <w:rFonts w:ascii="Times New Roman" w:hAnsi="Times New Roman" w:cs="Times New Roman"/>
        </w:rPr>
      </w:pPr>
    </w:p>
    <w:p w14:paraId="22E479C7" w14:textId="3F1D48FA" w:rsidR="00545F76" w:rsidRPr="00C82705" w:rsidRDefault="00545F76" w:rsidP="00545F76">
      <w:pPr>
        <w:rPr>
          <w:rFonts w:ascii="Times New Roman" w:hAnsi="Times New Roman" w:cs="Times New Roman"/>
          <w:sz w:val="24"/>
        </w:rPr>
      </w:pPr>
      <w:r w:rsidRPr="00C82705">
        <w:rPr>
          <w:rFonts w:ascii="Times New Roman" w:hAnsi="Times New Roman" w:cs="Times New Roman"/>
          <w:sz w:val="24"/>
        </w:rPr>
        <w:lastRenderedPageBreak/>
        <w:t xml:space="preserve">Maksimalus </w:t>
      </w:r>
      <w:r w:rsidRPr="00C82705">
        <w:rPr>
          <w:rFonts w:ascii="Times New Roman" w:hAnsi="Times New Roman" w:cs="Times New Roman"/>
          <w:b/>
          <w:sz w:val="24"/>
        </w:rPr>
        <w:t>T</w:t>
      </w:r>
      <w:r w:rsidRPr="00C82705">
        <w:rPr>
          <w:rFonts w:ascii="Times New Roman" w:hAnsi="Times New Roman" w:cs="Times New Roman"/>
          <w:sz w:val="24"/>
        </w:rPr>
        <w:t xml:space="preserve"> kri</w:t>
      </w:r>
      <w:r w:rsidR="00196695" w:rsidRPr="00C82705">
        <w:rPr>
          <w:rFonts w:ascii="Times New Roman" w:hAnsi="Times New Roman" w:cs="Times New Roman"/>
          <w:sz w:val="24"/>
        </w:rPr>
        <w:t xml:space="preserve">terijaus galimas įvertinimas – </w:t>
      </w:r>
      <w:r w:rsidR="00196695" w:rsidRPr="00C82705">
        <w:rPr>
          <w:rFonts w:ascii="Times New Roman" w:hAnsi="Times New Roman" w:cs="Times New Roman"/>
          <w:b/>
          <w:sz w:val="24"/>
        </w:rPr>
        <w:t>3</w:t>
      </w:r>
      <w:r w:rsidR="00C75E8C" w:rsidRPr="00C82705">
        <w:rPr>
          <w:rFonts w:ascii="Times New Roman" w:hAnsi="Times New Roman" w:cs="Times New Roman"/>
          <w:b/>
          <w:sz w:val="24"/>
        </w:rPr>
        <w:t>5</w:t>
      </w:r>
      <w:r w:rsidRPr="00C82705">
        <w:rPr>
          <w:rFonts w:ascii="Times New Roman" w:hAnsi="Times New Roman" w:cs="Times New Roman"/>
          <w:sz w:val="24"/>
        </w:rPr>
        <w:t xml:space="preserve"> balų. </w:t>
      </w:r>
    </w:p>
    <w:p w14:paraId="32209824" w14:textId="77777777" w:rsidR="00545F76" w:rsidRPr="00C82705" w:rsidRDefault="00545F76" w:rsidP="00545F76">
      <w:pPr>
        <w:rPr>
          <w:rFonts w:ascii="Times New Roman" w:hAnsi="Times New Roman" w:cs="Times New Roman"/>
          <w:b/>
          <w:sz w:val="24"/>
        </w:rPr>
      </w:pPr>
    </w:p>
    <w:p w14:paraId="2779768B" w14:textId="77777777" w:rsidR="00545F76" w:rsidRPr="00C82705" w:rsidRDefault="000D715E" w:rsidP="00545F76">
      <w:pPr>
        <w:rPr>
          <w:rFonts w:ascii="Times New Roman" w:hAnsi="Times New Roman" w:cs="Times New Roman"/>
          <w:b/>
          <w:sz w:val="24"/>
        </w:rPr>
      </w:pPr>
      <w:r w:rsidRPr="00C82705">
        <w:rPr>
          <w:rFonts w:ascii="Times New Roman" w:hAnsi="Times New Roman" w:cs="Times New Roman"/>
          <w:b/>
          <w:sz w:val="24"/>
        </w:rPr>
        <w:t xml:space="preserve">3. </w:t>
      </w:r>
      <w:r w:rsidR="00545F76" w:rsidRPr="00C82705">
        <w:rPr>
          <w:rFonts w:ascii="Times New Roman" w:hAnsi="Times New Roman" w:cs="Times New Roman"/>
          <w:b/>
          <w:sz w:val="24"/>
        </w:rPr>
        <w:t>Pasiūlymo e</w:t>
      </w:r>
      <w:r w:rsidR="00545F76" w:rsidRPr="00C82705">
        <w:rPr>
          <w:rFonts w:ascii="Times New Roman" w:hAnsi="Times New Roman" w:cs="Times New Roman"/>
          <w:b/>
          <w:bCs/>
          <w:sz w:val="24"/>
        </w:rPr>
        <w:t xml:space="preserve">konominis naudingumas </w:t>
      </w:r>
      <w:r w:rsidR="00545F76" w:rsidRPr="00C82705">
        <w:rPr>
          <w:rFonts w:ascii="Times New Roman" w:hAnsi="Times New Roman" w:cs="Times New Roman"/>
          <w:b/>
          <w:sz w:val="24"/>
        </w:rPr>
        <w:t>(S) apskaičiuojamas, sudedant tiekėjo pasiūlymo kainos (C) ir techninių parametrų (T) balus:</w:t>
      </w:r>
    </w:p>
    <w:p w14:paraId="79C587B0" w14:textId="77777777" w:rsidR="00545F76" w:rsidRPr="00C82705" w:rsidRDefault="00545F76" w:rsidP="00545F76">
      <w:pPr>
        <w:rPr>
          <w:rFonts w:ascii="Times New Roman" w:hAnsi="Times New Roman" w:cs="Times New Roman"/>
          <w:sz w:val="24"/>
        </w:rPr>
      </w:pPr>
    </w:p>
    <w:p w14:paraId="29F358EF" w14:textId="77777777" w:rsidR="00545F76" w:rsidRPr="00C82705" w:rsidRDefault="00545F76" w:rsidP="009B4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05">
        <w:rPr>
          <w:rFonts w:ascii="Times New Roman" w:hAnsi="Times New Roman" w:cs="Times New Roman"/>
          <w:b/>
          <w:sz w:val="28"/>
          <w:szCs w:val="28"/>
        </w:rPr>
        <w:t>S = C + T</w:t>
      </w:r>
      <w:bookmarkStart w:id="0" w:name="_GoBack"/>
      <w:bookmarkEnd w:id="0"/>
    </w:p>
    <w:p w14:paraId="77A7952C" w14:textId="77777777" w:rsidR="00545F76" w:rsidRPr="00C82705" w:rsidRDefault="00545F76" w:rsidP="00545F76">
      <w:pPr>
        <w:rPr>
          <w:rFonts w:ascii="Times New Roman" w:hAnsi="Times New Roman" w:cs="Times New Roman"/>
        </w:rPr>
      </w:pPr>
    </w:p>
    <w:sectPr w:rsidR="00545F76" w:rsidRPr="00C82705" w:rsidSect="009C50B4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111AA3"/>
    <w:multiLevelType w:val="hybridMultilevel"/>
    <w:tmpl w:val="1AC8BFA8"/>
    <w:lvl w:ilvl="0" w:tplc="E23EE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190F"/>
    <w:multiLevelType w:val="hybridMultilevel"/>
    <w:tmpl w:val="3890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2F"/>
    <w:rsid w:val="00012B44"/>
    <w:rsid w:val="0008615F"/>
    <w:rsid w:val="000A64B9"/>
    <w:rsid w:val="000D715E"/>
    <w:rsid w:val="00103F2F"/>
    <w:rsid w:val="00182FCE"/>
    <w:rsid w:val="00196695"/>
    <w:rsid w:val="002B48E4"/>
    <w:rsid w:val="003325C4"/>
    <w:rsid w:val="003608C4"/>
    <w:rsid w:val="004524EF"/>
    <w:rsid w:val="00545F76"/>
    <w:rsid w:val="00586C3C"/>
    <w:rsid w:val="005949F0"/>
    <w:rsid w:val="00745D30"/>
    <w:rsid w:val="00802DF0"/>
    <w:rsid w:val="00873182"/>
    <w:rsid w:val="00890B46"/>
    <w:rsid w:val="009806D3"/>
    <w:rsid w:val="009B41B3"/>
    <w:rsid w:val="009C50B4"/>
    <w:rsid w:val="00C75E8C"/>
    <w:rsid w:val="00C82705"/>
    <w:rsid w:val="00C84FFA"/>
    <w:rsid w:val="00D35E58"/>
    <w:rsid w:val="00DA090F"/>
    <w:rsid w:val="00DA3D02"/>
    <w:rsid w:val="00DB0BD4"/>
    <w:rsid w:val="00EB4121"/>
    <w:rsid w:val="00ED0BEB"/>
    <w:rsid w:val="00F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C6B9"/>
  <w15:chartTrackingRefBased/>
  <w15:docId w15:val="{6623A0B0-73E5-463C-884B-C370219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3F2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103F2F"/>
    <w:pPr>
      <w:widowControl/>
      <w:numPr>
        <w:ilvl w:val="1"/>
      </w:numPr>
      <w:suppressAutoHyphens w:val="0"/>
      <w:autoSpaceDE/>
      <w:autoSpaceDN/>
      <w:spacing w:after="240" w:line="276" w:lineRule="auto"/>
      <w:ind w:firstLine="720"/>
      <w:textAlignment w:val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3F2F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Betarp">
    <w:name w:val="No Spacing"/>
    <w:link w:val="BetarpDiagrama"/>
    <w:uiPriority w:val="1"/>
    <w:qFormat/>
    <w:rsid w:val="00103F2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Default">
    <w:name w:val="Default"/>
    <w:rsid w:val="00103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90B46"/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45F76"/>
    <w:pPr>
      <w:widowControl/>
      <w:suppressAutoHyphens w:val="0"/>
      <w:autoSpaceDE/>
      <w:autoSpaceDN/>
      <w:spacing w:after="200" w:line="276" w:lineRule="auto"/>
      <w:ind w:left="720" w:firstLine="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Zita-PC</dc:creator>
  <cp:keywords/>
  <dc:description/>
  <cp:lastModifiedBy>Zita-PC</cp:lastModifiedBy>
  <cp:revision>20</cp:revision>
  <dcterms:created xsi:type="dcterms:W3CDTF">2023-05-02T12:09:00Z</dcterms:created>
  <dcterms:modified xsi:type="dcterms:W3CDTF">2025-12-05T09:20:00Z</dcterms:modified>
</cp:coreProperties>
</file>