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BD47B5" w:rsidRDefault="009C5D91">
      <w:pPr>
        <w:pStyle w:val="Body"/>
        <w:spacing w:line="240" w:lineRule="auto"/>
        <w:jc w:val="both"/>
        <w:rPr>
          <w:rFonts w:ascii="Times New Roman" w:eastAsia="Times New Roman" w:hAnsi="Times New Roman" w:cs="Times New Roman"/>
          <w:color w:val="000000" w:themeColor="text1"/>
          <w:sz w:val="10"/>
          <w:szCs w:val="10"/>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BD47B5" w:rsidRDefault="00FE48C1">
      <w:pPr>
        <w:pStyle w:val="Body"/>
        <w:jc w:val="center"/>
        <w:rPr>
          <w:rFonts w:ascii="Times New Roman" w:eastAsia="Times New Roman" w:hAnsi="Times New Roman" w:cs="Times New Roman"/>
          <w:b/>
          <w:bCs/>
          <w:color w:val="000000" w:themeColor="text1"/>
          <w:sz w:val="10"/>
          <w:szCs w:val="10"/>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2F665D">
          <w:rPr>
            <w:rStyle w:val="Hyperlink"/>
            <w:rFonts w:asciiTheme="majorBidi" w:hAnsiTheme="majorBidi"/>
            <w:color w:val="4668C0" w:themeColor="accent6" w:themeShade="BF"/>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32677EA9" w14:textId="77777777" w:rsidR="00BD47B5" w:rsidRPr="0043108C" w:rsidRDefault="00BD47B5">
      <w:pPr>
        <w:pStyle w:val="Body2"/>
        <w:rPr>
          <w:rFonts w:cs="Times New Roman"/>
          <w:color w:val="000000" w:themeColor="text1"/>
          <w:lang w:val="lt-LT"/>
        </w:rPr>
      </w:pP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F6473EF"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r w:rsidR="00FD57A1" w:rsidRPr="00256D88">
        <w:rPr>
          <w:rFonts w:cs="Times New Roman"/>
          <w:noProof/>
          <w:color w:val="auto"/>
          <w:lang w:val="lt-LT"/>
        </w:rPr>
        <w:t>kvazisubtiekėjus)</w:t>
      </w:r>
      <w:r w:rsidR="00FD57A1" w:rsidRPr="00256D88">
        <w:rPr>
          <w:rFonts w:cs="Times New Roman"/>
          <w:color w:val="auto"/>
          <w:lang w:val="lt-LT"/>
        </w:rPr>
        <w:t xml:space="preserve">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236CABC1"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 xml:space="preserve">e nurodytais pašalinimo pagrindais, atsižvelgia į tai, ar vertinant tiekėjo patikimumą tiekėjo pašalinimas iš pirkimo procedūros proporcingas vertinamam tiekėjo elgesiui, VPĮ 46 straipsnio </w:t>
      </w:r>
      <w:r w:rsidR="00A60674">
        <w:rPr>
          <w:rFonts w:eastAsia="Verdana" w:cs="Times New Roman"/>
          <w:color w:val="auto"/>
          <w:lang w:val="lt-LT"/>
        </w:rPr>
        <w:t xml:space="preserve">                      </w:t>
      </w:r>
      <w:r w:rsidRPr="005711CF">
        <w:rPr>
          <w:rFonts w:eastAsia="Verdana" w:cs="Times New Roman"/>
          <w:color w:val="auto"/>
          <w:lang w:val="lt-LT"/>
        </w:rPr>
        <w:t>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noProof/>
          <w:color w:val="auto"/>
          <w:lang w:val="lt-LT"/>
        </w:rPr>
        <w:t>Certis</w:t>
      </w:r>
      <w:proofErr w:type="spellEnd"/>
      <w:r w:rsidRPr="005711CF">
        <w:rPr>
          <w:rFonts w:eastAsia="Verdana" w:cs="Times New Roman"/>
          <w:noProof/>
          <w:color w:val="auto"/>
          <w:lang w:val="lt-LT"/>
        </w:rPr>
        <w:t>“. Lentelės ketvirtame stulpelyje nurodomi doku</w:t>
      </w:r>
      <w:r w:rsidRPr="005711C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5711CF">
        <w:rPr>
          <w:rFonts w:cs="Times New Roman"/>
          <w:color w:val="auto"/>
          <w:lang w:val="lt-LT"/>
        </w:rPr>
        <w:t xml:space="preserve">“, adresu </w:t>
      </w:r>
      <w:hyperlink r:id="rId13">
        <w:r w:rsidR="00C27CDC" w:rsidRPr="002F665D">
          <w:rPr>
            <w:rStyle w:val="Hyperlink"/>
            <w:color w:val="4668C0" w:themeColor="accent6" w:themeShade="BF"/>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2802A2" w:rsidRDefault="00D355DA" w:rsidP="00E90429">
            <w:pPr>
              <w:pStyle w:val="NoSpacing"/>
              <w:jc w:val="both"/>
              <w:rPr>
                <w:rFonts w:ascii="Times New Roman" w:hAnsi="Times New Roman"/>
                <w:b/>
                <w:sz w:val="10"/>
                <w:szCs w:val="1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2802A2" w:rsidRDefault="00D355DA" w:rsidP="00E90429">
            <w:pPr>
              <w:pStyle w:val="NoSpacing"/>
              <w:jc w:val="both"/>
              <w:rPr>
                <w:rFonts w:ascii="Times New Roman" w:hAnsi="Times New Roman"/>
                <w:sz w:val="10"/>
                <w:szCs w:val="1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2802A2" w:rsidRDefault="00D355DA" w:rsidP="00E90429">
            <w:pPr>
              <w:pStyle w:val="NoSpacing"/>
              <w:jc w:val="both"/>
              <w:rPr>
                <w:rFonts w:ascii="Times New Roman" w:hAnsi="Times New Roman"/>
                <w:sz w:val="10"/>
                <w:szCs w:val="1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2802A2" w:rsidRDefault="00D355DA" w:rsidP="00E90429">
            <w:pPr>
              <w:pStyle w:val="NoSpacing"/>
              <w:jc w:val="both"/>
              <w:rPr>
                <w:rFonts w:ascii="Times New Roman" w:hAnsi="Times New Roman"/>
                <w:b/>
                <w:sz w:val="10"/>
                <w:szCs w:val="1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2802A2" w:rsidRDefault="00D355DA" w:rsidP="00E90429">
            <w:pPr>
              <w:pStyle w:val="NoSpacing"/>
              <w:jc w:val="both"/>
              <w:rPr>
                <w:rFonts w:ascii="Times New Roman" w:hAnsi="Times New Roman"/>
                <w:sz w:val="10"/>
                <w:szCs w:val="10"/>
              </w:rPr>
            </w:pPr>
          </w:p>
          <w:p w14:paraId="4A45A606" w14:textId="77777777" w:rsidR="00B26BCF" w:rsidRPr="002802A2"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1"/>
                <w:szCs w:val="21"/>
                <w:bdr w:val="none" w:sz="0" w:space="0" w:color="auto"/>
                <w:lang w:val="lt-LT"/>
              </w:rPr>
            </w:pPr>
            <w:r w:rsidRPr="002802A2">
              <w:rPr>
                <w:b/>
                <w:i/>
                <w:color w:val="FF0000"/>
                <w:sz w:val="21"/>
                <w:szCs w:val="21"/>
                <w:bdr w:val="none" w:sz="0" w:space="0" w:color="auto"/>
                <w:lang w:val="lt-LT"/>
              </w:rPr>
              <w:t xml:space="preserve">Kartu su pasiūlymu pateikiama </w:t>
            </w:r>
            <w:r w:rsidRPr="002802A2">
              <w:rPr>
                <w:rFonts w:eastAsia="Calibri"/>
                <w:b/>
                <w:i/>
                <w:iCs/>
                <w:color w:val="FF0000"/>
                <w:sz w:val="21"/>
                <w:szCs w:val="21"/>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2802A2" w:rsidRDefault="00264D59" w:rsidP="00264D59">
            <w:pPr>
              <w:pStyle w:val="NoSpacing"/>
              <w:jc w:val="both"/>
              <w:rPr>
                <w:rFonts w:ascii="Times New Roman" w:hAnsi="Times New Roman"/>
                <w:b/>
                <w:sz w:val="10"/>
                <w:szCs w:val="1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0B0F74" w:rsidRDefault="00D355DA" w:rsidP="00E90429">
            <w:pPr>
              <w:pStyle w:val="NoSpacing"/>
              <w:jc w:val="both"/>
              <w:rPr>
                <w:rFonts w:ascii="Times New Roman" w:hAnsi="Times New Roman"/>
                <w:b/>
                <w:sz w:val="10"/>
                <w:szCs w:val="1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0B0F74" w:rsidRDefault="00D355DA" w:rsidP="00E90429">
            <w:pPr>
              <w:pStyle w:val="NoSpacing"/>
              <w:jc w:val="both"/>
              <w:rPr>
                <w:rFonts w:ascii="Times New Roman" w:hAnsi="Times New Roman"/>
                <w:b/>
                <w:sz w:val="10"/>
                <w:szCs w:val="1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2802A2" w:rsidRDefault="00D355DA" w:rsidP="00E90429">
            <w:pPr>
              <w:pStyle w:val="NoSpacing"/>
              <w:jc w:val="both"/>
              <w:rPr>
                <w:rFonts w:ascii="Times New Roman" w:hAnsi="Times New Roman"/>
                <w:sz w:val="10"/>
                <w:szCs w:val="1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2802A2" w:rsidRDefault="00D355DA" w:rsidP="00E90429">
            <w:pPr>
              <w:pStyle w:val="NoSpacing"/>
              <w:jc w:val="both"/>
              <w:rPr>
                <w:rFonts w:ascii="Times New Roman" w:hAnsi="Times New Roman"/>
                <w:b/>
                <w:sz w:val="10"/>
                <w:szCs w:val="10"/>
              </w:rPr>
            </w:pPr>
          </w:p>
          <w:p w14:paraId="5B4E9FE9" w14:textId="77777777" w:rsidR="00D355DA" w:rsidRPr="00763B8C" w:rsidRDefault="00D355DA" w:rsidP="000B0F74">
            <w:pPr>
              <w:pStyle w:val="NoSpacing"/>
              <w:numPr>
                <w:ilvl w:val="0"/>
                <w:numId w:val="12"/>
              </w:numPr>
              <w:ind w:left="318"/>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0B0F74">
            <w:pPr>
              <w:pStyle w:val="NoSpacing"/>
              <w:numPr>
                <w:ilvl w:val="0"/>
                <w:numId w:val="11"/>
              </w:numPr>
              <w:ind w:left="318"/>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2802A2" w:rsidRDefault="00D355DA" w:rsidP="00E90429">
            <w:pPr>
              <w:pStyle w:val="NoSpacing"/>
              <w:jc w:val="both"/>
              <w:rPr>
                <w:rFonts w:ascii="Times New Roman" w:hAnsi="Times New Roman"/>
                <w:sz w:val="10"/>
                <w:szCs w:val="1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2802A2" w:rsidRDefault="00D355DA" w:rsidP="00E90429">
            <w:pPr>
              <w:pStyle w:val="NoSpacing"/>
              <w:jc w:val="both"/>
              <w:rPr>
                <w:rFonts w:ascii="Times New Roman" w:hAnsi="Times New Roman"/>
                <w:sz w:val="10"/>
                <w:szCs w:val="1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w:t>
            </w:r>
            <w:r w:rsidRPr="00763B8C">
              <w:rPr>
                <w:rFonts w:ascii="Times New Roman" w:hAnsi="Times New Roman"/>
                <w:i/>
                <w:color w:val="000000" w:themeColor="text1"/>
                <w:sz w:val="20"/>
              </w:rPr>
              <w:lastRenderedPageBreak/>
              <w:t xml:space="preserve">iki 2022-10-14 pateikti įrodančius dokumentus, jie turi būti išduoti ne anksčiau kaip 120 dienų, jas skaičiuojant atgal nuo 2022-10-14. </w:t>
            </w:r>
          </w:p>
          <w:p w14:paraId="312D283F" w14:textId="77777777" w:rsidR="00D355DA" w:rsidRPr="000B0F74" w:rsidRDefault="00D355DA" w:rsidP="00E90429">
            <w:pPr>
              <w:pStyle w:val="NoSpacing"/>
              <w:jc w:val="both"/>
              <w:rPr>
                <w:rFonts w:ascii="Times New Roman" w:hAnsi="Times New Roman"/>
                <w:i/>
                <w:color w:val="7030A0"/>
                <w:sz w:val="10"/>
                <w:szCs w:val="1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0B0F74" w:rsidRDefault="00D355DA" w:rsidP="00E90429">
            <w:pPr>
              <w:pStyle w:val="NoSpacing"/>
              <w:jc w:val="both"/>
              <w:rPr>
                <w:rFonts w:ascii="Times New Roman" w:hAnsi="Times New Roman"/>
                <w:b/>
                <w:sz w:val="10"/>
                <w:szCs w:val="1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2F665D" w:rsidRDefault="00D355DA" w:rsidP="00E90429">
            <w:pPr>
              <w:pStyle w:val="NoSpacing"/>
              <w:jc w:val="both"/>
              <w:rPr>
                <w:rFonts w:ascii="Times New Roman" w:hAnsi="Times New Roman"/>
                <w:color w:val="4668C0" w:themeColor="accent6" w:themeShade="BF"/>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2F665D">
                <w:rPr>
                  <w:rFonts w:ascii="Times New Roman" w:hAnsi="Times New Roman"/>
                  <w:color w:val="4668C0" w:themeColor="accent6" w:themeShade="BF"/>
                  <w:sz w:val="20"/>
                  <w:u w:val="single"/>
                </w:rPr>
                <w:t>http://draudejai.sodra.lt/draudeju_viesi_duomenys/</w:t>
              </w:r>
            </w:hyperlink>
            <w:r w:rsidR="009C7589" w:rsidRPr="002F665D">
              <w:rPr>
                <w:rFonts w:ascii="Times New Roman" w:hAnsi="Times New Roman"/>
                <w:color w:val="4668C0" w:themeColor="accent6" w:themeShade="BF"/>
                <w:sz w:val="20"/>
              </w:rPr>
              <w:t>.</w:t>
            </w:r>
          </w:p>
          <w:p w14:paraId="6F0CE980" w14:textId="77777777" w:rsidR="00D355DA" w:rsidRPr="000B0F74" w:rsidRDefault="00D355DA" w:rsidP="00E90429">
            <w:pPr>
              <w:pStyle w:val="NoSpacing"/>
              <w:jc w:val="both"/>
              <w:rPr>
                <w:rFonts w:ascii="Times New Roman" w:hAnsi="Times New Roman"/>
                <w:b/>
                <w:sz w:val="10"/>
                <w:szCs w:val="1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0B0F74" w:rsidRDefault="00D355DA" w:rsidP="00E90429">
            <w:pPr>
              <w:pStyle w:val="NoSpacing"/>
              <w:jc w:val="both"/>
              <w:rPr>
                <w:rFonts w:ascii="Times New Roman" w:hAnsi="Times New Roman"/>
                <w:b/>
                <w:sz w:val="10"/>
                <w:szCs w:val="1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0B0F74" w:rsidRDefault="00D355DA" w:rsidP="00E90429">
            <w:pPr>
              <w:pStyle w:val="NoSpacing"/>
              <w:jc w:val="both"/>
              <w:rPr>
                <w:rFonts w:ascii="Times New Roman" w:hAnsi="Times New Roman"/>
                <w:b/>
                <w:sz w:val="10"/>
                <w:szCs w:val="1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C40421" w:rsidRDefault="00D355DA" w:rsidP="00E90429">
            <w:pPr>
              <w:pStyle w:val="NoSpacing"/>
              <w:jc w:val="both"/>
              <w:rPr>
                <w:rFonts w:ascii="Times New Roman" w:hAnsi="Times New Roman"/>
                <w:b/>
                <w:sz w:val="6"/>
                <w:szCs w:val="6"/>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lastRenderedPageBreak/>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0B0F74" w:rsidRDefault="00D355DA" w:rsidP="00E90429">
            <w:pPr>
              <w:pStyle w:val="NoSpacing"/>
              <w:jc w:val="both"/>
              <w:rPr>
                <w:rFonts w:ascii="Times New Roman" w:hAnsi="Times New Roman"/>
                <w:b/>
                <w:sz w:val="10"/>
                <w:szCs w:val="1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0B0F74" w:rsidRDefault="00D355DA" w:rsidP="00E90429">
            <w:pPr>
              <w:pStyle w:val="NoSpacing"/>
              <w:jc w:val="both"/>
              <w:rPr>
                <w:rFonts w:ascii="Times New Roman" w:hAnsi="Times New Roman"/>
                <w:sz w:val="10"/>
                <w:szCs w:val="1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0B0F74" w:rsidRDefault="00D355DA" w:rsidP="00E90429">
            <w:pPr>
              <w:pStyle w:val="NoSpacing"/>
              <w:jc w:val="both"/>
              <w:rPr>
                <w:rFonts w:ascii="Times New Roman" w:hAnsi="Times New Roman"/>
                <w:sz w:val="10"/>
                <w:szCs w:val="1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0B0F74" w:rsidRDefault="00D355DA" w:rsidP="00E90429">
            <w:pPr>
              <w:pStyle w:val="NoSpacing"/>
              <w:jc w:val="both"/>
              <w:rPr>
                <w:rFonts w:ascii="Times New Roman" w:hAnsi="Times New Roman"/>
                <w:sz w:val="10"/>
                <w:szCs w:val="1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763B8C">
              <w:rPr>
                <w:rFonts w:ascii="Times New Roman" w:hAnsi="Times New Roman"/>
                <w:sz w:val="20"/>
              </w:rPr>
              <w:lastRenderedPageBreak/>
              <w:t xml:space="preserve">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0B0F74" w:rsidRDefault="00D355DA" w:rsidP="00E90429">
            <w:pPr>
              <w:pStyle w:val="NoSpacing"/>
              <w:jc w:val="both"/>
              <w:rPr>
                <w:rFonts w:ascii="Times New Roman" w:hAnsi="Times New Roman"/>
                <w:sz w:val="10"/>
                <w:szCs w:val="1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649F63D2" w14:textId="77777777" w:rsidR="00D355DA" w:rsidRPr="007D1EBA" w:rsidRDefault="00D355DA" w:rsidP="00E90429">
            <w:pPr>
              <w:pStyle w:val="NoSpacing"/>
              <w:jc w:val="both"/>
              <w:rPr>
                <w:rFonts w:ascii="Times New Roman" w:hAnsi="Times New Roman"/>
                <w:sz w:val="10"/>
                <w:szCs w:val="1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D1EBA" w:rsidRDefault="00D355DA" w:rsidP="00E90429">
            <w:pPr>
              <w:pStyle w:val="NoSpacing"/>
              <w:jc w:val="both"/>
              <w:rPr>
                <w:rFonts w:ascii="Times New Roman" w:hAnsi="Times New Roman"/>
                <w:b/>
                <w:sz w:val="10"/>
                <w:szCs w:val="10"/>
              </w:rPr>
            </w:pPr>
          </w:p>
          <w:p w14:paraId="6B7C3EAD" w14:textId="77777777" w:rsidR="00AE7CBE" w:rsidRPr="002F665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color w:val="4668C0" w:themeColor="accent6" w:themeShade="BF"/>
                <w:sz w:val="20"/>
                <w:bdr w:val="none" w:sz="0" w:space="0" w:color="auto"/>
                <w:lang w:val="lt-LT"/>
              </w:rPr>
            </w:pPr>
            <w:hyperlink r:id="rId19" w:history="1">
              <w:r w:rsidRPr="002F665D">
                <w:rPr>
                  <w:color w:val="4668C0" w:themeColor="accent6" w:themeShade="BF"/>
                  <w:sz w:val="20"/>
                  <w:u w:val="single"/>
                  <w:bdr w:val="none" w:sz="0" w:space="0" w:color="auto"/>
                  <w:lang w:val="lt-LT"/>
                </w:rPr>
                <w:t>https://vpt.lrv.lt/lt/nuorodos/kiti-duomenys/powerbi/melaginga-informacija-pateikusiu-tiekeju-sarasas-3/</w:t>
              </w:r>
            </w:hyperlink>
            <w:r w:rsidRPr="002F665D">
              <w:rPr>
                <w:color w:val="4668C0" w:themeColor="accent6" w:themeShade="BF"/>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D1EBA" w:rsidRDefault="00D355DA" w:rsidP="00E90429">
            <w:pPr>
              <w:pStyle w:val="NoSpacing"/>
              <w:jc w:val="both"/>
              <w:rPr>
                <w:rFonts w:ascii="Times New Roman" w:hAnsi="Times New Roman"/>
                <w:sz w:val="10"/>
                <w:szCs w:val="1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6 punktas</w:t>
            </w:r>
          </w:p>
          <w:p w14:paraId="6C189C66" w14:textId="77777777" w:rsidR="00D355DA" w:rsidRPr="007D1EBA" w:rsidRDefault="00D355DA" w:rsidP="00E90429">
            <w:pPr>
              <w:pStyle w:val="NoSpacing"/>
              <w:jc w:val="both"/>
              <w:rPr>
                <w:rFonts w:ascii="Times New Roman" w:hAnsi="Times New Roman"/>
                <w:sz w:val="10"/>
                <w:szCs w:val="1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D1EBA" w:rsidRDefault="00D355DA" w:rsidP="00E90429">
            <w:pPr>
              <w:pStyle w:val="NoSpacing"/>
              <w:jc w:val="both"/>
              <w:rPr>
                <w:rFonts w:ascii="Times New Roman" w:hAnsi="Times New Roman"/>
                <w:sz w:val="10"/>
                <w:szCs w:val="1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D1EBA" w:rsidRDefault="00D355DA" w:rsidP="00E90429">
            <w:pPr>
              <w:pStyle w:val="NoSpacing"/>
              <w:jc w:val="both"/>
              <w:rPr>
                <w:rFonts w:ascii="Times New Roman" w:hAnsi="Times New Roman"/>
                <w:sz w:val="10"/>
                <w:szCs w:val="10"/>
              </w:rPr>
            </w:pPr>
          </w:p>
          <w:p w14:paraId="60B989BA" w14:textId="77777777" w:rsidR="00AE7CBE" w:rsidRPr="002F665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color w:val="4668C0" w:themeColor="accent6" w:themeShade="BF"/>
                <w:sz w:val="20"/>
                <w:bdr w:val="none" w:sz="0" w:space="0" w:color="auto"/>
                <w:lang w:val="lt-LT"/>
              </w:rPr>
            </w:pPr>
            <w:hyperlink r:id="rId20" w:history="1">
              <w:r w:rsidRPr="002F665D">
                <w:rPr>
                  <w:color w:val="4668C0" w:themeColor="accent6" w:themeShade="BF"/>
                  <w:sz w:val="20"/>
                  <w:u w:val="single"/>
                  <w:bdr w:val="none" w:sz="0" w:space="0" w:color="auto"/>
                  <w:lang w:val="lt-LT"/>
                </w:rPr>
                <w:t>https://vpt.lrv.lt/lt/nuorodos/kiti-duomenys/powerbi/nepatikimi-tiekejai-1/</w:t>
              </w:r>
            </w:hyperlink>
            <w:r w:rsidRPr="002F665D">
              <w:rPr>
                <w:color w:val="4668C0" w:themeColor="accent6" w:themeShade="BF"/>
                <w:sz w:val="20"/>
                <w:bdr w:val="none" w:sz="0" w:space="0" w:color="auto"/>
                <w:lang w:val="lt-LT"/>
              </w:rPr>
              <w:t xml:space="preserve"> </w:t>
            </w:r>
          </w:p>
          <w:p w14:paraId="48E58C7F" w14:textId="77777777" w:rsidR="00AE7CBE" w:rsidRPr="002F665D"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color w:val="4668C0" w:themeColor="accent6" w:themeShade="BF"/>
                <w:sz w:val="10"/>
                <w:szCs w:val="1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2F665D">
                <w:rPr>
                  <w:color w:val="4668C0" w:themeColor="accent6" w:themeShade="B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D1EBA" w:rsidRDefault="00D355DA" w:rsidP="00E90429">
            <w:pPr>
              <w:pStyle w:val="NoSpacing"/>
              <w:jc w:val="both"/>
              <w:rPr>
                <w:rFonts w:ascii="Times New Roman" w:hAnsi="Times New Roman"/>
                <w:sz w:val="10"/>
                <w:szCs w:val="1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2F665D" w:rsidRDefault="00D355DA" w:rsidP="00E90429">
            <w:pPr>
              <w:pStyle w:val="NoSpacing"/>
              <w:jc w:val="both"/>
              <w:rPr>
                <w:rFonts w:ascii="Times New Roman" w:hAnsi="Times New Roman"/>
                <w:color w:val="4668C0" w:themeColor="accent6" w:themeShade="BF"/>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2F665D">
                <w:rPr>
                  <w:rFonts w:ascii="Times New Roman" w:hAnsi="Times New Roman"/>
                  <w:color w:val="4668C0" w:themeColor="accent6" w:themeShade="B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581093C7" w:rsidR="00D355DA" w:rsidRPr="00C40421" w:rsidRDefault="00C40421" w:rsidP="00AE7CBE">
            <w:pPr>
              <w:pStyle w:val="NoSpacing"/>
              <w:jc w:val="both"/>
              <w:rPr>
                <w:rFonts w:ascii="Times New Roman" w:hAnsi="Times New Roman"/>
                <w:color w:val="0066FF"/>
                <w:sz w:val="20"/>
              </w:rPr>
            </w:pPr>
            <w:hyperlink r:id="rId23" w:history="1">
              <w:r w:rsidRPr="002F665D">
                <w:rPr>
                  <w:rStyle w:val="Hyperlink"/>
                  <w:rFonts w:ascii="Times New Roman" w:hAnsi="Times New Roman"/>
                  <w:color w:val="4668C0" w:themeColor="accent6" w:themeShade="BF"/>
                  <w:sz w:val="20"/>
                </w:rPr>
                <w:t>https://vpt.lrv.lt/lt/naujienos-3/finansiniu-ataskaitu-nepateikimas-gali-tapti-kliutimi-dalyvauti-viesuosiuose-pirkimuose/</w:t>
              </w:r>
            </w:hyperlink>
            <w:r w:rsidRPr="002F665D">
              <w:rPr>
                <w:rFonts w:ascii="Times New Roman" w:hAnsi="Times New Roman"/>
                <w:color w:val="4668C0" w:themeColor="accent6" w:themeShade="BF"/>
                <w:sz w:val="20"/>
              </w:rPr>
              <w:t xml:space="preserve"> </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B10101" w:rsidRDefault="00D355DA" w:rsidP="00E90429">
            <w:pPr>
              <w:pStyle w:val="NoSpacing"/>
              <w:jc w:val="both"/>
              <w:rPr>
                <w:rFonts w:ascii="Times New Roman" w:hAnsi="Times New Roman"/>
                <w:sz w:val="10"/>
                <w:szCs w:val="1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B10101" w:rsidRDefault="00D355DA" w:rsidP="00E90429">
            <w:pPr>
              <w:pStyle w:val="NoSpacing"/>
              <w:jc w:val="both"/>
              <w:rPr>
                <w:rFonts w:ascii="Times New Roman" w:hAnsi="Times New Roman"/>
                <w:b/>
                <w:sz w:val="10"/>
                <w:szCs w:val="1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4" w:history="1">
              <w:r w:rsidR="00FD57A1" w:rsidRPr="002F665D">
                <w:rPr>
                  <w:rFonts w:ascii="Times New Roman" w:hAnsi="Times New Roman"/>
                  <w:color w:val="4668C0" w:themeColor="accent6" w:themeShade="B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B10101" w:rsidRDefault="00D355DA" w:rsidP="00E90429">
            <w:pPr>
              <w:pStyle w:val="NoSpacing"/>
              <w:jc w:val="both"/>
              <w:rPr>
                <w:rFonts w:ascii="Times New Roman" w:hAnsi="Times New Roman"/>
                <w:sz w:val="10"/>
                <w:szCs w:val="1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B10101" w:rsidRDefault="00D355DA" w:rsidP="00E90429">
            <w:pPr>
              <w:pStyle w:val="NoSpacing"/>
              <w:jc w:val="both"/>
              <w:rPr>
                <w:rFonts w:ascii="Times New Roman" w:hAnsi="Times New Roman"/>
                <w:sz w:val="10"/>
                <w:szCs w:val="1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6000F6CF" w14:textId="40BCEB57" w:rsidR="00D355DA" w:rsidRPr="00B10101" w:rsidRDefault="00FD57A1" w:rsidP="00B10101">
            <w:pPr>
              <w:pBdr>
                <w:top w:val="none" w:sz="0" w:space="0" w:color="auto"/>
                <w:left w:val="none" w:sz="0" w:space="0" w:color="auto"/>
                <w:bottom w:val="none" w:sz="0" w:space="0" w:color="auto"/>
                <w:right w:val="none" w:sz="0" w:space="0" w:color="auto"/>
                <w:between w:val="none" w:sz="0" w:space="0" w:color="auto"/>
                <w:bar w:val="none" w:sz="0" w:color="auto"/>
              </w:pBdr>
              <w:jc w:val="both"/>
              <w:rPr>
                <w:color w:val="0066FF"/>
                <w:sz w:val="20"/>
                <w:bdr w:val="none" w:sz="0" w:space="0" w:color="auto"/>
                <w:lang w:val="lt-LT"/>
              </w:rPr>
            </w:pPr>
            <w:hyperlink r:id="rId25" w:history="1">
              <w:r w:rsidRPr="002F665D">
                <w:rPr>
                  <w:color w:val="4668C0" w:themeColor="accent6" w:themeShade="BF"/>
                  <w:sz w:val="20"/>
                  <w:u w:val="single"/>
                  <w:bdr w:val="none" w:sz="0" w:space="0" w:color="auto"/>
                  <w:lang w:val="lt-LT"/>
                </w:rPr>
                <w:t>https://kt.gov.lt/lt/atviri-duomenys/diskvalifikavimas-is-viesuju-pirkimu</w:t>
              </w:r>
            </w:hyperlink>
            <w:r w:rsidR="00B10101">
              <w:rPr>
                <w:color w:val="0066FF"/>
              </w:rPr>
              <w:t xml:space="preserve"> </w:t>
            </w:r>
            <w:r w:rsidR="00D355DA" w:rsidRPr="00763B8C">
              <w:rPr>
                <w:sz w:val="20"/>
                <w:lang w:val="lt-LT"/>
              </w:rPr>
              <w:t>skelbiamą informaciją</w:t>
            </w:r>
            <w:r w:rsidR="00D355DA"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noProof/>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noProof/>
          <w:lang w:val="lt-LT"/>
        </w:rPr>
        <w:t>Apostille</w:t>
      </w:r>
      <w:r w:rsidR="00850719" w:rsidRPr="005711CF">
        <w:rPr>
          <w:rFonts w:cs="Times New Roman"/>
          <w:noProof/>
          <w:lang w:val="lt-LT"/>
        </w:rPr>
        <w:t xml:space="preserve"> 3</w:t>
      </w:r>
      <w:r w:rsidR="00A20DC8" w:rsidRPr="005711CF">
        <w:rPr>
          <w:rFonts w:cs="Times New Roman"/>
          <w:noProof/>
          <w:lang w:val="lt-LT"/>
        </w:rPr>
        <w:t>.</w:t>
      </w:r>
      <w:r w:rsidR="00B93FC8" w:rsidRPr="005711CF">
        <w:rPr>
          <w:rFonts w:cs="Times New Roman"/>
          <w:noProof/>
          <w:lang w:val="lt-LT"/>
        </w:rPr>
        <w:t>10</w:t>
      </w:r>
      <w:r w:rsidR="00A20DC8" w:rsidRPr="005711CF">
        <w:rPr>
          <w:rFonts w:cs="Times New Roman"/>
          <w:noProof/>
          <w:lang w:val="lt-LT"/>
        </w:rPr>
        <w:t xml:space="preserve"> </w:t>
      </w:r>
      <w:r w:rsidR="00850719" w:rsidRPr="005711CF">
        <w:rPr>
          <w:rFonts w:cs="Times New Roman"/>
          <w:noProof/>
          <w:lang w:val="lt-LT"/>
        </w:rPr>
        <w:t>papun</w:t>
      </w:r>
      <w:r w:rsidR="00A20DC8" w:rsidRPr="005711CF">
        <w:rPr>
          <w:rFonts w:cs="Times New Roman"/>
          <w:noProof/>
          <w:lang w:val="lt-LT"/>
        </w:rPr>
        <w:t xml:space="preserve">ktyje </w:t>
      </w:r>
      <w:r w:rsidR="00850719" w:rsidRPr="005711CF">
        <w:rPr>
          <w:rFonts w:cs="Times New Roman"/>
          <w:noProof/>
          <w:lang w:val="lt-LT"/>
        </w:rPr>
        <w:t>nurodytus dokumentus, jei dokumentai išduoti užsienio valstybėje. Legalizavimas atliekamas, vadovaujantis Dokumentų legalizavimo ir tvirtinimo pažyma (</w:t>
      </w:r>
      <w:r w:rsidR="00850719" w:rsidRPr="005711CF">
        <w:rPr>
          <w:rFonts w:cs="Times New Roman"/>
          <w:i/>
          <w:iCs/>
          <w:noProof/>
          <w:lang w:val="lt-LT"/>
        </w:rPr>
        <w:t>Apostille</w:t>
      </w:r>
      <w:r w:rsidR="00850719" w:rsidRPr="005711CF">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noProof/>
          <w:lang w:val="lt-LT"/>
        </w:rPr>
        <w:t>Apostille).</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214" w:type="dxa"/>
        <w:tblInd w:w="-5" w:type="dxa"/>
        <w:tblLayout w:type="fixed"/>
        <w:tblLook w:val="04A0" w:firstRow="1" w:lastRow="0" w:firstColumn="1" w:lastColumn="0" w:noHBand="0" w:noVBand="1"/>
      </w:tblPr>
      <w:tblGrid>
        <w:gridCol w:w="426"/>
        <w:gridCol w:w="6662"/>
        <w:gridCol w:w="2126"/>
      </w:tblGrid>
      <w:tr w:rsidR="00B50BDA" w14:paraId="02BA7B61" w14:textId="77777777" w:rsidTr="00641EE6">
        <w:tc>
          <w:tcPr>
            <w:tcW w:w="426"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641EE6">
            <w:pPr>
              <w:ind w:left="-110" w:right="-40"/>
              <w:jc w:val="center"/>
              <w:rPr>
                <w:b/>
                <w:sz w:val="21"/>
                <w:lang w:val="lt-LT"/>
              </w:rPr>
            </w:pPr>
            <w:r w:rsidRPr="00763B8C">
              <w:rPr>
                <w:b/>
                <w:sz w:val="21"/>
                <w:lang w:val="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641EE6">
        <w:tc>
          <w:tcPr>
            <w:tcW w:w="426"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662"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5008FE09" w:rsidR="00B50BDA" w:rsidRDefault="00B50BDA" w:rsidP="00D62853">
            <w:pPr>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91A93" w:rsidRDefault="00C1725F" w:rsidP="00991A93">
            <w:pPr>
              <w:rPr>
                <w:b/>
                <w:bCs/>
                <w:i/>
                <w:sz w:val="18"/>
                <w:szCs w:val="18"/>
                <w:lang w:val="lt-LT"/>
              </w:rPr>
            </w:pPr>
            <w:r w:rsidRPr="00991A93">
              <w:rPr>
                <w:b/>
                <w:bCs/>
                <w:i/>
                <w:noProof/>
                <w:sz w:val="19"/>
                <w:szCs w:val="19"/>
                <w:lang w:val="lt-LT"/>
              </w:rPr>
              <w:t>*</w:t>
            </w:r>
            <w:r w:rsidRPr="00991A93">
              <w:rPr>
                <w:b/>
                <w:bCs/>
                <w:noProof/>
                <w:sz w:val="19"/>
                <w:szCs w:val="19"/>
              </w:rPr>
              <w:t xml:space="preserve"> </w:t>
            </w:r>
            <w:r w:rsidRPr="00991A93">
              <w:rPr>
                <w:b/>
                <w:bCs/>
                <w:i/>
                <w:noProof/>
                <w:sz w:val="19"/>
                <w:szCs w:val="19"/>
                <w:lang w:val="lt-LT"/>
              </w:rPr>
              <w:t>pateikia tiekėjas ir visi subtiekėjai (išskyrus kvazisubtiekėjus</w:t>
            </w:r>
            <w:r w:rsidRPr="00991A93">
              <w:rPr>
                <w:b/>
                <w:bCs/>
                <w:i/>
                <w:sz w:val="18"/>
                <w:szCs w:val="18"/>
                <w:lang w:val="lt-LT"/>
              </w:rPr>
              <w:t>).</w:t>
            </w:r>
          </w:p>
        </w:tc>
      </w:tr>
      <w:tr w:rsidR="00B50BDA" w:rsidRPr="00123C5C" w14:paraId="0CEEC797" w14:textId="77777777" w:rsidTr="00641EE6">
        <w:tc>
          <w:tcPr>
            <w:tcW w:w="426"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641EE6">
        <w:tc>
          <w:tcPr>
            <w:tcW w:w="426"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662"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641EE6">
        <w:tc>
          <w:tcPr>
            <w:tcW w:w="426"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662"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641EE6">
        <w:tc>
          <w:tcPr>
            <w:tcW w:w="426"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662"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47BF6C3E" w14:textId="77777777" w:rsidR="00991A93" w:rsidRDefault="00991A93" w:rsidP="00763B8C">
      <w:pPr>
        <w:shd w:val="clear" w:color="auto" w:fill="FFFFFF"/>
        <w:ind w:left="426" w:right="-150" w:firstLine="141"/>
        <w:jc w:val="both"/>
        <w:rPr>
          <w:b/>
          <w:i/>
          <w:sz w:val="22"/>
          <w:szCs w:val="22"/>
          <w:lang w:val="lt-LT"/>
        </w:rPr>
      </w:pPr>
    </w:p>
    <w:p w14:paraId="3A79B31F" w14:textId="660E2572" w:rsidR="00673853" w:rsidRPr="00991A93" w:rsidRDefault="00673853" w:rsidP="00991A93">
      <w:pPr>
        <w:shd w:val="clear" w:color="auto" w:fill="FFFFFF"/>
        <w:ind w:right="-150" w:firstLine="567"/>
        <w:jc w:val="both"/>
        <w:rPr>
          <w:b/>
          <w:i/>
          <w:sz w:val="22"/>
          <w:szCs w:val="22"/>
          <w:lang w:val="lt-LT"/>
        </w:rPr>
      </w:pPr>
      <w:r w:rsidRPr="00991A93">
        <w:rPr>
          <w:b/>
          <w:i/>
          <w:sz w:val="22"/>
          <w:szCs w:val="22"/>
          <w:lang w:val="lt-LT"/>
        </w:rPr>
        <w:t>*</w:t>
      </w:r>
      <w:r w:rsidRPr="00991A93">
        <w:rPr>
          <w:b/>
          <w:i/>
          <w:sz w:val="22"/>
          <w:szCs w:val="22"/>
          <w:u w:val="single"/>
          <w:lang w:val="lt-LT"/>
        </w:rPr>
        <w:t>Pastaba</w:t>
      </w:r>
      <w:r w:rsidRPr="00991A93">
        <w:rPr>
          <w:b/>
          <w:i/>
          <w:sz w:val="22"/>
          <w:szCs w:val="22"/>
          <w:lang w:val="lt-LT"/>
        </w:rPr>
        <w:t>. Esant poreikiui Perkančioji organizacija gali paprašyti galimo laimėtojo</w:t>
      </w:r>
      <w:r w:rsidR="00E01929" w:rsidRPr="00991A93">
        <w:rPr>
          <w:b/>
          <w:i/>
          <w:sz w:val="22"/>
          <w:szCs w:val="22"/>
          <w:lang w:val="lt-LT"/>
        </w:rPr>
        <w:t xml:space="preserve"> (</w:t>
      </w:r>
      <w:r w:rsidR="001B7C95" w:rsidRPr="00991A93">
        <w:rPr>
          <w:b/>
          <w:i/>
          <w:sz w:val="22"/>
          <w:szCs w:val="22"/>
          <w:lang w:val="lt-LT"/>
        </w:rPr>
        <w:t xml:space="preserve">esant poreikiui </w:t>
      </w:r>
      <w:r w:rsidR="00E01929" w:rsidRPr="00991A93">
        <w:rPr>
          <w:b/>
          <w:i/>
          <w:sz w:val="22"/>
          <w:szCs w:val="22"/>
          <w:lang w:val="lt-LT"/>
        </w:rPr>
        <w:t>ir iš kitų tiekėjų)</w:t>
      </w:r>
      <w:r w:rsidRPr="00991A93">
        <w:rPr>
          <w:b/>
          <w:i/>
          <w:sz w:val="22"/>
          <w:szCs w:val="22"/>
          <w:lang w:val="lt-LT"/>
        </w:rPr>
        <w:t xml:space="preserve"> pateikti</w:t>
      </w:r>
      <w:r w:rsidR="00BE670B" w:rsidRPr="00991A93">
        <w:rPr>
          <w:b/>
          <w:i/>
          <w:sz w:val="22"/>
          <w:szCs w:val="22"/>
          <w:lang w:val="lt-LT"/>
        </w:rPr>
        <w:t xml:space="preserve"> vieną ar kelis</w:t>
      </w:r>
      <w:r w:rsidR="001B7C95" w:rsidRPr="00991A93">
        <w:rPr>
          <w:sz w:val="22"/>
          <w:szCs w:val="22"/>
          <w:lang w:val="lt-LT"/>
        </w:rPr>
        <w:t xml:space="preserve"> </w:t>
      </w:r>
      <w:r w:rsidR="001B7C95" w:rsidRPr="00991A93">
        <w:rPr>
          <w:b/>
          <w:i/>
          <w:sz w:val="22"/>
          <w:szCs w:val="22"/>
          <w:lang w:val="lt-LT"/>
        </w:rPr>
        <w:t>VPĮ 51 str. 12 d. nurodytus duomenis</w:t>
      </w:r>
      <w:r w:rsidR="00A9360C" w:rsidRPr="00991A93">
        <w:rPr>
          <w:b/>
          <w:i/>
          <w:sz w:val="22"/>
          <w:szCs w:val="22"/>
          <w:lang w:val="lt-LT"/>
        </w:rPr>
        <w:t xml:space="preserve">, </w:t>
      </w:r>
      <w:r w:rsidR="00E01929" w:rsidRPr="00991A93">
        <w:rPr>
          <w:b/>
          <w:i/>
          <w:sz w:val="22"/>
          <w:szCs w:val="22"/>
          <w:lang w:val="lt-LT"/>
        </w:rPr>
        <w:t xml:space="preserve">tiek, kiek (ir tada, kai) </w:t>
      </w:r>
      <w:r w:rsidR="001B7C95" w:rsidRPr="00991A93">
        <w:rPr>
          <w:b/>
          <w:i/>
          <w:sz w:val="22"/>
          <w:szCs w:val="22"/>
          <w:lang w:val="lt-LT"/>
        </w:rPr>
        <w:t xml:space="preserve">tai </w:t>
      </w:r>
      <w:r w:rsidR="00E01929" w:rsidRPr="00991A93">
        <w:rPr>
          <w:b/>
          <w:i/>
          <w:sz w:val="22"/>
          <w:szCs w:val="22"/>
          <w:lang w:val="lt-LT"/>
        </w:rPr>
        <w:t>reikalinga</w:t>
      </w:r>
      <w:r w:rsidR="00A9360C" w:rsidRPr="00991A93">
        <w:rPr>
          <w:b/>
          <w:i/>
          <w:sz w:val="22"/>
          <w:szCs w:val="22"/>
          <w:lang w:val="lt-LT"/>
        </w:rPr>
        <w:t>,</w:t>
      </w:r>
      <w:r w:rsidR="00E01929" w:rsidRPr="00991A93">
        <w:rPr>
          <w:b/>
          <w:i/>
          <w:sz w:val="22"/>
          <w:szCs w:val="22"/>
          <w:lang w:val="lt-LT"/>
        </w:rPr>
        <w:t xml:space="preserve"> </w:t>
      </w:r>
      <w:r w:rsidRPr="00991A93">
        <w:rPr>
          <w:b/>
          <w:i/>
          <w:sz w:val="22"/>
          <w:szCs w:val="22"/>
          <w:lang w:val="lt-LT"/>
        </w:rPr>
        <w:t>pagrindžiančius užpildytoje deklaracijoje (</w:t>
      </w:r>
      <w:r w:rsidR="006A10A1" w:rsidRPr="00991A93">
        <w:rPr>
          <w:b/>
          <w:i/>
          <w:sz w:val="22"/>
          <w:szCs w:val="22"/>
          <w:lang w:val="lt-LT"/>
        </w:rPr>
        <w:t xml:space="preserve">BPS </w:t>
      </w:r>
      <w:r w:rsidR="00FB1C76" w:rsidRPr="00991A93">
        <w:rPr>
          <w:b/>
          <w:i/>
          <w:sz w:val="22"/>
          <w:szCs w:val="22"/>
          <w:lang w:val="lt-LT"/>
        </w:rPr>
        <w:t>2</w:t>
      </w:r>
      <w:r w:rsidR="00151CD1" w:rsidRPr="00991A93">
        <w:rPr>
          <w:b/>
          <w:i/>
          <w:sz w:val="22"/>
          <w:szCs w:val="22"/>
          <w:lang w:val="lt-LT"/>
        </w:rPr>
        <w:t xml:space="preserve"> </w:t>
      </w:r>
      <w:r w:rsidRPr="00991A93">
        <w:rPr>
          <w:b/>
          <w:i/>
          <w:sz w:val="22"/>
          <w:szCs w:val="22"/>
          <w:lang w:val="lt-LT"/>
        </w:rPr>
        <w:t>priedas) pateiktos informacijos teisingumą.</w:t>
      </w:r>
    </w:p>
    <w:p w14:paraId="43C21EC4" w14:textId="77777777" w:rsidR="00673853" w:rsidRDefault="00673853" w:rsidP="00527E9F">
      <w:pPr>
        <w:spacing w:after="40"/>
        <w:jc w:val="both"/>
        <w:rPr>
          <w:sz w:val="22"/>
          <w:szCs w:val="22"/>
          <w:lang w:val="lt-LT"/>
        </w:rPr>
      </w:pPr>
    </w:p>
    <w:p w14:paraId="7F0990FF" w14:textId="77777777" w:rsidR="00991A93" w:rsidRDefault="00991A93" w:rsidP="00527E9F">
      <w:pPr>
        <w:spacing w:after="40"/>
        <w:jc w:val="both"/>
        <w:rPr>
          <w:sz w:val="22"/>
          <w:szCs w:val="22"/>
          <w:lang w:val="lt-LT"/>
        </w:rPr>
      </w:pPr>
    </w:p>
    <w:p w14:paraId="529B2EED" w14:textId="77777777" w:rsidR="00991A93" w:rsidRPr="005711CF" w:rsidRDefault="00991A9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lastRenderedPageBreak/>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 xml:space="preserve">aktyviai, savo veiksmais neprisidės prie pirkimo vykdytojo poreikio įsigyti pirkimo objektą tenkinimo (tiesiogiai neteiks dalies paslaugų, nevykdys dalies darbų, tiesiogiai neprisidės prie prekių tiekimo, neprisiims </w:t>
      </w:r>
      <w:r w:rsidRPr="005711CF">
        <w:rPr>
          <w:sz w:val="22"/>
          <w:szCs w:val="22"/>
          <w:lang w:val="lt-LT"/>
        </w:rPr>
        <w:lastRenderedPageBreak/>
        <w:t>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BE670B" w:rsidRPr="002F665D">
          <w:rPr>
            <w:rStyle w:val="Hyperlink"/>
            <w:rFonts w:asciiTheme="majorBidi" w:hAnsiTheme="majorBidi"/>
            <w:color w:val="4668C0" w:themeColor="accent6" w:themeShade="BF"/>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5711CF">
        <w:rPr>
          <w:rFonts w:cs="Times New Roman"/>
          <w:noProof/>
          <w:color w:val="000000" w:themeColor="text1"/>
          <w:lang w:val="lt-LT"/>
        </w:rPr>
        <w:t>., pdf, jpg, docx ir kt</w:t>
      </w:r>
      <w:r w:rsidRPr="005711CF">
        <w:rPr>
          <w:rFonts w:cs="Times New Roman"/>
          <w:color w:val="000000" w:themeColor="text1"/>
          <w:lang w:val="lt-LT"/>
        </w:rPr>
        <w: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5.7. Tiekėjo pasiūlymas bei kita korespondencija pateikiami lietuvių kalba. Jei reikalaujami pridėti prie pasiūlymo dokumentai negali būti pateikti lietuvių kalba, šie dokumentai turi būti pateikiami </w:t>
      </w:r>
      <w:r w:rsidRPr="005711CF">
        <w:rPr>
          <w:rFonts w:cs="Times New Roman"/>
          <w:color w:val="000000" w:themeColor="text1"/>
          <w:lang w:val="lt-LT"/>
        </w:rPr>
        <w:lastRenderedPageBreak/>
        <w:t>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w:t>
      </w:r>
      <w:r w:rsidR="007A7B0F" w:rsidRPr="00BB69E2">
        <w:rPr>
          <w:rFonts w:cs="Times New Roman"/>
          <w:color w:val="000000" w:themeColor="text1"/>
          <w:lang w:val="lt-LT"/>
        </w:rPr>
        <w:lastRenderedPageBreak/>
        <w:t>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0E07D349"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816ACE" w:rsidRPr="00567EF6">
          <w:rPr>
            <w:rStyle w:val="Hyperlink"/>
            <w:rFonts w:cs="Times New Roman"/>
            <w:color w:val="4668C0" w:themeColor="accent6" w:themeShade="BF"/>
            <w:lang w:val="lt-LT"/>
          </w:rPr>
          <w:t>https://vpt.lrv.lt/lt/nuorodos/kiti-duomenys/pasiulymu-sifravimas/sifravimo-priemoniu-aprasas/</w:t>
        </w:r>
      </w:hyperlink>
      <w:r w:rsidR="00C06F50" w:rsidRPr="00567EF6">
        <w:rPr>
          <w:color w:val="4668C0" w:themeColor="accent6" w:themeShade="BF"/>
        </w:rPr>
        <w:t xml:space="preserve"> </w:t>
      </w:r>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lastRenderedPageBreak/>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noProof/>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w:t>
      </w:r>
      <w:r w:rsidR="004D35E3" w:rsidRPr="005711CF">
        <w:rPr>
          <w:rFonts w:cs="Times New Roman"/>
          <w:noProof/>
          <w:color w:val="000000" w:themeColor="text1"/>
          <w:lang w:val="lt-LT"/>
        </w:rPr>
        <w:t xml:space="preserve">pranešimo užtikrintojui apie šių sąlygų nesilaikymą: (1) jeigu pasiūlymo galiojimo laikotarpiu tiekėjas atsiima savo pasiūlymą; (2) jeigu tiekėją pripažinus pirkimo laimėtoju, tiekėjas iki perkančiosios organizacijos nurodyto laiko </w:t>
      </w:r>
      <w:r w:rsidR="00A031AA">
        <w:rPr>
          <w:rFonts w:cs="Times New Roman"/>
          <w:noProof/>
          <w:color w:val="000000" w:themeColor="text1"/>
          <w:lang w:val="lt-LT"/>
        </w:rPr>
        <w:t>nesudaro</w:t>
      </w:r>
      <w:r w:rsidR="004D35E3" w:rsidRPr="005711CF">
        <w:rPr>
          <w:rFonts w:cs="Times New Roman"/>
          <w:noProof/>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noProof/>
          <w:color w:val="000000" w:themeColor="text1"/>
          <w:lang w:val="lt-LT"/>
        </w:rPr>
        <w:tab/>
        <w:t>7.7</w:t>
      </w:r>
      <w:r w:rsidR="004D35E3" w:rsidRPr="005711CF">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 dėl kurios iš aukščiau išvardintų</w:t>
      </w:r>
      <w:r w:rsidR="004D35E3" w:rsidRPr="005711CF">
        <w:rPr>
          <w:rFonts w:cs="Times New Roman"/>
          <w:color w:val="000000" w:themeColor="text1"/>
          <w:lang w:val="lt-LT"/>
        </w:rPr>
        <w:t xml:space="preserve">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3A8010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 xml:space="preserve">d., VPĮ </w:t>
      </w:r>
      <w:r w:rsidR="00A335BC">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3916961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 xml:space="preserve">d. </w:t>
      </w:r>
      <w:r w:rsidR="00A335BC">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312C9362"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w:t>
      </w:r>
      <w:r w:rsidR="00A335BC">
        <w:rPr>
          <w:sz w:val="22"/>
          <w:bdr w:val="none" w:sz="0" w:space="0" w:color="auto"/>
          <w:lang w:val="lt-LT"/>
        </w:rPr>
        <w:t xml:space="preserve">  </w:t>
      </w:r>
      <w:r w:rsidR="00813157" w:rsidRPr="00763B8C">
        <w:rPr>
          <w:sz w:val="22"/>
          <w:bdr w:val="none" w:sz="0" w:space="0" w:color="auto"/>
          <w:lang w:val="lt-LT"/>
        </w:rPr>
        <w:t>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7B452991"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lastRenderedPageBreak/>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w:t>
      </w:r>
      <w:r w:rsidR="00A335BC">
        <w:rPr>
          <w:sz w:val="22"/>
          <w:bdr w:val="none" w:sz="0" w:space="0" w:color="auto"/>
          <w:lang w:val="lt-LT"/>
        </w:rPr>
        <w:t xml:space="preserve">                  </w:t>
      </w:r>
      <w:r w:rsidR="005D33D7" w:rsidRPr="00763B8C">
        <w:rPr>
          <w:sz w:val="22"/>
          <w:bdr w:val="none" w:sz="0" w:space="0" w:color="auto"/>
          <w:lang w:val="lt-LT"/>
        </w:rPr>
        <w:t xml:space="preserve">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1BAAB88C"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w:t>
      </w:r>
      <w:r w:rsidR="00A335BC">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17 str</w:t>
      </w:r>
      <w:r w:rsidR="00883079">
        <w:rPr>
          <w:rFonts w:eastAsia="Times New Roman"/>
          <w:color w:val="000000" w:themeColor="text1"/>
          <w:sz w:val="22"/>
          <w:szCs w:val="22"/>
          <w:bdr w:val="none" w:sz="0" w:space="0" w:color="auto"/>
          <w:lang w:val="lt-LT" w:eastAsia="lt-LT"/>
        </w:rPr>
        <w:t>.</w:t>
      </w:r>
      <w:r w:rsidRPr="005711CF">
        <w:rPr>
          <w:rFonts w:eastAsia="Times New Roman"/>
          <w:color w:val="000000" w:themeColor="text1"/>
          <w:sz w:val="22"/>
          <w:szCs w:val="22"/>
          <w:bdr w:val="none" w:sz="0" w:space="0" w:color="auto"/>
          <w:lang w:val="lt-LT" w:eastAsia="lt-LT"/>
        </w:rPr>
        <w:t xml:space="preserve"> 2 d</w:t>
      </w:r>
      <w:r w:rsidR="00883079">
        <w:rPr>
          <w:rFonts w:eastAsia="Times New Roman"/>
          <w:color w:val="000000" w:themeColor="text1"/>
          <w:sz w:val="22"/>
          <w:szCs w:val="22"/>
          <w:bdr w:val="none" w:sz="0" w:space="0" w:color="auto"/>
          <w:lang w:val="lt-LT" w:eastAsia="lt-LT"/>
        </w:rPr>
        <w:t>.</w:t>
      </w:r>
      <w:r w:rsidRPr="005711CF">
        <w:rPr>
          <w:rFonts w:eastAsia="Times New Roman"/>
          <w:color w:val="000000" w:themeColor="text1"/>
          <w:sz w:val="22"/>
          <w:szCs w:val="22"/>
          <w:bdr w:val="none" w:sz="0" w:space="0" w:color="auto"/>
          <w:lang w:val="lt-LT" w:eastAsia="lt-LT"/>
        </w:rPr>
        <w:t xml:space="preserve"> 2 p</w:t>
      </w:r>
      <w:r w:rsidR="00883079">
        <w:rPr>
          <w:rFonts w:eastAsia="Times New Roman"/>
          <w:color w:val="000000" w:themeColor="text1"/>
          <w:sz w:val="22"/>
          <w:szCs w:val="22"/>
          <w:bdr w:val="none" w:sz="0" w:space="0" w:color="auto"/>
          <w:lang w:val="lt-LT" w:eastAsia="lt-LT"/>
        </w:rPr>
        <w:t>.</w:t>
      </w:r>
      <w:r w:rsidRPr="005711CF">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w:t>
      </w:r>
      <w:r w:rsidR="00B9767C" w:rsidRPr="00B9767C">
        <w:rPr>
          <w:rFonts w:cs="Times New Roman"/>
          <w:color w:val="000000" w:themeColor="text1"/>
          <w:lang w:val="lt-LT"/>
        </w:rPr>
        <w:lastRenderedPageBreak/>
        <w:t xml:space="preserve">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01B6B36"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4308A7">
        <w:rPr>
          <w:rFonts w:cs="Times New Roman"/>
          <w:color w:val="000000" w:themeColor="text1"/>
          <w:lang w:val="lt-LT"/>
        </w:rPr>
        <w:t>VPĮ</w:t>
      </w:r>
      <w:r w:rsidRPr="00813157">
        <w:rPr>
          <w:rFonts w:cs="Times New Roman"/>
          <w:color w:val="000000" w:themeColor="text1"/>
          <w:lang w:val="lt-LT"/>
        </w:rPr>
        <w:t xml:space="preserve"> 102 str</w:t>
      </w:r>
      <w:r w:rsidR="004308A7">
        <w:rPr>
          <w:rFonts w:cs="Times New Roman"/>
          <w:color w:val="000000" w:themeColor="text1"/>
          <w:lang w:val="lt-LT"/>
        </w:rPr>
        <w:t>.</w:t>
      </w:r>
      <w:r w:rsidRPr="00813157">
        <w:rPr>
          <w:rFonts w:cs="Times New Roman"/>
          <w:color w:val="000000" w:themeColor="text1"/>
          <w:lang w:val="lt-LT"/>
        </w:rPr>
        <w:t xml:space="preserve"> 1 d</w:t>
      </w:r>
      <w:r w:rsidR="004308A7">
        <w:rPr>
          <w:rFonts w:cs="Times New Roman"/>
          <w:color w:val="000000" w:themeColor="text1"/>
          <w:lang w:val="lt-LT"/>
        </w:rPr>
        <w:t>.</w:t>
      </w:r>
      <w:r w:rsidRPr="00813157">
        <w:rPr>
          <w:rFonts w:cs="Times New Roman"/>
          <w:color w:val="000000" w:themeColor="text1"/>
          <w:lang w:val="lt-LT"/>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w:t>
      </w:r>
      <w:r w:rsidR="004308A7">
        <w:rPr>
          <w:rFonts w:cs="Times New Roman"/>
          <w:color w:val="000000" w:themeColor="text1"/>
          <w:lang w:val="lt-LT"/>
        </w:rPr>
        <w:t>VPĮ</w:t>
      </w:r>
      <w:r w:rsidRPr="00813157">
        <w:rPr>
          <w:rFonts w:cs="Times New Roman"/>
          <w:color w:val="000000" w:themeColor="text1"/>
          <w:lang w:val="lt-LT"/>
        </w:rPr>
        <w:t xml:space="preserve"> 102 str</w:t>
      </w:r>
      <w:r w:rsidR="004308A7">
        <w:rPr>
          <w:rFonts w:cs="Times New Roman"/>
          <w:color w:val="000000" w:themeColor="text1"/>
          <w:lang w:val="lt-LT"/>
        </w:rPr>
        <w:t>.</w:t>
      </w:r>
      <w:r w:rsidRPr="00813157">
        <w:rPr>
          <w:rFonts w:cs="Times New Roman"/>
          <w:color w:val="000000" w:themeColor="text1"/>
          <w:lang w:val="lt-LT"/>
        </w:rPr>
        <w:t xml:space="preserve"> 1 d</w:t>
      </w:r>
      <w:r w:rsidR="004308A7">
        <w:rPr>
          <w:rFonts w:cs="Times New Roman"/>
          <w:color w:val="000000" w:themeColor="text1"/>
          <w:lang w:val="lt-LT"/>
        </w:rPr>
        <w:t>.</w:t>
      </w:r>
      <w:r w:rsidRPr="00813157">
        <w:rPr>
          <w:rFonts w:cs="Times New Roman"/>
          <w:color w:val="000000" w:themeColor="text1"/>
          <w:lang w:val="lt-LT"/>
        </w:rPr>
        <w:t xml:space="preserv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39E0393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902685">
        <w:rPr>
          <w:rFonts w:cs="Times New Roman"/>
          <w:color w:val="000000" w:themeColor="text1"/>
          <w:lang w:val="lt-LT"/>
        </w:rPr>
        <w:t>VPĮ</w:t>
      </w:r>
      <w:r w:rsidR="00DF10BB" w:rsidRPr="00DF10BB">
        <w:rPr>
          <w:rFonts w:cs="Times New Roman"/>
          <w:color w:val="000000" w:themeColor="text1"/>
          <w:lang w:val="lt-LT"/>
        </w:rPr>
        <w:t xml:space="preserve"> 102 str</w:t>
      </w:r>
      <w:r w:rsidR="00902685">
        <w:rPr>
          <w:rFonts w:cs="Times New Roman"/>
          <w:color w:val="000000" w:themeColor="text1"/>
          <w:lang w:val="lt-LT"/>
        </w:rPr>
        <w:t>.</w:t>
      </w:r>
      <w:r w:rsidR="00DF10BB" w:rsidRPr="00DF10BB">
        <w:rPr>
          <w:rFonts w:cs="Times New Roman"/>
          <w:color w:val="000000" w:themeColor="text1"/>
          <w:lang w:val="lt-LT"/>
        </w:rPr>
        <w:t xml:space="preserve">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4A90538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w:t>
      </w:r>
      <w:r w:rsidR="00902685">
        <w:rPr>
          <w:rFonts w:cs="Times New Roman"/>
          <w:color w:val="auto"/>
          <w:lang w:val="lt-LT"/>
        </w:rPr>
        <w:t>.</w:t>
      </w:r>
      <w:r w:rsidR="008A0B95" w:rsidRPr="008A0B95">
        <w:rPr>
          <w:rFonts w:cs="Times New Roman"/>
          <w:color w:val="auto"/>
          <w:lang w:val="lt-LT"/>
        </w:rPr>
        <w:t xml:space="preserve"> 1 d</w:t>
      </w:r>
      <w:r w:rsidR="00902685">
        <w:rPr>
          <w:rFonts w:cs="Times New Roman"/>
          <w:color w:val="auto"/>
          <w:lang w:val="lt-LT"/>
        </w:rPr>
        <w:t>.</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0C62E49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w:t>
      </w:r>
      <w:r w:rsidR="008A0B95" w:rsidRPr="00C33BC9">
        <w:rPr>
          <w:rFonts w:cs="Times New Roman"/>
          <w:color w:val="auto"/>
          <w:lang w:val="lt-LT"/>
        </w:rPr>
        <w:t xml:space="preserve">atvejais, kai tiekėjui padaryta žala kildinama iš neteisėtų perkančiosios organizacijos veiksmų ar sprendimų, tačiau </w:t>
      </w:r>
      <w:r w:rsidR="008A0B95" w:rsidRPr="00C33BC9">
        <w:rPr>
          <w:rFonts w:cs="Times New Roman"/>
          <w:kern w:val="2"/>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w:t>
      </w:r>
      <w:r w:rsidR="00C33BC9">
        <w:rPr>
          <w:rFonts w:cs="Times New Roman"/>
          <w:color w:val="auto"/>
          <w:lang w:val="lt-LT"/>
        </w:rPr>
        <w:t>VPĮ</w:t>
      </w:r>
      <w:r w:rsidR="008A0B95" w:rsidRPr="008A0B95">
        <w:rPr>
          <w:rFonts w:cs="Times New Roman"/>
          <w:color w:val="auto"/>
          <w:lang w:val="lt-LT"/>
        </w:rPr>
        <w:t xml:space="preserve"> 102 str</w:t>
      </w:r>
      <w:r w:rsidR="00C33BC9">
        <w:rPr>
          <w:rFonts w:cs="Times New Roman"/>
          <w:color w:val="auto"/>
          <w:lang w:val="lt-LT"/>
        </w:rPr>
        <w:t>.</w:t>
      </w:r>
      <w:r w:rsidR="008A0B95" w:rsidRPr="008A0B95">
        <w:rPr>
          <w:rFonts w:cs="Times New Roman"/>
          <w:color w:val="auto"/>
          <w:lang w:val="lt-LT"/>
        </w:rPr>
        <w:t xml:space="preserve"> 4 d</w:t>
      </w:r>
      <w:r w:rsidR="00C33BC9">
        <w:rPr>
          <w:rFonts w:cs="Times New Roman"/>
          <w:color w:val="auto"/>
          <w:lang w:val="lt-LT"/>
        </w:rPr>
        <w:t>.</w:t>
      </w:r>
      <w:r w:rsidR="008A0B95" w:rsidRPr="008A0B95">
        <w:rPr>
          <w:rFonts w:cs="Times New Roman"/>
          <w:color w:val="auto"/>
          <w:lang w:val="lt-LT"/>
        </w:rPr>
        <w:t xml:space="preserv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46BED01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w:t>
      </w:r>
      <w:r w:rsidR="00C33BC9">
        <w:rPr>
          <w:rFonts w:cs="Times New Roman"/>
          <w:color w:val="000000" w:themeColor="text1"/>
          <w:lang w:val="lt-LT"/>
        </w:rPr>
        <w:t>.</w:t>
      </w:r>
      <w:r w:rsidRPr="005711CF">
        <w:rPr>
          <w:rFonts w:cs="Times New Roman"/>
          <w:color w:val="000000" w:themeColor="text1"/>
          <w:lang w:val="lt-LT"/>
        </w:rPr>
        <w:t xml:space="preserve"> </w:t>
      </w:r>
      <w:r w:rsidRPr="005711CF">
        <w:rPr>
          <w:rFonts w:cs="Times New Roman"/>
          <w:color w:val="000000" w:themeColor="text1"/>
          <w:lang w:val="lt-LT"/>
        </w:rPr>
        <w:lastRenderedPageBreak/>
        <w:t>2 d</w:t>
      </w:r>
      <w:r w:rsidR="00C33BC9">
        <w:rPr>
          <w:rFonts w:cs="Times New Roman"/>
          <w:color w:val="000000" w:themeColor="text1"/>
          <w:lang w:val="lt-LT"/>
        </w:rPr>
        <w:t>.</w:t>
      </w:r>
      <w:r w:rsidRPr="005711CF">
        <w:rPr>
          <w:rFonts w:cs="Times New Roman"/>
          <w:color w:val="000000" w:themeColor="text1"/>
          <w:lang w:val="lt-LT"/>
        </w:rPr>
        <w:t>, 105 str</w:t>
      </w:r>
      <w:r w:rsidR="00C33BC9">
        <w:rPr>
          <w:rFonts w:cs="Times New Roman"/>
          <w:color w:val="000000" w:themeColor="text1"/>
          <w:lang w:val="lt-LT"/>
        </w:rPr>
        <w:t>.</w:t>
      </w:r>
      <w:r w:rsidRPr="005711CF">
        <w:rPr>
          <w:rFonts w:cs="Times New Roman"/>
          <w:color w:val="000000" w:themeColor="text1"/>
          <w:lang w:val="lt-LT"/>
        </w:rPr>
        <w:t xml:space="preserve"> 2 d</w:t>
      </w:r>
      <w:r w:rsidR="00C33BC9">
        <w:rPr>
          <w:rFonts w:cs="Times New Roman"/>
          <w:color w:val="000000" w:themeColor="text1"/>
          <w:lang w:val="lt-LT"/>
        </w:rPr>
        <w:t>.</w:t>
      </w:r>
      <w:r w:rsidRPr="005711CF">
        <w:rPr>
          <w:rFonts w:cs="Times New Roman"/>
          <w:color w:val="000000" w:themeColor="text1"/>
          <w:lang w:val="lt-LT"/>
        </w:rPr>
        <w:t xml:space="preserve"> 3 p</w:t>
      </w:r>
      <w:r w:rsidR="00C33BC9">
        <w:rPr>
          <w:rFonts w:cs="Times New Roman"/>
          <w:color w:val="000000" w:themeColor="text1"/>
          <w:lang w:val="lt-LT"/>
        </w:rPr>
        <w:t>.</w:t>
      </w:r>
      <w:r w:rsidRPr="005711CF">
        <w:rPr>
          <w:rFonts w:cs="Times New Roman"/>
          <w:color w:val="000000" w:themeColor="text1"/>
          <w:lang w:val="lt-LT"/>
        </w:rPr>
        <w:t xml:space="preserve"> ir 105 str</w:t>
      </w:r>
      <w:r w:rsidR="00220A6B">
        <w:rPr>
          <w:rFonts w:cs="Times New Roman"/>
          <w:color w:val="000000" w:themeColor="text1"/>
          <w:lang w:val="lt-LT"/>
        </w:rPr>
        <w:t>.</w:t>
      </w:r>
      <w:r w:rsidRPr="005711CF">
        <w:rPr>
          <w:rFonts w:cs="Times New Roman"/>
          <w:color w:val="000000" w:themeColor="text1"/>
          <w:lang w:val="lt-LT"/>
        </w:rPr>
        <w:t xml:space="preserve"> 3 d</w:t>
      </w:r>
      <w:r w:rsidR="00220A6B">
        <w:rPr>
          <w:rFonts w:cs="Times New Roman"/>
          <w:color w:val="000000" w:themeColor="text1"/>
          <w:lang w:val="lt-LT"/>
        </w:rPr>
        <w:t>.</w:t>
      </w:r>
      <w:r w:rsidRPr="005711CF">
        <w:rPr>
          <w:rFonts w:cs="Times New Roman"/>
          <w:color w:val="000000" w:themeColor="text1"/>
          <w:lang w:val="lt-LT"/>
        </w:rPr>
        <w:t xml:space="preserve"> 3 p</w:t>
      </w:r>
      <w:r w:rsidR="00C33BC9">
        <w:rPr>
          <w:rFonts w:cs="Times New Roman"/>
          <w:color w:val="000000" w:themeColor="text1"/>
          <w:lang w:val="lt-LT"/>
        </w:rPr>
        <w:t>.</w:t>
      </w:r>
      <w:r w:rsidRPr="005711CF">
        <w:rPr>
          <w:rFonts w:cs="Times New Roman"/>
          <w:color w:val="000000" w:themeColor="text1"/>
          <w:lang w:val="lt-LT"/>
        </w:rPr>
        <w:t xml:space="preserv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63A4BEA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xml:space="preserve">, jei SPS </w:t>
      </w:r>
      <w:r w:rsidR="00220A6B">
        <w:rPr>
          <w:rFonts w:cs="Times New Roman"/>
          <w:color w:val="000000" w:themeColor="text1"/>
          <w:lang w:val="lt-LT"/>
        </w:rPr>
        <w:t xml:space="preserve">    </w:t>
      </w:r>
      <w:r w:rsidR="000E4515" w:rsidRPr="005711CF">
        <w:rPr>
          <w:rFonts w:cs="Times New Roman"/>
          <w:color w:val="000000" w:themeColor="text1"/>
          <w:lang w:val="lt-LT"/>
        </w:rPr>
        <w:t>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8"/>
      <w:headerReference w:type="first" r:id="rId29"/>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BD47B5" w:rsidRDefault="00D96BF2">
    <w:pPr>
      <w:pStyle w:val="Footer"/>
      <w:rPr>
        <w:i/>
        <w:color w:val="D9D9D9" w:themeColor="background1" w:themeShade="D9"/>
        <w:sz w:val="20"/>
        <w:lang w:val="lt-LT"/>
        <w14:textFill>
          <w14:gradFill>
            <w14:gsLst>
              <w14:gs w14:pos="0">
                <w14:schemeClr w14:val="bg1">
                  <w14:lumMod w14:val="85000"/>
                  <w14:lumOff w14:val="0"/>
                  <w14:shade w14:val="30000"/>
                  <w14:satMod w14:val="115000"/>
                </w14:schemeClr>
              </w14:gs>
              <w14:gs w14:pos="50000">
                <w14:schemeClr w14:val="bg1">
                  <w14:lumMod w14:val="85000"/>
                  <w14:lumOff w14:val="0"/>
                  <w14:shade w14:val="67500"/>
                  <w14:satMod w14:val="115000"/>
                </w14:schemeClr>
              </w14:gs>
              <w14:gs w14:pos="100000">
                <w14:schemeClr w14:val="bg1">
                  <w14:lumMod w14:val="85000"/>
                  <w14:lumOff w14:val="0"/>
                  <w14:shade w14:val="100000"/>
                  <w14:satMod w14:val="115000"/>
                </w14:schemeClr>
              </w14:gs>
            </w14:gsLst>
            <w14:lin w14:ang="2700000" w14:scaled="0"/>
          </w14:gradFill>
        </w14:textFill>
      </w:rPr>
    </w:pPr>
    <w:r w:rsidRPr="00BD47B5">
      <w:rPr>
        <w:rFonts w:ascii="Helvetica Neue Medium" w:hAnsi="Helvetica Neue Medium" w:hint="eastAsia"/>
        <w:i/>
        <w:color w:val="D9D9D9" w:themeColor="background1" w:themeShade="D9"/>
        <w:sz w:val="20"/>
        <w:lang w:val="lt-LT"/>
        <w14:textFill>
          <w14:gradFill>
            <w14:gsLst>
              <w14:gs w14:pos="0">
                <w14:schemeClr w14:val="bg1">
                  <w14:lumMod w14:val="85000"/>
                  <w14:lumOff w14:val="0"/>
                  <w14:shade w14:val="30000"/>
                  <w14:satMod w14:val="115000"/>
                </w14:schemeClr>
              </w14:gs>
              <w14:gs w14:pos="50000">
                <w14:schemeClr w14:val="bg1">
                  <w14:lumMod w14:val="85000"/>
                  <w14:lumOff w14:val="0"/>
                  <w14:shade w14:val="67500"/>
                  <w14:satMod w14:val="115000"/>
                </w14:schemeClr>
              </w14:gs>
              <w14:gs w14:pos="100000">
                <w14:schemeClr w14:val="bg1">
                  <w14:lumMod w14:val="85000"/>
                  <w14:lumOff w14:val="0"/>
                  <w14:shade w14:val="100000"/>
                  <w14:satMod w14:val="115000"/>
                </w14:schemeClr>
              </w14:gs>
            </w14:gsLst>
            <w14:lin w14:ang="2700000" w14:scaled="0"/>
          </w14:gradFill>
        </w14:textFill>
      </w:rPr>
      <w:t>Atnaujinta 2025-</w:t>
    </w:r>
    <w:r w:rsidRPr="00BD47B5">
      <w:rPr>
        <w:i/>
        <w:iCs/>
        <w:color w:val="D9D9D9" w:themeColor="background1" w:themeShade="D9"/>
        <w:sz w:val="20"/>
        <w:szCs w:val="20"/>
        <w:lang w:val="lt-LT"/>
        <w14:textFill>
          <w14:gradFill>
            <w14:gsLst>
              <w14:gs w14:pos="0">
                <w14:schemeClr w14:val="bg1">
                  <w14:lumMod w14:val="85000"/>
                  <w14:lumOff w14:val="0"/>
                  <w14:shade w14:val="30000"/>
                  <w14:satMod w14:val="115000"/>
                </w14:schemeClr>
              </w14:gs>
              <w14:gs w14:pos="50000">
                <w14:schemeClr w14:val="bg1">
                  <w14:lumMod w14:val="85000"/>
                  <w14:lumOff w14:val="0"/>
                  <w14:shade w14:val="67500"/>
                  <w14:satMod w14:val="115000"/>
                </w14:schemeClr>
              </w14:gs>
              <w14:gs w14:pos="100000">
                <w14:schemeClr w14:val="bg1">
                  <w14:lumMod w14:val="85000"/>
                  <w14:lumOff w14:val="0"/>
                  <w14:shade w14:val="100000"/>
                  <w14:satMod w14:val="115000"/>
                </w14:schemeClr>
              </w14:gs>
            </w14:gsLst>
            <w14:lin w14:ang="2700000" w14:scaled="0"/>
          </w14:gradFill>
        </w14:textFill>
      </w:rPr>
      <w:t>10-23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D96BF2" w:rsidRPr="00D2688A" w:rsidRDefault="00D96BF2" w:rsidP="00D2688A">
    <w:pPr>
      <w:pBdr>
        <w:top w:val="none" w:sz="0" w:space="0" w:color="auto"/>
        <w:left w:val="none" w:sz="0" w:space="0" w:color="auto"/>
        <w:bottom w:val="none" w:sz="0" w:space="0" w:color="auto"/>
        <w:right w:val="none" w:sz="0" w:space="0" w:color="auto"/>
        <w:between w:val="none" w:sz="0" w:space="0" w:color="auto"/>
        <w:bar w:val="none" w:sz="0" w:color="auto"/>
      </w:pBdr>
      <w:ind w:left="5184" w:right="-178"/>
      <w:jc w:val="both"/>
      <w:rPr>
        <w:rFonts w:eastAsia="Calibri"/>
        <w:sz w:val="20"/>
        <w:szCs w:val="20"/>
        <w:bdr w:val="none" w:sz="0" w:space="0" w:color="auto" w:frame="1"/>
        <w:lang w:val="lt-LT"/>
      </w:rPr>
    </w:pPr>
    <w:r w:rsidRPr="00D2688A">
      <w:rPr>
        <w:rFonts w:eastAsia="Calibri"/>
        <w:sz w:val="20"/>
        <w:szCs w:val="20"/>
        <w:bdr w:val="none" w:sz="0" w:space="0" w:color="auto" w:frame="1"/>
        <w:lang w:val="lt-LT"/>
      </w:rPr>
      <w:t>PATVIRTINTA</w:t>
    </w:r>
  </w:p>
  <w:p w14:paraId="3A4B0C5B" w14:textId="6ED54817" w:rsidR="00D96BF2" w:rsidRPr="00D2688A" w:rsidRDefault="00D96BF2" w:rsidP="00D2688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jc w:val="both"/>
      <w:rPr>
        <w:rFonts w:eastAsia="Calibri"/>
        <w:sz w:val="20"/>
        <w:szCs w:val="20"/>
        <w:bdr w:val="none" w:sz="0" w:space="0" w:color="auto" w:frame="1"/>
        <w:lang w:val="lt-LT"/>
      </w:rPr>
    </w:pPr>
    <w:r w:rsidRPr="00D2688A">
      <w:rPr>
        <w:rFonts w:eastAsia="Calibri"/>
        <w:sz w:val="20"/>
        <w:szCs w:val="20"/>
        <w:bdr w:val="none" w:sz="0" w:space="0" w:color="auto" w:frame="1"/>
        <w:lang w:val="lt-LT"/>
      </w:rPr>
      <w:t xml:space="preserve">Viešųjų pirkimų komisijos, sudarytos VšĮ VUL SK generalinio direktoriaus 2018-07-27 įsakymu Nr. V-654, posėdžio 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122453218">
    <w:abstractNumId w:val="14"/>
  </w:num>
  <w:num w:numId="2" w16cid:durableId="1056856883">
    <w:abstractNumId w:val="3"/>
  </w:num>
  <w:num w:numId="3" w16cid:durableId="771585674">
    <w:abstractNumId w:val="9"/>
  </w:num>
  <w:num w:numId="4" w16cid:durableId="115150518">
    <w:abstractNumId w:val="13"/>
  </w:num>
  <w:num w:numId="5" w16cid:durableId="1361589733">
    <w:abstractNumId w:val="7"/>
  </w:num>
  <w:num w:numId="6" w16cid:durableId="1414549212">
    <w:abstractNumId w:val="10"/>
  </w:num>
  <w:num w:numId="7" w16cid:durableId="1601718971">
    <w:abstractNumId w:val="12"/>
  </w:num>
  <w:num w:numId="8" w16cid:durableId="1557857343">
    <w:abstractNumId w:val="0"/>
  </w:num>
  <w:num w:numId="9" w16cid:durableId="1718241644">
    <w:abstractNumId w:val="6"/>
  </w:num>
  <w:num w:numId="10" w16cid:durableId="780078442">
    <w:abstractNumId w:val="1"/>
  </w:num>
  <w:num w:numId="11" w16cid:durableId="686712954">
    <w:abstractNumId w:val="2"/>
  </w:num>
  <w:num w:numId="12" w16cid:durableId="46689591">
    <w:abstractNumId w:val="11"/>
  </w:num>
  <w:num w:numId="13" w16cid:durableId="300506705">
    <w:abstractNumId w:val="8"/>
  </w:num>
  <w:num w:numId="14" w16cid:durableId="678771043">
    <w:abstractNumId w:val="4"/>
  </w:num>
  <w:num w:numId="15" w16cid:durableId="990871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0F74"/>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0A6B"/>
    <w:rsid w:val="002223B8"/>
    <w:rsid w:val="00222ACB"/>
    <w:rsid w:val="002260CB"/>
    <w:rsid w:val="00230DF1"/>
    <w:rsid w:val="0024056E"/>
    <w:rsid w:val="00241575"/>
    <w:rsid w:val="0024699C"/>
    <w:rsid w:val="002504DB"/>
    <w:rsid w:val="00256D88"/>
    <w:rsid w:val="00264D59"/>
    <w:rsid w:val="00264D9D"/>
    <w:rsid w:val="00276AAF"/>
    <w:rsid w:val="002802A2"/>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65D"/>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08A7"/>
    <w:rsid w:val="0043108C"/>
    <w:rsid w:val="00431428"/>
    <w:rsid w:val="00433AC0"/>
    <w:rsid w:val="00445518"/>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313A"/>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67EF6"/>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41EE6"/>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1EBA"/>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3079"/>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2685"/>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1A93"/>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335BC"/>
    <w:rsid w:val="00A452FB"/>
    <w:rsid w:val="00A4556C"/>
    <w:rsid w:val="00A60674"/>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101"/>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47B5"/>
    <w:rsid w:val="00BD7EB1"/>
    <w:rsid w:val="00BE4909"/>
    <w:rsid w:val="00BE62CB"/>
    <w:rsid w:val="00BE670B"/>
    <w:rsid w:val="00BF0689"/>
    <w:rsid w:val="00BF11BB"/>
    <w:rsid w:val="00BF11DF"/>
    <w:rsid w:val="00BF4053"/>
    <w:rsid w:val="00BF4E2C"/>
    <w:rsid w:val="00BF5ECD"/>
    <w:rsid w:val="00C048F3"/>
    <w:rsid w:val="00C04AB9"/>
    <w:rsid w:val="00C06F50"/>
    <w:rsid w:val="00C07232"/>
    <w:rsid w:val="00C07439"/>
    <w:rsid w:val="00C07FEF"/>
    <w:rsid w:val="00C12F04"/>
    <w:rsid w:val="00C162B7"/>
    <w:rsid w:val="00C1725F"/>
    <w:rsid w:val="00C176B2"/>
    <w:rsid w:val="00C228DC"/>
    <w:rsid w:val="00C27CDC"/>
    <w:rsid w:val="00C33BC9"/>
    <w:rsid w:val="00C35B26"/>
    <w:rsid w:val="00C36176"/>
    <w:rsid w:val="00C37077"/>
    <w:rsid w:val="00C40421"/>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2688A"/>
    <w:rsid w:val="00D31CB5"/>
    <w:rsid w:val="00D3278D"/>
    <w:rsid w:val="00D355DA"/>
    <w:rsid w:val="00D36739"/>
    <w:rsid w:val="00D37C12"/>
    <w:rsid w:val="00D44257"/>
    <w:rsid w:val="00D47CE7"/>
    <w:rsid w:val="00D5189A"/>
    <w:rsid w:val="00D52D52"/>
    <w:rsid w:val="00D62853"/>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350F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54267</Words>
  <Characters>30933</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Jolanta Biekšienė</cp:lastModifiedBy>
  <cp:revision>24</cp:revision>
  <cp:lastPrinted>2022-05-17T11:05:00Z</cp:lastPrinted>
  <dcterms:created xsi:type="dcterms:W3CDTF">2025-11-20T09:13:00Z</dcterms:created>
  <dcterms:modified xsi:type="dcterms:W3CDTF">2025-11-20T09:33:00Z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