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8F6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7153A7">
        <w:rPr>
          <w:rFonts w:ascii="Times New Roman" w:hAnsi="Times New Roman"/>
          <w:b/>
          <w:sz w:val="24"/>
          <w:szCs w:val="24"/>
        </w:rPr>
        <w:t>Bendrieji reikalavimai skaitiklių pirkimui:</w:t>
      </w:r>
    </w:p>
    <w:p w14:paraId="5CB0638D" w14:textId="77777777" w:rsidR="000963E1" w:rsidRPr="007153A7" w:rsidRDefault="000963E1" w:rsidP="001E119F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</w:p>
    <w:p w14:paraId="60186C25" w14:textId="507CDCB1" w:rsidR="00394FA8" w:rsidRPr="00C63986" w:rsidRDefault="000D5267" w:rsidP="001E119F">
      <w:pPr>
        <w:pStyle w:val="Betarp"/>
        <w:jc w:val="both"/>
        <w:rPr>
          <w:rFonts w:ascii="Times New Roman" w:eastAsia="Times New Roman" w:hAnsi="Times New Roman"/>
          <w:spacing w:val="4"/>
          <w:kern w:val="36"/>
          <w:sz w:val="24"/>
          <w:szCs w:val="24"/>
          <w:lang w:eastAsia="lt-LT"/>
        </w:rPr>
      </w:pPr>
      <w:r w:rsidRPr="00C63986">
        <w:rPr>
          <w:rFonts w:ascii="Times New Roman" w:hAnsi="Times New Roman"/>
          <w:sz w:val="24"/>
          <w:szCs w:val="24"/>
        </w:rPr>
        <w:t>Perkami s</w:t>
      </w:r>
      <w:r w:rsidR="009B0FA7" w:rsidRPr="00C63986">
        <w:rPr>
          <w:rFonts w:ascii="Times New Roman" w:hAnsi="Times New Roman"/>
          <w:sz w:val="24"/>
          <w:szCs w:val="24"/>
        </w:rPr>
        <w:t>kaitikliai</w:t>
      </w:r>
      <w:r w:rsidR="001E119F" w:rsidRPr="00C63986">
        <w:rPr>
          <w:rFonts w:ascii="Times New Roman" w:hAnsi="Times New Roman"/>
          <w:sz w:val="24"/>
          <w:szCs w:val="24"/>
        </w:rPr>
        <w:t xml:space="preserve"> </w:t>
      </w:r>
      <w:r w:rsidR="00437CF1" w:rsidRPr="00C63986">
        <w:rPr>
          <w:rFonts w:ascii="Times New Roman" w:hAnsi="Times New Roman"/>
          <w:sz w:val="24"/>
          <w:szCs w:val="24"/>
        </w:rPr>
        <w:t xml:space="preserve">atitinkantys </w:t>
      </w:r>
      <w:r w:rsidR="00584D33" w:rsidRPr="00C63986">
        <w:rPr>
          <w:rFonts w:ascii="Times New Roman" w:hAnsi="Times New Roman"/>
          <w:sz w:val="24"/>
          <w:szCs w:val="24"/>
        </w:rPr>
        <w:t>žaliųjų pirkimų reikalavimus</w:t>
      </w:r>
      <w:r w:rsidR="006D367F" w:rsidRPr="00C63986">
        <w:rPr>
          <w:rFonts w:ascii="Times New Roman" w:hAnsi="Times New Roman"/>
          <w:sz w:val="24"/>
          <w:szCs w:val="24"/>
        </w:rPr>
        <w:t xml:space="preserve"> t. y. „ </w:t>
      </w:r>
      <w:r w:rsidR="006D367F" w:rsidRPr="00C63986">
        <w:rPr>
          <w:rFonts w:ascii="Times New Roman" w:eastAsia="Times New Roman" w:hAnsi="Times New Roman"/>
          <w:spacing w:val="4"/>
          <w:kern w:val="36"/>
          <w:sz w:val="24"/>
          <w:szCs w:val="24"/>
          <w:lang w:eastAsia="lt-LT"/>
        </w:rPr>
        <w:t>Aplinkos apsaugos kriterijų taikymo, vykdant žaliuosius pirkimus, tvarkos aprašo“ reikalavimus.</w:t>
      </w:r>
    </w:p>
    <w:p w14:paraId="75BF10E0" w14:textId="77777777" w:rsidR="001F17DC" w:rsidRDefault="00437CF1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C63986">
        <w:rPr>
          <w:rFonts w:ascii="Times New Roman" w:hAnsi="Times New Roman"/>
          <w:sz w:val="24"/>
          <w:szCs w:val="24"/>
        </w:rPr>
        <w:t>Skaitikliai naudojami komercinei apskaitai, todėl jie privalo:</w:t>
      </w:r>
    </w:p>
    <w:p w14:paraId="7733AA55" w14:textId="68613F1C" w:rsidR="00437CF1" w:rsidRPr="00C63986" w:rsidRDefault="00437CF1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C63986">
        <w:rPr>
          <w:rFonts w:ascii="Times New Roman" w:hAnsi="Times New Roman"/>
          <w:sz w:val="24"/>
          <w:szCs w:val="24"/>
        </w:rPr>
        <w:t>- atitikti</w:t>
      </w:r>
      <w:r w:rsidR="00317731" w:rsidRPr="00C63986">
        <w:rPr>
          <w:rFonts w:ascii="Times New Roman" w:hAnsi="Times New Roman"/>
          <w:sz w:val="24"/>
          <w:szCs w:val="24"/>
        </w:rPr>
        <w:t xml:space="preserve"> technines perkamų skaitiklių specifikacijas bei</w:t>
      </w:r>
      <w:r w:rsidRPr="00C63986">
        <w:rPr>
          <w:rFonts w:ascii="Times New Roman" w:hAnsi="Times New Roman"/>
          <w:sz w:val="24"/>
          <w:szCs w:val="24"/>
        </w:rPr>
        <w:t xml:space="preserve"> „</w:t>
      </w:r>
      <w:r w:rsidRPr="00C63986">
        <w:rPr>
          <w:rFonts w:ascii="Times New Roman" w:hAnsi="Times New Roman"/>
          <w:caps/>
          <w:sz w:val="24"/>
          <w:szCs w:val="24"/>
        </w:rPr>
        <w:t>m</w:t>
      </w:r>
      <w:r w:rsidRPr="00C63986">
        <w:rPr>
          <w:rFonts w:ascii="Times New Roman" w:hAnsi="Times New Roman"/>
          <w:sz w:val="24"/>
          <w:szCs w:val="24"/>
        </w:rPr>
        <w:t xml:space="preserve">atavimo priemonių techninį reglamentą“ (toliau Reglamentą) </w:t>
      </w:r>
    </w:p>
    <w:p w14:paraId="23F9AB79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 xml:space="preserve">- turėti atitikties įvertinimą (tipo tvirtinimo pažymėjimą) atliktą įteisintais būdais parinkta procedūra; </w:t>
      </w:r>
    </w:p>
    <w:p w14:paraId="3C34073E" w14:textId="5800AB38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- neviršyti Reglamente nurodytų srautų ribose apibrėžt</w:t>
      </w:r>
      <w:r w:rsidR="00F60A5B">
        <w:rPr>
          <w:rFonts w:ascii="Times New Roman" w:hAnsi="Times New Roman"/>
          <w:sz w:val="24"/>
          <w:szCs w:val="24"/>
        </w:rPr>
        <w:t>ų</w:t>
      </w:r>
      <w:r w:rsidRPr="007153A7">
        <w:rPr>
          <w:rFonts w:ascii="Times New Roman" w:hAnsi="Times New Roman"/>
          <w:sz w:val="24"/>
          <w:szCs w:val="24"/>
        </w:rPr>
        <w:t xml:space="preserve"> didžiausi</w:t>
      </w:r>
      <w:r w:rsidR="00F60A5B">
        <w:rPr>
          <w:rFonts w:ascii="Times New Roman" w:hAnsi="Times New Roman"/>
          <w:sz w:val="24"/>
          <w:szCs w:val="24"/>
        </w:rPr>
        <w:t>ų</w:t>
      </w:r>
      <w:r w:rsidRPr="007153A7">
        <w:rPr>
          <w:rFonts w:ascii="Times New Roman" w:hAnsi="Times New Roman"/>
          <w:sz w:val="24"/>
          <w:szCs w:val="24"/>
        </w:rPr>
        <w:t xml:space="preserve"> leidžiam</w:t>
      </w:r>
      <w:r w:rsidR="00F60A5B">
        <w:rPr>
          <w:rFonts w:ascii="Times New Roman" w:hAnsi="Times New Roman"/>
          <w:sz w:val="24"/>
          <w:szCs w:val="24"/>
        </w:rPr>
        <w:t>ų</w:t>
      </w:r>
      <w:r w:rsidRPr="007153A7">
        <w:rPr>
          <w:rFonts w:ascii="Times New Roman" w:hAnsi="Times New Roman"/>
          <w:sz w:val="24"/>
          <w:szCs w:val="24"/>
        </w:rPr>
        <w:t xml:space="preserve"> paklaidos ver</w:t>
      </w:r>
      <w:r w:rsidR="00F60A5B">
        <w:rPr>
          <w:rFonts w:ascii="Times New Roman" w:hAnsi="Times New Roman"/>
          <w:sz w:val="24"/>
          <w:szCs w:val="24"/>
        </w:rPr>
        <w:t>čių</w:t>
      </w:r>
      <w:r w:rsidRPr="007153A7">
        <w:rPr>
          <w:rFonts w:ascii="Times New Roman" w:hAnsi="Times New Roman"/>
          <w:sz w:val="24"/>
          <w:szCs w:val="24"/>
        </w:rPr>
        <w:t>;</w:t>
      </w:r>
    </w:p>
    <w:p w14:paraId="33069789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- turėti patogią ir aiškią rodmenų nuskaitymo skalę;</w:t>
      </w:r>
    </w:p>
    <w:p w14:paraId="1EF03D96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- turėti Reglamente numatytą matavimo priemonės ženklinimą;</w:t>
      </w:r>
    </w:p>
    <w:p w14:paraId="01775CAB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- būti apsaugoti nuo aplinkos poveikio (drėgmės, dulkių ir kt.), tiekėjo ir vartotojo įtakos jo rodmenims, magnetinio lauko poveikio;</w:t>
      </w:r>
    </w:p>
    <w:p w14:paraId="5B2AAFEF" w14:textId="77777777" w:rsidR="001E119F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- turėti patikros tarnybų ir vandens tiekėjo numatytas plombavimo vietas;</w:t>
      </w:r>
    </w:p>
    <w:p w14:paraId="5A3776FC" w14:textId="440E23D1" w:rsidR="008D09BF" w:rsidRPr="008D09BF" w:rsidRDefault="008D09B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8D09BF">
        <w:rPr>
          <w:rFonts w:ascii="Times New Roman" w:hAnsi="Times New Roman"/>
          <w:sz w:val="24"/>
          <w:szCs w:val="24"/>
        </w:rPr>
        <w:t>Perkami impulsiniai šalto vandens skaitikliai privalo būti sukomplektuoti su jiems pritaikytais ir sumontuotais impulsų nuskaitymo davikliais.</w:t>
      </w:r>
    </w:p>
    <w:p w14:paraId="0FAC5D4A" w14:textId="77777777" w:rsidR="00C80857" w:rsidRDefault="00C80857" w:rsidP="00C8085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Perkamų vandens skaitiklių sutarties vykdymo laikas 12 mėnesių nuo sutarties sudarymo dienos.</w:t>
      </w:r>
    </w:p>
    <w:p w14:paraId="5C007380" w14:textId="3A197DF2" w:rsidR="005A4A91" w:rsidRDefault="00C80857" w:rsidP="005A4A91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Skaitikliai privalo turėti einamųjų metų (sutarties įsipareigojimus vykdant 202</w:t>
      </w:r>
      <w:r w:rsidR="001A7BD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metais – 202</w:t>
      </w:r>
      <w:r w:rsidR="001A7BD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m.) </w:t>
      </w:r>
      <w:r>
        <w:rPr>
          <w:rFonts w:ascii="Times New Roman" w:hAnsi="Times New Roman"/>
          <w:b/>
          <w:sz w:val="24"/>
          <w:szCs w:val="24"/>
        </w:rPr>
        <w:t>pirminės patikros žymas</w:t>
      </w:r>
      <w:r>
        <w:rPr>
          <w:rFonts w:ascii="Times New Roman" w:hAnsi="Times New Roman"/>
          <w:sz w:val="24"/>
          <w:szCs w:val="24"/>
        </w:rPr>
        <w:t xml:space="preserve"> (sertifikatus). </w:t>
      </w:r>
    </w:p>
    <w:p w14:paraId="4396BE2A" w14:textId="780032C4" w:rsidR="005A4A91" w:rsidRPr="006D367F" w:rsidRDefault="005A4A91" w:rsidP="00C8085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A4A91">
        <w:rPr>
          <w:rFonts w:ascii="Times New Roman" w:hAnsi="Times New Roman"/>
          <w:sz w:val="24"/>
          <w:szCs w:val="24"/>
        </w:rPr>
        <w:t>Siūlomos prekės negali būti naudotos ar naudotos ir atnaujintos</w:t>
      </w:r>
      <w:r>
        <w:rPr>
          <w:rFonts w:ascii="Times New Roman" w:hAnsi="Times New Roman"/>
          <w:sz w:val="24"/>
          <w:szCs w:val="24"/>
        </w:rPr>
        <w:t>.</w:t>
      </w:r>
    </w:p>
    <w:p w14:paraId="6B37D36C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Pateikti:</w:t>
      </w:r>
    </w:p>
    <w:p w14:paraId="57B6BEC2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-detalią siūlomo skaitiklio techninę dokumentaciją (</w:t>
      </w:r>
      <w:r w:rsidRPr="00446E6E">
        <w:rPr>
          <w:rFonts w:ascii="Times New Roman" w:hAnsi="Times New Roman"/>
          <w:b/>
          <w:sz w:val="24"/>
          <w:szCs w:val="24"/>
        </w:rPr>
        <w:t>pasą</w:t>
      </w:r>
      <w:r w:rsidRPr="007153A7">
        <w:rPr>
          <w:rFonts w:ascii="Times New Roman" w:hAnsi="Times New Roman"/>
          <w:sz w:val="24"/>
          <w:szCs w:val="24"/>
        </w:rPr>
        <w:t xml:space="preserve">, specifikaciją ar kitą dokumentaciją apibūdinančią vandens skaitiklį, </w:t>
      </w:r>
      <w:r w:rsidRPr="00446E6E">
        <w:rPr>
          <w:rFonts w:ascii="Times New Roman" w:hAnsi="Times New Roman"/>
          <w:b/>
          <w:sz w:val="24"/>
          <w:szCs w:val="24"/>
        </w:rPr>
        <w:t>garantiją</w:t>
      </w:r>
      <w:r w:rsidRPr="007153A7">
        <w:rPr>
          <w:rFonts w:ascii="Times New Roman" w:hAnsi="Times New Roman"/>
          <w:sz w:val="24"/>
          <w:szCs w:val="24"/>
        </w:rPr>
        <w:t xml:space="preserve">) </w:t>
      </w:r>
      <w:r w:rsidRPr="007153A7">
        <w:rPr>
          <w:rFonts w:ascii="Times New Roman" w:hAnsi="Times New Roman"/>
          <w:b/>
          <w:sz w:val="24"/>
          <w:szCs w:val="24"/>
        </w:rPr>
        <w:t>lietuvių kalba</w:t>
      </w:r>
      <w:r w:rsidRPr="007153A7">
        <w:rPr>
          <w:rFonts w:ascii="Times New Roman" w:hAnsi="Times New Roman"/>
          <w:sz w:val="24"/>
          <w:szCs w:val="24"/>
        </w:rPr>
        <w:t>.</w:t>
      </w:r>
      <w:r w:rsidR="003877C1">
        <w:rPr>
          <w:rFonts w:ascii="Times New Roman" w:hAnsi="Times New Roman"/>
          <w:sz w:val="24"/>
          <w:szCs w:val="24"/>
        </w:rPr>
        <w:t xml:space="preserve"> Skaitiklio pasas (techniniai duomenys, garantiniai įsipareigojimai) pateikiami kiekvienam skaitikliui atskirai nurodant skaitiklio numerį arba skaitiklių partijai pridedant skaiti</w:t>
      </w:r>
      <w:r w:rsidR="00916B7F">
        <w:rPr>
          <w:rFonts w:ascii="Times New Roman" w:hAnsi="Times New Roman"/>
          <w:sz w:val="24"/>
          <w:szCs w:val="24"/>
        </w:rPr>
        <w:t>klių, kuriems galioja ši dokumentacija sąrašą.</w:t>
      </w:r>
    </w:p>
    <w:p w14:paraId="18C1014E" w14:textId="77777777" w:rsidR="001E119F" w:rsidRPr="007153A7" w:rsidRDefault="001E119F" w:rsidP="001E119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-siūlomo vandens skaitiklio atitikties įvertinimo deklaraciją.</w:t>
      </w:r>
    </w:p>
    <w:p w14:paraId="3F5BC53C" w14:textId="77777777" w:rsidR="00AA0066" w:rsidRPr="007153A7" w:rsidRDefault="009A0CD1" w:rsidP="008F383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-garantiją</w:t>
      </w:r>
      <w:r w:rsidR="001E119F" w:rsidRPr="007153A7">
        <w:rPr>
          <w:rFonts w:ascii="Times New Roman" w:hAnsi="Times New Roman"/>
          <w:sz w:val="24"/>
          <w:szCs w:val="24"/>
        </w:rPr>
        <w:t xml:space="preserve"> </w:t>
      </w:r>
      <w:r w:rsidR="001E119F" w:rsidRPr="00B27272">
        <w:rPr>
          <w:rFonts w:ascii="Times New Roman" w:hAnsi="Times New Roman"/>
          <w:b/>
          <w:sz w:val="24"/>
          <w:szCs w:val="24"/>
        </w:rPr>
        <w:t>visam pir</w:t>
      </w:r>
      <w:r w:rsidR="00416D1B" w:rsidRPr="00B27272">
        <w:rPr>
          <w:rFonts w:ascii="Times New Roman" w:hAnsi="Times New Roman"/>
          <w:b/>
          <w:sz w:val="24"/>
          <w:szCs w:val="24"/>
        </w:rPr>
        <w:t>minės patikros galiojimo laikui</w:t>
      </w:r>
      <w:r w:rsidR="00416D1B">
        <w:rPr>
          <w:rFonts w:ascii="Times New Roman" w:hAnsi="Times New Roman"/>
          <w:sz w:val="24"/>
          <w:szCs w:val="24"/>
        </w:rPr>
        <w:t xml:space="preserve"> (iki sekančios patikros</w:t>
      </w:r>
      <w:r w:rsidR="00553591">
        <w:rPr>
          <w:rFonts w:ascii="Times New Roman" w:hAnsi="Times New Roman"/>
          <w:sz w:val="24"/>
          <w:szCs w:val="24"/>
        </w:rPr>
        <w:t xml:space="preserve"> nustatytos LR Ūkio ministro įsakyme Nr.4-523 </w:t>
      </w:r>
      <w:r w:rsidR="00416D1B">
        <w:rPr>
          <w:rFonts w:ascii="Times New Roman" w:hAnsi="Times New Roman"/>
          <w:sz w:val="24"/>
          <w:szCs w:val="24"/>
        </w:rPr>
        <w:t>).</w:t>
      </w:r>
    </w:p>
    <w:p w14:paraId="3EAA559B" w14:textId="77777777" w:rsidR="008F3838" w:rsidRDefault="008F3838" w:rsidP="008F3838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Skaitiklių pavyzdžiai:</w:t>
      </w:r>
    </w:p>
    <w:p w14:paraId="27A2E7BD" w14:textId="77777777" w:rsidR="00775676" w:rsidRDefault="00DB253E" w:rsidP="008F383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-konkursui pat</w:t>
      </w:r>
      <w:r w:rsidR="00775676">
        <w:rPr>
          <w:rFonts w:ascii="Times New Roman" w:hAnsi="Times New Roman"/>
          <w:sz w:val="24"/>
          <w:szCs w:val="24"/>
        </w:rPr>
        <w:t>eikiami techninėje specifikacijoje nurodyti skaitiklių pavyzdžiai.</w:t>
      </w:r>
    </w:p>
    <w:p w14:paraId="2FA0FBA1" w14:textId="11C1D7B7" w:rsidR="00D643DA" w:rsidRPr="007153A7" w:rsidRDefault="00775676" w:rsidP="00D643DA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</w:t>
      </w:r>
      <w:r w:rsidR="00D643DA">
        <w:rPr>
          <w:rFonts w:ascii="Times New Roman" w:hAnsi="Times New Roman"/>
          <w:sz w:val="24"/>
          <w:szCs w:val="24"/>
        </w:rPr>
        <w:t>avyzdžio</w:t>
      </w:r>
      <w:r w:rsidR="00D643DA" w:rsidRPr="007153A7">
        <w:rPr>
          <w:rFonts w:ascii="Times New Roman" w:hAnsi="Times New Roman"/>
          <w:sz w:val="24"/>
          <w:szCs w:val="24"/>
        </w:rPr>
        <w:t xml:space="preserve"> pateikti konkursui nebūtina (</w:t>
      </w:r>
      <w:r w:rsidR="00D643DA" w:rsidRPr="000D646A">
        <w:rPr>
          <w:rFonts w:ascii="Times New Roman" w:hAnsi="Times New Roman"/>
          <w:b/>
          <w:sz w:val="24"/>
          <w:szCs w:val="24"/>
        </w:rPr>
        <w:t>nurodžius pirkimo,</w:t>
      </w:r>
      <w:r w:rsidR="00D445BD" w:rsidRPr="000D646A">
        <w:rPr>
          <w:rFonts w:ascii="Times New Roman" w:hAnsi="Times New Roman"/>
          <w:b/>
          <w:sz w:val="24"/>
          <w:szCs w:val="24"/>
        </w:rPr>
        <w:t xml:space="preserve"> pardavimo sutartis</w:t>
      </w:r>
      <w:r w:rsidR="00D445BD">
        <w:rPr>
          <w:rFonts w:ascii="Times New Roman" w:hAnsi="Times New Roman"/>
          <w:sz w:val="24"/>
          <w:szCs w:val="24"/>
        </w:rPr>
        <w:t>), jeigu 201</w:t>
      </w:r>
      <w:r w:rsidR="0026608E">
        <w:rPr>
          <w:rFonts w:ascii="Times New Roman" w:hAnsi="Times New Roman"/>
          <w:sz w:val="24"/>
          <w:szCs w:val="24"/>
        </w:rPr>
        <w:t>6</w:t>
      </w:r>
      <w:r w:rsidR="00EF7402">
        <w:rPr>
          <w:rFonts w:ascii="Times New Roman" w:hAnsi="Times New Roman"/>
          <w:sz w:val="24"/>
          <w:szCs w:val="24"/>
        </w:rPr>
        <w:t xml:space="preserve"> -</w:t>
      </w:r>
      <w:r w:rsidR="00762D20">
        <w:rPr>
          <w:rFonts w:ascii="Times New Roman" w:hAnsi="Times New Roman"/>
          <w:sz w:val="24"/>
          <w:szCs w:val="24"/>
        </w:rPr>
        <w:t xml:space="preserve"> </w:t>
      </w:r>
      <w:r w:rsidR="00EF7402">
        <w:rPr>
          <w:rFonts w:ascii="Times New Roman" w:hAnsi="Times New Roman"/>
          <w:sz w:val="24"/>
          <w:szCs w:val="24"/>
        </w:rPr>
        <w:t>20</w:t>
      </w:r>
      <w:r w:rsidR="0026608E">
        <w:rPr>
          <w:rFonts w:ascii="Times New Roman" w:hAnsi="Times New Roman"/>
          <w:sz w:val="24"/>
          <w:szCs w:val="24"/>
        </w:rPr>
        <w:t>2</w:t>
      </w:r>
      <w:r w:rsidR="001A7BDB">
        <w:rPr>
          <w:rFonts w:ascii="Times New Roman" w:hAnsi="Times New Roman"/>
          <w:sz w:val="24"/>
          <w:szCs w:val="24"/>
        </w:rPr>
        <w:t>5</w:t>
      </w:r>
      <w:r w:rsidR="00FA210D">
        <w:rPr>
          <w:rFonts w:ascii="Times New Roman" w:hAnsi="Times New Roman"/>
          <w:sz w:val="24"/>
          <w:szCs w:val="24"/>
        </w:rPr>
        <w:t xml:space="preserve"> </w:t>
      </w:r>
      <w:r w:rsidR="00D643DA">
        <w:rPr>
          <w:rFonts w:ascii="Times New Roman" w:hAnsi="Times New Roman"/>
          <w:sz w:val="24"/>
          <w:szCs w:val="24"/>
        </w:rPr>
        <w:t xml:space="preserve">metais </w:t>
      </w:r>
      <w:r w:rsidR="001E439B" w:rsidRPr="007153A7">
        <w:rPr>
          <w:rFonts w:ascii="Times New Roman" w:hAnsi="Times New Roman"/>
          <w:sz w:val="24"/>
          <w:szCs w:val="24"/>
        </w:rPr>
        <w:t xml:space="preserve">pagal sutartis </w:t>
      </w:r>
      <w:r w:rsidR="00D643DA">
        <w:rPr>
          <w:rFonts w:ascii="Times New Roman" w:hAnsi="Times New Roman"/>
          <w:sz w:val="24"/>
          <w:szCs w:val="24"/>
        </w:rPr>
        <w:t>toki</w:t>
      </w:r>
      <w:r w:rsidR="00FA0953">
        <w:rPr>
          <w:rFonts w:ascii="Times New Roman" w:hAnsi="Times New Roman"/>
          <w:sz w:val="24"/>
          <w:szCs w:val="24"/>
        </w:rPr>
        <w:t>e</w:t>
      </w:r>
      <w:r w:rsidR="001E439B">
        <w:rPr>
          <w:rFonts w:ascii="Times New Roman" w:hAnsi="Times New Roman"/>
          <w:sz w:val="24"/>
          <w:szCs w:val="24"/>
        </w:rPr>
        <w:t xml:space="preserve"> </w:t>
      </w:r>
      <w:r w:rsidR="00D643DA" w:rsidRPr="007153A7">
        <w:rPr>
          <w:rFonts w:ascii="Times New Roman" w:hAnsi="Times New Roman"/>
          <w:sz w:val="24"/>
          <w:szCs w:val="24"/>
        </w:rPr>
        <w:t xml:space="preserve">skaitikliai buvo tiekiami </w:t>
      </w:r>
      <w:r w:rsidR="00D643DA">
        <w:rPr>
          <w:rFonts w:ascii="Times New Roman" w:hAnsi="Times New Roman"/>
          <w:sz w:val="24"/>
          <w:szCs w:val="24"/>
          <w:lang w:eastAsia="lt-LT"/>
        </w:rPr>
        <w:t>UAB „Aukštaitijos vandenys</w:t>
      </w:r>
      <w:r w:rsidR="007046C7">
        <w:rPr>
          <w:rFonts w:ascii="Times New Roman" w:hAnsi="Times New Roman"/>
          <w:sz w:val="24"/>
          <w:szCs w:val="24"/>
          <w:lang w:eastAsia="lt-LT"/>
        </w:rPr>
        <w:t>“</w:t>
      </w:r>
      <w:r w:rsidR="00FA0953">
        <w:rPr>
          <w:rFonts w:ascii="Times New Roman" w:hAnsi="Times New Roman"/>
          <w:sz w:val="24"/>
          <w:szCs w:val="24"/>
          <w:lang w:eastAsia="lt-LT"/>
        </w:rPr>
        <w:t>.</w:t>
      </w:r>
    </w:p>
    <w:p w14:paraId="4DE20B48" w14:textId="6473C305" w:rsidR="00A431DA" w:rsidRPr="007153A7" w:rsidRDefault="00A431DA" w:rsidP="00A431DA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7153A7">
        <w:rPr>
          <w:rFonts w:ascii="Times New Roman" w:hAnsi="Times New Roman"/>
          <w:sz w:val="24"/>
          <w:szCs w:val="24"/>
        </w:rPr>
        <w:t>Skaitiklių pavyzdžia</w:t>
      </w:r>
      <w:r w:rsidR="00D643DA">
        <w:rPr>
          <w:rFonts w:ascii="Times New Roman" w:hAnsi="Times New Roman"/>
          <w:sz w:val="24"/>
          <w:szCs w:val="24"/>
        </w:rPr>
        <w:t xml:space="preserve">i pateikti konkursui gali būti </w:t>
      </w:r>
      <w:r w:rsidRPr="007153A7">
        <w:rPr>
          <w:rFonts w:ascii="Times New Roman" w:hAnsi="Times New Roman"/>
          <w:sz w:val="24"/>
          <w:szCs w:val="24"/>
        </w:rPr>
        <w:t>išardomi, kad būtų galima susipažinti su konstrukcija ir įvertinti remonto galimybes.</w:t>
      </w:r>
      <w:r w:rsidR="0004180C">
        <w:rPr>
          <w:rFonts w:ascii="Times New Roman" w:hAnsi="Times New Roman"/>
          <w:sz w:val="24"/>
          <w:szCs w:val="24"/>
        </w:rPr>
        <w:t xml:space="preserve"> </w:t>
      </w:r>
      <w:r w:rsidR="00A77253">
        <w:rPr>
          <w:rFonts w:ascii="Times New Roman" w:hAnsi="Times New Roman"/>
          <w:sz w:val="24"/>
          <w:szCs w:val="24"/>
        </w:rPr>
        <w:t>Konkursui</w:t>
      </w:r>
      <w:r w:rsidR="00CA53DB">
        <w:rPr>
          <w:rFonts w:ascii="Times New Roman" w:hAnsi="Times New Roman"/>
          <w:sz w:val="24"/>
          <w:szCs w:val="24"/>
        </w:rPr>
        <w:t>,</w:t>
      </w:r>
      <w:r w:rsidR="00A77253">
        <w:rPr>
          <w:rFonts w:ascii="Times New Roman" w:hAnsi="Times New Roman"/>
          <w:sz w:val="24"/>
          <w:szCs w:val="24"/>
        </w:rPr>
        <w:t xml:space="preserve"> </w:t>
      </w:r>
      <w:r w:rsidR="00680E38">
        <w:rPr>
          <w:rFonts w:ascii="Times New Roman" w:hAnsi="Times New Roman"/>
          <w:sz w:val="24"/>
          <w:szCs w:val="24"/>
        </w:rPr>
        <w:t xml:space="preserve">pilnai sukomplektuoti </w:t>
      </w:r>
      <w:r w:rsidR="00A77253">
        <w:rPr>
          <w:rFonts w:ascii="Times New Roman" w:hAnsi="Times New Roman"/>
          <w:sz w:val="24"/>
          <w:szCs w:val="24"/>
        </w:rPr>
        <w:t>s</w:t>
      </w:r>
      <w:r w:rsidR="0004180C">
        <w:rPr>
          <w:rFonts w:ascii="Times New Roman" w:hAnsi="Times New Roman"/>
          <w:sz w:val="24"/>
          <w:szCs w:val="24"/>
        </w:rPr>
        <w:t>kaitiklių pavyzdžiai</w:t>
      </w:r>
      <w:r w:rsidR="00CA53DB">
        <w:rPr>
          <w:rFonts w:ascii="Times New Roman" w:hAnsi="Times New Roman"/>
          <w:sz w:val="24"/>
          <w:szCs w:val="24"/>
        </w:rPr>
        <w:t>,</w:t>
      </w:r>
      <w:r w:rsidRPr="007153A7">
        <w:rPr>
          <w:rFonts w:ascii="Times New Roman" w:hAnsi="Times New Roman"/>
          <w:sz w:val="24"/>
          <w:szCs w:val="24"/>
        </w:rPr>
        <w:t xml:space="preserve"> </w:t>
      </w:r>
      <w:r w:rsidR="0004180C">
        <w:rPr>
          <w:rFonts w:ascii="Times New Roman" w:hAnsi="Times New Roman"/>
          <w:sz w:val="24"/>
          <w:szCs w:val="24"/>
        </w:rPr>
        <w:t xml:space="preserve">pateikiami </w:t>
      </w:r>
      <w:r w:rsidR="00A77253">
        <w:rPr>
          <w:rFonts w:ascii="Times New Roman" w:hAnsi="Times New Roman"/>
          <w:sz w:val="24"/>
          <w:szCs w:val="24"/>
        </w:rPr>
        <w:t xml:space="preserve">kartu </w:t>
      </w:r>
      <w:r w:rsidR="0004180C">
        <w:rPr>
          <w:rFonts w:ascii="Times New Roman" w:hAnsi="Times New Roman"/>
          <w:sz w:val="24"/>
          <w:szCs w:val="24"/>
        </w:rPr>
        <w:t>su techninės dokumentacijos</w:t>
      </w:r>
      <w:r w:rsidR="00A77253">
        <w:rPr>
          <w:rFonts w:ascii="Times New Roman" w:hAnsi="Times New Roman"/>
          <w:sz w:val="24"/>
          <w:szCs w:val="24"/>
        </w:rPr>
        <w:t>,</w:t>
      </w:r>
      <w:r w:rsidR="0004180C">
        <w:rPr>
          <w:rFonts w:ascii="Times New Roman" w:hAnsi="Times New Roman"/>
          <w:sz w:val="24"/>
          <w:szCs w:val="24"/>
        </w:rPr>
        <w:t xml:space="preserve"> </w:t>
      </w:r>
      <w:r w:rsidR="00A77253">
        <w:rPr>
          <w:rFonts w:ascii="Times New Roman" w:hAnsi="Times New Roman"/>
          <w:sz w:val="24"/>
          <w:szCs w:val="24"/>
        </w:rPr>
        <w:t>antgalių,</w:t>
      </w:r>
      <w:r w:rsidR="00260490">
        <w:rPr>
          <w:rFonts w:ascii="Times New Roman" w:hAnsi="Times New Roman"/>
          <w:sz w:val="24"/>
          <w:szCs w:val="24"/>
        </w:rPr>
        <w:t xml:space="preserve"> tarpinių</w:t>
      </w:r>
      <w:r w:rsidR="00A77253">
        <w:rPr>
          <w:rFonts w:ascii="Times New Roman" w:hAnsi="Times New Roman"/>
          <w:sz w:val="24"/>
          <w:szCs w:val="24"/>
        </w:rPr>
        <w:t xml:space="preserve"> ir kitų dalių su kuriomis jie bus tiekiami bendrovei </w:t>
      </w:r>
      <w:r w:rsidR="00143665">
        <w:rPr>
          <w:rFonts w:ascii="Times New Roman" w:hAnsi="Times New Roman"/>
          <w:sz w:val="24"/>
          <w:szCs w:val="24"/>
        </w:rPr>
        <w:t>pavyzdž</w:t>
      </w:r>
      <w:r w:rsidR="00A77253">
        <w:rPr>
          <w:rFonts w:ascii="Times New Roman" w:hAnsi="Times New Roman"/>
          <w:sz w:val="24"/>
          <w:szCs w:val="24"/>
        </w:rPr>
        <w:t>ia</w:t>
      </w:r>
      <w:r w:rsidR="00143665">
        <w:rPr>
          <w:rFonts w:ascii="Times New Roman" w:hAnsi="Times New Roman"/>
          <w:sz w:val="24"/>
          <w:szCs w:val="24"/>
        </w:rPr>
        <w:t>i</w:t>
      </w:r>
      <w:r w:rsidR="00A77253">
        <w:rPr>
          <w:rFonts w:ascii="Times New Roman" w:hAnsi="Times New Roman"/>
          <w:sz w:val="24"/>
          <w:szCs w:val="24"/>
        </w:rPr>
        <w:t>s</w:t>
      </w:r>
      <w:r w:rsidR="00260490">
        <w:rPr>
          <w:rFonts w:ascii="Times New Roman" w:hAnsi="Times New Roman"/>
          <w:sz w:val="24"/>
          <w:szCs w:val="24"/>
        </w:rPr>
        <w:t>.</w:t>
      </w:r>
      <w:r w:rsidR="0004180C">
        <w:rPr>
          <w:rFonts w:ascii="Times New Roman" w:hAnsi="Times New Roman"/>
          <w:sz w:val="24"/>
          <w:szCs w:val="24"/>
        </w:rPr>
        <w:t xml:space="preserve"> </w:t>
      </w:r>
      <w:r w:rsidRPr="007153A7">
        <w:rPr>
          <w:rFonts w:ascii="Times New Roman" w:hAnsi="Times New Roman"/>
          <w:sz w:val="24"/>
          <w:szCs w:val="24"/>
        </w:rPr>
        <w:t xml:space="preserve">Pavyzdžius pateikti iki vokų atplėšimo datos. Pavyzdžiai priduodami ir grąžinami pagal laisvos formos priėmimo-perdavimo aktą. Pavyzdžių pristatymo vieta </w:t>
      </w:r>
      <w:r w:rsidRPr="007153A7">
        <w:rPr>
          <w:rFonts w:ascii="Times New Roman" w:hAnsi="Times New Roman"/>
          <w:sz w:val="24"/>
          <w:szCs w:val="24"/>
          <w:lang w:eastAsia="lt-LT"/>
        </w:rPr>
        <w:t>UAB „Aukštaitijos vandenys“, Velžio kelias 13, LT-36111 Panevėžys.</w:t>
      </w:r>
    </w:p>
    <w:p w14:paraId="73D7A10B" w14:textId="77777777" w:rsidR="00A431DA" w:rsidRPr="007153A7" w:rsidRDefault="00A431DA" w:rsidP="00A431DA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153A7">
        <w:rPr>
          <w:rFonts w:ascii="Times New Roman" w:hAnsi="Times New Roman"/>
          <w:sz w:val="24"/>
          <w:szCs w:val="24"/>
        </w:rPr>
        <w:t>Konkursą laimėjusio tiekėjo pateikti skaitikl</w:t>
      </w:r>
      <w:r w:rsidR="004A42EC">
        <w:rPr>
          <w:rFonts w:ascii="Times New Roman" w:hAnsi="Times New Roman"/>
          <w:sz w:val="24"/>
          <w:szCs w:val="24"/>
        </w:rPr>
        <w:t>ių pavyzdžiai,</w:t>
      </w:r>
      <w:r w:rsidRPr="007153A7">
        <w:rPr>
          <w:rFonts w:ascii="Times New Roman" w:hAnsi="Times New Roman"/>
          <w:sz w:val="24"/>
          <w:szCs w:val="24"/>
        </w:rPr>
        <w:t xml:space="preserve"> pirkėjo gali būti saugomi iki sutarties įvykdymo pabaigos ir grąžinami arba įskaitomi į paskutinį skaitiklių pateikiamą kiekį.</w:t>
      </w:r>
    </w:p>
    <w:p w14:paraId="324A25AC" w14:textId="77777777" w:rsidR="0024199C" w:rsidRDefault="0024199C" w:rsidP="008F383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B05BBDE" w14:textId="77777777" w:rsidR="00FA4B40" w:rsidRDefault="00FA4B40" w:rsidP="008F383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FA4B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5DE8" w14:textId="77777777" w:rsidR="00A56D1F" w:rsidRDefault="00A56D1F" w:rsidP="007A47D9">
      <w:pPr>
        <w:spacing w:after="0" w:line="240" w:lineRule="auto"/>
      </w:pPr>
      <w:r>
        <w:separator/>
      </w:r>
    </w:p>
  </w:endnote>
  <w:endnote w:type="continuationSeparator" w:id="0">
    <w:p w14:paraId="380CC2C8" w14:textId="77777777" w:rsidR="00A56D1F" w:rsidRDefault="00A56D1F" w:rsidP="007A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BBB5" w14:textId="77777777" w:rsidR="00A56D1F" w:rsidRDefault="00A56D1F" w:rsidP="007A47D9">
      <w:pPr>
        <w:spacing w:after="0" w:line="240" w:lineRule="auto"/>
      </w:pPr>
      <w:r>
        <w:separator/>
      </w:r>
    </w:p>
  </w:footnote>
  <w:footnote w:type="continuationSeparator" w:id="0">
    <w:p w14:paraId="176C780F" w14:textId="77777777" w:rsidR="00A56D1F" w:rsidRDefault="00A56D1F" w:rsidP="007A4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9F"/>
    <w:rsid w:val="00010AA0"/>
    <w:rsid w:val="000127B0"/>
    <w:rsid w:val="0004180C"/>
    <w:rsid w:val="00047B31"/>
    <w:rsid w:val="000963E1"/>
    <w:rsid w:val="000D5267"/>
    <w:rsid w:val="000D646A"/>
    <w:rsid w:val="000E7D0F"/>
    <w:rsid w:val="0013062C"/>
    <w:rsid w:val="00143665"/>
    <w:rsid w:val="001A7BDB"/>
    <w:rsid w:val="001B0F44"/>
    <w:rsid w:val="001E119F"/>
    <w:rsid w:val="001E439B"/>
    <w:rsid w:val="001F17DC"/>
    <w:rsid w:val="00235AC0"/>
    <w:rsid w:val="0024199C"/>
    <w:rsid w:val="00260490"/>
    <w:rsid w:val="0026608E"/>
    <w:rsid w:val="00266D5B"/>
    <w:rsid w:val="00270B5B"/>
    <w:rsid w:val="00293099"/>
    <w:rsid w:val="00303D5A"/>
    <w:rsid w:val="00317731"/>
    <w:rsid w:val="003877C1"/>
    <w:rsid w:val="00394FA8"/>
    <w:rsid w:val="00410C5E"/>
    <w:rsid w:val="00416D1B"/>
    <w:rsid w:val="0042397B"/>
    <w:rsid w:val="00437CF1"/>
    <w:rsid w:val="00446E6E"/>
    <w:rsid w:val="0045012D"/>
    <w:rsid w:val="00462107"/>
    <w:rsid w:val="004A42EC"/>
    <w:rsid w:val="004B7EEA"/>
    <w:rsid w:val="005014EE"/>
    <w:rsid w:val="00532C8B"/>
    <w:rsid w:val="00550403"/>
    <w:rsid w:val="00553591"/>
    <w:rsid w:val="005734FC"/>
    <w:rsid w:val="00584D33"/>
    <w:rsid w:val="005A4A91"/>
    <w:rsid w:val="005C7336"/>
    <w:rsid w:val="005E3D44"/>
    <w:rsid w:val="00655D1D"/>
    <w:rsid w:val="00656E9E"/>
    <w:rsid w:val="006757E4"/>
    <w:rsid w:val="00680E38"/>
    <w:rsid w:val="006B4C25"/>
    <w:rsid w:val="006D367F"/>
    <w:rsid w:val="006D608A"/>
    <w:rsid w:val="007046C7"/>
    <w:rsid w:val="00705322"/>
    <w:rsid w:val="00711EC7"/>
    <w:rsid w:val="007153A7"/>
    <w:rsid w:val="00762D20"/>
    <w:rsid w:val="00775676"/>
    <w:rsid w:val="007A47D9"/>
    <w:rsid w:val="007B3101"/>
    <w:rsid w:val="0081047A"/>
    <w:rsid w:val="008A5289"/>
    <w:rsid w:val="008D09BF"/>
    <w:rsid w:val="008D32DA"/>
    <w:rsid w:val="008E2DD9"/>
    <w:rsid w:val="008F3838"/>
    <w:rsid w:val="0091454A"/>
    <w:rsid w:val="00916B7F"/>
    <w:rsid w:val="009222A1"/>
    <w:rsid w:val="00962922"/>
    <w:rsid w:val="00963F37"/>
    <w:rsid w:val="00997671"/>
    <w:rsid w:val="009A0CD1"/>
    <w:rsid w:val="009B0FA7"/>
    <w:rsid w:val="00A431DA"/>
    <w:rsid w:val="00A56D1F"/>
    <w:rsid w:val="00A63FF1"/>
    <w:rsid w:val="00A64260"/>
    <w:rsid w:val="00A77253"/>
    <w:rsid w:val="00AA0066"/>
    <w:rsid w:val="00AF56BF"/>
    <w:rsid w:val="00B27272"/>
    <w:rsid w:val="00BC3E32"/>
    <w:rsid w:val="00C160F9"/>
    <w:rsid w:val="00C2093F"/>
    <w:rsid w:val="00C35AF8"/>
    <w:rsid w:val="00C5169B"/>
    <w:rsid w:val="00C57055"/>
    <w:rsid w:val="00C63986"/>
    <w:rsid w:val="00C80857"/>
    <w:rsid w:val="00C92627"/>
    <w:rsid w:val="00CA53DB"/>
    <w:rsid w:val="00D445BD"/>
    <w:rsid w:val="00D47587"/>
    <w:rsid w:val="00D643DA"/>
    <w:rsid w:val="00D923F9"/>
    <w:rsid w:val="00DB253E"/>
    <w:rsid w:val="00E07881"/>
    <w:rsid w:val="00E1524A"/>
    <w:rsid w:val="00E559B3"/>
    <w:rsid w:val="00EF7402"/>
    <w:rsid w:val="00F504A7"/>
    <w:rsid w:val="00F60A5B"/>
    <w:rsid w:val="00F8416D"/>
    <w:rsid w:val="00FA0953"/>
    <w:rsid w:val="00FA210D"/>
    <w:rsid w:val="00F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3E31"/>
  <w15:chartTrackingRefBased/>
  <w15:docId w15:val="{A2D3A0B3-D1C0-43F9-8F1F-8ECBD7D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1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1E119F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7A4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47D9"/>
  </w:style>
  <w:style w:type="paragraph" w:styleId="Porat">
    <w:name w:val="footer"/>
    <w:basedOn w:val="prastasis"/>
    <w:link w:val="PoratDiagrama"/>
    <w:uiPriority w:val="99"/>
    <w:unhideWhenUsed/>
    <w:rsid w:val="007A4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Tamošiūnas</dc:creator>
  <cp:keywords/>
  <dc:description/>
  <cp:lastModifiedBy>Romas Tamošiūnas</cp:lastModifiedBy>
  <cp:revision>13</cp:revision>
  <dcterms:created xsi:type="dcterms:W3CDTF">2024-09-06T07:02:00Z</dcterms:created>
  <dcterms:modified xsi:type="dcterms:W3CDTF">2025-11-20T12:15:00Z</dcterms:modified>
</cp:coreProperties>
</file>