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005" w14:textId="341CCE4F" w:rsidR="00C12E51" w:rsidRPr="00CD2324" w:rsidRDefault="00C12E51" w:rsidP="00C12E51">
      <w:pPr>
        <w:jc w:val="right"/>
        <w:rPr>
          <w:b/>
          <w:bCs/>
          <w:sz w:val="20"/>
        </w:rPr>
      </w:pPr>
      <w:r w:rsidRPr="00AA72F9">
        <w:rPr>
          <w:b/>
          <w:bCs/>
          <w:sz w:val="20"/>
        </w:rPr>
        <w:t xml:space="preserve">Specialiųjų pirkimo sąlygų </w:t>
      </w:r>
      <w:r w:rsidR="005A5D0A">
        <w:rPr>
          <w:b/>
          <w:bCs/>
          <w:sz w:val="20"/>
        </w:rPr>
        <w:t>16</w:t>
      </w:r>
      <w:r w:rsidRPr="00AA72F9">
        <w:rPr>
          <w:b/>
          <w:bCs/>
          <w:sz w:val="20"/>
        </w:rPr>
        <w:t xml:space="preserve"> priedas</w:t>
      </w:r>
      <w:r w:rsidRPr="00CD2324">
        <w:rPr>
          <w:b/>
          <w:bCs/>
          <w:sz w:val="20"/>
        </w:rPr>
        <w:t xml:space="preserve"> </w:t>
      </w:r>
    </w:p>
    <w:p w14:paraId="4ABFEEA3" w14:textId="77777777" w:rsidR="00C44556" w:rsidRDefault="00C44556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1AD1C4FD" w14:textId="77777777" w:rsidR="001A4192" w:rsidRDefault="001A4192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754696DC" w14:textId="77777777" w:rsidR="00C44556" w:rsidRDefault="00C44556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1A69499D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1C0A4054" w14:textId="77777777" w:rsidR="00B1636D" w:rsidRDefault="00B1636D" w:rsidP="00F2236B">
      <w:pPr>
        <w:spacing w:line="276" w:lineRule="auto"/>
        <w:rPr>
          <w:b/>
          <w:sz w:val="22"/>
          <w:szCs w:val="22"/>
        </w:rPr>
      </w:pPr>
    </w:p>
    <w:p w14:paraId="424E64D2" w14:textId="77777777" w:rsidR="001A4192" w:rsidRPr="00994A95" w:rsidRDefault="001A4192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4132"/>
        <w:gridCol w:w="4100"/>
        <w:gridCol w:w="4626"/>
      </w:tblGrid>
      <w:tr w:rsidR="00B1636D" w:rsidRPr="00994A95" w14:paraId="35C0EEC6" w14:textId="77777777" w:rsidTr="001A4192">
        <w:trPr>
          <w:trHeight w:val="7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9764798" w14:textId="6AFC891D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 w:rsidR="001A419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A559DA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774CC8B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7F438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darbovietės pavadinimas arba individualios veiklos pažymėjimo arba verslo liudijimo Nr.</w:t>
            </w:r>
            <w:r w:rsidRPr="003D1458">
              <w:rPr>
                <w:rStyle w:val="FootnoteReference"/>
                <w:bCs/>
                <w:i/>
                <w:iCs/>
                <w:sz w:val="22"/>
                <w:szCs w:val="22"/>
              </w:rPr>
              <w:footnoteReference w:id="1"/>
            </w:r>
          </w:p>
        </w:tc>
      </w:tr>
      <w:tr w:rsidR="00B1636D" w:rsidRPr="00994A95" w14:paraId="7515C6CC" w14:textId="77777777" w:rsidTr="001A4192">
        <w:trPr>
          <w:trHeight w:val="11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162DE697" w:rsidR="009E0817" w:rsidRPr="00B1636D" w:rsidRDefault="001A4192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77777777" w:rsidR="00B1636D" w:rsidRPr="00B1636D" w:rsidRDefault="00B1636D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B1636D">
              <w:rPr>
                <w:bCs/>
                <w:sz w:val="22"/>
                <w:szCs w:val="22"/>
              </w:rPr>
              <w:t>Projekto vadovas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F2236B" w:rsidRPr="00994A95" w14:paraId="52076329" w14:textId="77777777" w:rsidTr="001A4192">
        <w:trPr>
          <w:trHeight w:val="11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817867" w14:textId="1B638729" w:rsidR="00F2236B" w:rsidRPr="00B1636D" w:rsidRDefault="00F2236B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7F4B26E" w14:textId="77777777" w:rsidR="00F2236B" w:rsidRPr="00B1636D" w:rsidRDefault="00F2236B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E37B" w14:textId="77777777" w:rsidR="00F2236B" w:rsidRPr="00994A95" w:rsidRDefault="00F2236B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9E08" w14:textId="77777777" w:rsidR="00F2236B" w:rsidRPr="00994A95" w:rsidRDefault="00F2236B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1636D" w:rsidRPr="00994A95" w14:paraId="2159665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0A46D" w14:textId="1D249E35" w:rsidR="009E0817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.2.</w:t>
            </w:r>
            <w:r w:rsidR="009E0817">
              <w:rPr>
                <w:bCs/>
                <w:sz w:val="22"/>
                <w:szCs w:val="22"/>
              </w:rPr>
              <w:t xml:space="preserve"> </w:t>
            </w:r>
          </w:p>
          <w:p w14:paraId="5F7868C8" w14:textId="77AB5C48" w:rsidR="00B1636D" w:rsidRPr="00B1636D" w:rsidRDefault="00B1636D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01969907" w:rsidR="00B1636D" w:rsidRPr="00545013" w:rsidRDefault="00545013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545013">
              <w:rPr>
                <w:sz w:val="22"/>
                <w:szCs w:val="22"/>
              </w:rPr>
              <w:t>I</w:t>
            </w:r>
            <w:r w:rsidRPr="00545013">
              <w:rPr>
                <w:color w:val="000000"/>
                <w:sz w:val="22"/>
                <w:szCs w:val="22"/>
                <w:shd w:val="clear" w:color="auto" w:fill="FFFFFF"/>
              </w:rPr>
              <w:t>nformacinių sistemų vertinimo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636D" w:rsidRPr="00994A95" w14:paraId="04589443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845CF" w14:textId="4E3D2B9E" w:rsidR="00B1636D" w:rsidRPr="00B1636D" w:rsidRDefault="00545013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B2278" w14:textId="27CB51AA" w:rsidR="00B1636D" w:rsidRPr="003F352E" w:rsidRDefault="003F352E" w:rsidP="00001489">
            <w:pPr>
              <w:spacing w:before="60" w:after="60"/>
              <w:rPr>
                <w:rFonts w:eastAsiaTheme="minorHAnsi"/>
                <w:sz w:val="22"/>
                <w:szCs w:val="22"/>
              </w:rPr>
            </w:pPr>
            <w:r w:rsidRPr="003F352E">
              <w:rPr>
                <w:sz w:val="22"/>
                <w:szCs w:val="22"/>
              </w:rPr>
              <w:t>Informacinių sistemų saugos vertinimo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0A45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724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E33E5" w:rsidRPr="00994A95" w14:paraId="5785DED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5E6A414C" w:rsidR="00AE33E5" w:rsidRDefault="003F352E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1125" w14:textId="6234728B" w:rsidR="00AE33E5" w:rsidRPr="00157F9E" w:rsidRDefault="00157F9E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157F9E">
              <w:rPr>
                <w:sz w:val="22"/>
                <w:szCs w:val="22"/>
              </w:rPr>
              <w:t>I</w:t>
            </w:r>
            <w:r w:rsidRPr="00157F9E">
              <w:rPr>
                <w:sz w:val="22"/>
                <w:szCs w:val="22"/>
                <w:shd w:val="clear" w:color="auto" w:fill="FFFFFF"/>
              </w:rPr>
              <w:t>nformacinių sistemų technologinio pažeidžiamumo vertinimo specialistas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76E05A6D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B138C" w14:textId="185D7D24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9B46E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C03E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405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3C879C81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4F672" w14:textId="55969DBA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F3DF8" w14:textId="433AD17F" w:rsidR="001A4192" w:rsidRPr="001A4192" w:rsidRDefault="001A4192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22AB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036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32DD090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E3351" w14:textId="77777777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37846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0B10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BC3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7EDB921D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68F90" w14:textId="77777777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E7037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ACD9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385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2D7059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DEF62" w14:textId="77777777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54C1C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88EA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26F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35C5491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2E86FB87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01D7FE45" w14:textId="77777777" w:rsidR="00F2236B" w:rsidRDefault="00F2236B" w:rsidP="009E0817">
      <w:pPr>
        <w:spacing w:line="276" w:lineRule="auto"/>
        <w:rPr>
          <w:b/>
          <w:sz w:val="22"/>
          <w:szCs w:val="22"/>
        </w:rPr>
      </w:pPr>
    </w:p>
    <w:p w14:paraId="12557373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DB9956F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3BDE4447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C227937" w14:textId="77777777" w:rsidR="00426051" w:rsidRDefault="00426051" w:rsidP="009E0817">
      <w:pPr>
        <w:spacing w:line="276" w:lineRule="auto"/>
        <w:rPr>
          <w:b/>
          <w:sz w:val="22"/>
          <w:szCs w:val="22"/>
        </w:rPr>
      </w:pPr>
    </w:p>
    <w:p w14:paraId="3FA0F73C" w14:textId="77777777" w:rsidR="001A4192" w:rsidRPr="00994A95" w:rsidRDefault="001A4192" w:rsidP="009E0817">
      <w:pPr>
        <w:spacing w:line="276" w:lineRule="auto"/>
        <w:rPr>
          <w:b/>
          <w:sz w:val="22"/>
          <w:szCs w:val="22"/>
        </w:rPr>
      </w:pPr>
    </w:p>
    <w:p w14:paraId="4DE9667F" w14:textId="3C68F077" w:rsidR="004C6B53" w:rsidRPr="003D1458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3D1458">
        <w:rPr>
          <w:bCs/>
          <w:sz w:val="22"/>
          <w:szCs w:val="22"/>
        </w:rPr>
        <w:t xml:space="preserve"> lentelė. Siūlomų specialistų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"/>
        <w:gridCol w:w="1555"/>
        <w:gridCol w:w="2240"/>
        <w:gridCol w:w="2251"/>
        <w:gridCol w:w="2316"/>
        <w:gridCol w:w="1778"/>
        <w:gridCol w:w="2284"/>
        <w:gridCol w:w="1705"/>
      </w:tblGrid>
      <w:tr w:rsidR="00D01A19" w:rsidRPr="00104EDC" w14:paraId="5795B827" w14:textId="77777777" w:rsidTr="00C92A08">
        <w:trPr>
          <w:trHeight w:val="438"/>
        </w:trPr>
        <w:tc>
          <w:tcPr>
            <w:tcW w:w="193" w:type="pct"/>
            <w:vMerge w:val="restart"/>
            <w:shd w:val="clear" w:color="auto" w:fill="E2EFD9" w:themeFill="accent6" w:themeFillTint="33"/>
          </w:tcPr>
          <w:p w14:paraId="4D2CC1C9" w14:textId="77777777" w:rsidR="00CA724A" w:rsidRPr="00104EDC" w:rsidRDefault="00CA724A" w:rsidP="00C9646C">
            <w:pPr>
              <w:jc w:val="both"/>
              <w:rPr>
                <w:sz w:val="20"/>
              </w:rPr>
            </w:pPr>
            <w:r w:rsidRPr="00104EDC">
              <w:rPr>
                <w:sz w:val="20"/>
              </w:rPr>
              <w:t xml:space="preserve">Eil. Nr. </w:t>
            </w:r>
          </w:p>
        </w:tc>
        <w:tc>
          <w:tcPr>
            <w:tcW w:w="529" w:type="pct"/>
            <w:vMerge w:val="restart"/>
            <w:shd w:val="clear" w:color="auto" w:fill="E2EFD9" w:themeFill="accent6" w:themeFillTint="33"/>
          </w:tcPr>
          <w:p w14:paraId="4913148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7C06ACEB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2724B094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596E55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8E86689" w14:textId="6AF3DA2F" w:rsidR="00D02046" w:rsidRPr="00B1636D" w:rsidRDefault="00F9267C" w:rsidP="003D1458">
            <w:pPr>
              <w:jc w:val="both"/>
              <w:rPr>
                <w:i/>
                <w:iCs/>
                <w:sz w:val="20"/>
                <w:lang w:val="en-US"/>
              </w:rPr>
            </w:pPr>
            <w:r w:rsidRPr="00B1636D">
              <w:rPr>
                <w:i/>
                <w:iCs/>
                <w:sz w:val="20"/>
              </w:rPr>
              <w:t>Specialisto</w:t>
            </w:r>
            <w:r w:rsidR="00CA724A" w:rsidRPr="00B1636D">
              <w:rPr>
                <w:i/>
                <w:iCs/>
                <w:sz w:val="20"/>
              </w:rPr>
              <w:t xml:space="preserve"> pozicija</w:t>
            </w:r>
            <w:r w:rsidR="003D1458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4278" w:type="pct"/>
            <w:gridSpan w:val="6"/>
            <w:shd w:val="clear" w:color="auto" w:fill="E2EFD9" w:themeFill="accent6" w:themeFillTint="33"/>
            <w:vAlign w:val="center"/>
          </w:tcPr>
          <w:p w14:paraId="16B27741" w14:textId="091C3A2A" w:rsidR="00CA724A" w:rsidRPr="003D1458" w:rsidRDefault="00CA724A" w:rsidP="003D1458">
            <w:pPr>
              <w:jc w:val="center"/>
              <w:rPr>
                <w:i/>
                <w:iCs/>
                <w:sz w:val="20"/>
                <w:lang w:val="da-DK"/>
              </w:rPr>
            </w:pPr>
            <w:r w:rsidRPr="003D1458">
              <w:rPr>
                <w:i/>
                <w:iCs/>
                <w:sz w:val="20"/>
              </w:rPr>
              <w:t>Informacija apie tiekėjo siūlom</w:t>
            </w:r>
            <w:r w:rsidR="0042176C" w:rsidRPr="003D1458">
              <w:rPr>
                <w:i/>
                <w:iCs/>
                <w:sz w:val="20"/>
              </w:rPr>
              <w:t>ų</w:t>
            </w:r>
            <w:r w:rsidRPr="003D1458">
              <w:rPr>
                <w:i/>
                <w:iCs/>
                <w:sz w:val="20"/>
              </w:rPr>
              <w:t xml:space="preserve"> </w:t>
            </w:r>
            <w:r w:rsidR="00F9267C" w:rsidRPr="003D1458">
              <w:rPr>
                <w:i/>
                <w:iCs/>
                <w:sz w:val="20"/>
              </w:rPr>
              <w:t>specialistų</w:t>
            </w:r>
            <w:r w:rsidRPr="003D1458">
              <w:rPr>
                <w:i/>
                <w:iCs/>
                <w:sz w:val="20"/>
              </w:rPr>
              <w:t xml:space="preserve"> patirtį ir kvalifikaciją</w:t>
            </w:r>
            <w:r w:rsidR="003D1458">
              <w:rPr>
                <w:i/>
                <w:iCs/>
                <w:sz w:val="20"/>
              </w:rPr>
              <w:t xml:space="preserve"> 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(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pateikiama informacija apie </w:t>
            </w:r>
            <w:r w:rsidR="00980A59" w:rsidRPr="00980A59">
              <w:rPr>
                <w:b/>
                <w:bCs/>
                <w:i/>
                <w:iCs/>
                <w:color w:val="FF0000"/>
                <w:sz w:val="20"/>
                <w:u w:val="single"/>
              </w:rPr>
              <w:t>visus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nurodytus specialistus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="00D73B68">
              <w:rPr>
                <w:rStyle w:val="FootnoteReference"/>
                <w:b/>
                <w:bCs/>
                <w:i/>
                <w:iCs/>
                <w:color w:val="FF0000"/>
                <w:sz w:val="20"/>
              </w:rPr>
              <w:footnoteReference w:id="2"/>
            </w:r>
          </w:p>
        </w:tc>
      </w:tr>
      <w:tr w:rsidR="00B1636D" w:rsidRPr="00104EDC" w14:paraId="01CEE5A6" w14:textId="77777777" w:rsidTr="00C92A08">
        <w:trPr>
          <w:trHeight w:val="145"/>
        </w:trPr>
        <w:tc>
          <w:tcPr>
            <w:tcW w:w="193" w:type="pct"/>
            <w:vMerge/>
            <w:shd w:val="clear" w:color="auto" w:fill="E2EFD9" w:themeFill="accent6" w:themeFillTint="33"/>
          </w:tcPr>
          <w:p w14:paraId="25C68B35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E2EFD9" w:themeFill="accent6" w:themeFillTint="33"/>
          </w:tcPr>
          <w:p w14:paraId="4CD73E54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</w:tc>
        <w:tc>
          <w:tcPr>
            <w:tcW w:w="762" w:type="pct"/>
            <w:shd w:val="clear" w:color="auto" w:fill="E2EFD9" w:themeFill="accent6" w:themeFillTint="33"/>
          </w:tcPr>
          <w:p w14:paraId="3B4A80E2" w14:textId="22D379B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Specialisto vardas, pavardė</w:t>
            </w:r>
          </w:p>
        </w:tc>
        <w:tc>
          <w:tcPr>
            <w:tcW w:w="766" w:type="pct"/>
            <w:shd w:val="clear" w:color="auto" w:fill="E2EFD9" w:themeFill="accent6" w:themeFillTint="33"/>
          </w:tcPr>
          <w:p w14:paraId="28AE24EA" w14:textId="3C8C65B2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62E86" w:rsidRPr="00B1636D">
              <w:rPr>
                <w:i/>
                <w:iCs/>
                <w:sz w:val="20"/>
              </w:rPr>
              <w:t xml:space="preserve">, kurio vykdyme dalyvavo </w:t>
            </w:r>
            <w:r w:rsidR="00D951E9" w:rsidRPr="00B1636D">
              <w:rPr>
                <w:i/>
                <w:iCs/>
                <w:sz w:val="20"/>
              </w:rPr>
              <w:t>specialistas</w:t>
            </w:r>
            <w:r w:rsidR="00C552BA">
              <w:rPr>
                <w:i/>
                <w:iCs/>
                <w:sz w:val="20"/>
              </w:rPr>
              <w:t>,</w:t>
            </w:r>
            <w:r w:rsidR="00A87866" w:rsidRPr="00B1636D">
              <w:rPr>
                <w:i/>
                <w:iCs/>
                <w:sz w:val="20"/>
              </w:rPr>
              <w:t xml:space="preserve"> </w:t>
            </w:r>
            <w:r w:rsidR="00D62E86" w:rsidRPr="00B1636D">
              <w:rPr>
                <w:i/>
                <w:iCs/>
                <w:sz w:val="20"/>
              </w:rPr>
              <w:t>pavadinimas, data ir Nr.</w:t>
            </w:r>
            <w:r w:rsidR="00C70819" w:rsidRPr="00B1636D">
              <w:rPr>
                <w:i/>
                <w:iCs/>
                <w:sz w:val="20"/>
              </w:rPr>
              <w:t xml:space="preserve"> bei trumpas aprašymas</w:t>
            </w:r>
          </w:p>
        </w:tc>
        <w:tc>
          <w:tcPr>
            <w:tcW w:w="788" w:type="pct"/>
            <w:shd w:val="clear" w:color="auto" w:fill="E2EFD9" w:themeFill="accent6" w:themeFillTint="33"/>
          </w:tcPr>
          <w:p w14:paraId="3BCAEC6A" w14:textId="0EF7967B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62E86" w:rsidRPr="00B1636D">
              <w:rPr>
                <w:i/>
                <w:iCs/>
                <w:sz w:val="20"/>
              </w:rPr>
              <w:t xml:space="preserve"> faktinė vykdymo data (pradžia – pabaiga, nurodant metus ir mėnesį)</w:t>
            </w:r>
          </w:p>
        </w:tc>
        <w:tc>
          <w:tcPr>
            <w:tcW w:w="605" w:type="pct"/>
            <w:shd w:val="clear" w:color="auto" w:fill="E2EFD9" w:themeFill="accent6" w:themeFillTint="33"/>
          </w:tcPr>
          <w:p w14:paraId="72DC7C51" w14:textId="46475200" w:rsidR="00D62E86" w:rsidRPr="00B1636D" w:rsidRDefault="00C70819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I</w:t>
            </w:r>
            <w:r w:rsidR="00D62E86" w:rsidRPr="00B1636D">
              <w:rPr>
                <w:i/>
                <w:iCs/>
                <w:sz w:val="20"/>
              </w:rPr>
              <w:t xml:space="preserve">nformacija apie </w:t>
            </w:r>
            <w:r w:rsidR="00021488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vykdytas funkcijas/veiklas įgyvendinant </w:t>
            </w:r>
            <w:r w:rsidR="001A4192">
              <w:rPr>
                <w:i/>
                <w:iCs/>
                <w:sz w:val="20"/>
              </w:rPr>
              <w:t>projektą</w:t>
            </w:r>
            <w:r w:rsidR="00D62E86" w:rsidRPr="00B1636D">
              <w:rPr>
                <w:i/>
                <w:iCs/>
                <w:sz w:val="20"/>
              </w:rPr>
              <w:t xml:space="preserve">, </w:t>
            </w:r>
            <w:r w:rsidR="00FC485A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pozicija </w:t>
            </w:r>
            <w:r w:rsidR="001A4192">
              <w:rPr>
                <w:i/>
                <w:iCs/>
                <w:sz w:val="20"/>
              </w:rPr>
              <w:t>projekte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25C3AC09" w14:textId="7D147751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 xml:space="preserve">Informacija teikiama </w:t>
            </w:r>
            <w:r w:rsidR="00DA38A1" w:rsidRPr="00B1636D">
              <w:rPr>
                <w:i/>
                <w:iCs/>
                <w:sz w:val="20"/>
              </w:rPr>
              <w:t xml:space="preserve">specialisto </w:t>
            </w:r>
            <w:r w:rsidRPr="00B1636D">
              <w:rPr>
                <w:i/>
                <w:iCs/>
                <w:sz w:val="20"/>
              </w:rPr>
              <w:t>kvalifikacijai/ekonominio naudingumo kriterijams pagrįsti</w:t>
            </w:r>
          </w:p>
          <w:p w14:paraId="1DACCD8B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  <w:p w14:paraId="5EAB97F4" w14:textId="1BFEEBE7" w:rsidR="00D62E86" w:rsidRPr="00FB302C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FB302C">
              <w:rPr>
                <w:i/>
                <w:iCs/>
                <w:color w:val="FF0000"/>
                <w:sz w:val="20"/>
              </w:rPr>
              <w:t>(Pažymėti)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77F15ECD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B1636D" w:rsidRPr="00104EDC" w14:paraId="661638C1" w14:textId="77777777" w:rsidTr="00C92A08">
        <w:trPr>
          <w:trHeight w:val="145"/>
        </w:trPr>
        <w:tc>
          <w:tcPr>
            <w:tcW w:w="193" w:type="pct"/>
            <w:vMerge/>
            <w:shd w:val="clear" w:color="auto" w:fill="FBE4D5" w:themeFill="accent2" w:themeFillTint="33"/>
          </w:tcPr>
          <w:p w14:paraId="794CB87D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shd w:val="clear" w:color="auto" w:fill="E2EFD9" w:themeFill="accent6" w:themeFillTint="33"/>
          </w:tcPr>
          <w:p w14:paraId="0F4E938B" w14:textId="77777777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62" w:type="pct"/>
            <w:shd w:val="clear" w:color="auto" w:fill="E2EFD9" w:themeFill="accent6" w:themeFillTint="33"/>
          </w:tcPr>
          <w:p w14:paraId="25D34A6C" w14:textId="288C8F66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6" w:type="pct"/>
            <w:shd w:val="clear" w:color="auto" w:fill="E2EFD9" w:themeFill="accent6" w:themeFillTint="33"/>
          </w:tcPr>
          <w:p w14:paraId="35DADBCA" w14:textId="05D0F2AA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88" w:type="pct"/>
            <w:shd w:val="clear" w:color="auto" w:fill="E2EFD9" w:themeFill="accent6" w:themeFillTint="33"/>
          </w:tcPr>
          <w:p w14:paraId="282EA3F5" w14:textId="06B5CF50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05" w:type="pct"/>
            <w:shd w:val="clear" w:color="auto" w:fill="E2EFD9" w:themeFill="accent6" w:themeFillTint="33"/>
          </w:tcPr>
          <w:p w14:paraId="2054C419" w14:textId="0F445A5B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6EF3C19B" w14:textId="779E69E7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18573EF0" w14:textId="3F7B7341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</w:tr>
      <w:tr w:rsidR="00DA38A1" w:rsidRPr="00104EDC" w14:paraId="5B4EEDDA" w14:textId="77777777" w:rsidTr="00C92A08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7D8C2D7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529" w:type="pct"/>
            <w:shd w:val="clear" w:color="auto" w:fill="auto"/>
          </w:tcPr>
          <w:p w14:paraId="05B8F08C" w14:textId="7E016292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0C242B3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629A7E2C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E749BB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3046C6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C00468" w14:textId="3ED8229E" w:rsidR="00D62E86" w:rsidRPr="005F7B1B" w:rsidRDefault="00D62E86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40760B2F" w14:textId="0A27ADA5" w:rsidR="00D62E86" w:rsidRPr="00104EDC" w:rsidRDefault="00D62E86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0B97D83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1ECA24A4" w14:textId="77777777" w:rsidTr="00C92A08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68DCDE68" w14:textId="65E1B49E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29" w:type="pct"/>
            <w:shd w:val="clear" w:color="auto" w:fill="auto"/>
          </w:tcPr>
          <w:p w14:paraId="7C4D37A2" w14:textId="72836A36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24D1B41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BF61BC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4B93E00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5DEA098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27531AE6" w14:textId="2F3D4525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3BAF8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251926" w14:paraId="0BBC8360" w14:textId="77777777" w:rsidTr="00C92A08">
        <w:trPr>
          <w:trHeight w:val="737"/>
        </w:trPr>
        <w:tc>
          <w:tcPr>
            <w:tcW w:w="193" w:type="pct"/>
            <w:shd w:val="clear" w:color="auto" w:fill="E2EFD9" w:themeFill="accent6" w:themeFillTint="33"/>
          </w:tcPr>
          <w:p w14:paraId="7E07BAA7" w14:textId="76EC7890" w:rsidR="00A45E41" w:rsidRPr="00104EDC" w:rsidRDefault="001A4192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529" w:type="pct"/>
            <w:shd w:val="clear" w:color="auto" w:fill="auto"/>
          </w:tcPr>
          <w:p w14:paraId="09909F8B" w14:textId="368E8331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5915073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6C3520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E2DB59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2F6C6F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00ECA6DC" w14:textId="5C926ABD" w:rsidR="00A45E41" w:rsidRPr="00104EDC" w:rsidRDefault="00A45E41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C9F4A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0039FDE0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2A3A9DE4" w14:textId="78AE700D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5C7EA87" w14:textId="144BC618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3493886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AE528D9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645CBFB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534D957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C341D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6782C3C2" w14:textId="7815CDBE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E9CCB8F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507BE74C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134DD4BE" w14:textId="103DB069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BE7439C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2196F3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04CB9B7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21911C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66CCEE4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ADEA3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EDE80A5" w14:textId="658BDCCB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8FA2C2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08A30B17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9FC88DB" w14:textId="29A557E8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81B22B0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40E675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79F77A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BE35F5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2B28CE3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23FD2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77D2359" w14:textId="08774099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76C1ECB6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46B07672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4AB07A6" w14:textId="472A15C1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05157CE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1BA22DE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37C826B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4817FD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47111FC9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5D0DF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76FD37F6" w14:textId="2E5AEA0F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6B58BF5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2C17D5BE" w14:textId="77777777" w:rsidR="00B1636D" w:rsidRDefault="00B1636D" w:rsidP="00B1636D">
      <w:pPr>
        <w:tabs>
          <w:tab w:val="left" w:pos="4224"/>
          <w:tab w:val="left" w:pos="4932"/>
        </w:tabs>
        <w:jc w:val="both"/>
        <w:rPr>
          <w:b/>
          <w:bCs/>
          <w:sz w:val="22"/>
          <w:szCs w:val="22"/>
          <w:lang w:eastAsia="ar-SA"/>
        </w:rPr>
      </w:pPr>
    </w:p>
    <w:p w14:paraId="17FD4ED2" w14:textId="1FB02D7B" w:rsidR="00FA2EDE" w:rsidRPr="00D73B68" w:rsidRDefault="00453C7F" w:rsidP="00B1636D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D73B68">
        <w:rPr>
          <w:b/>
          <w:bCs/>
          <w:sz w:val="22"/>
          <w:szCs w:val="22"/>
          <w:lang w:eastAsia="ar-SA"/>
        </w:rPr>
        <w:t>PASTABA.</w:t>
      </w:r>
      <w:r w:rsidRPr="003D1458">
        <w:rPr>
          <w:b/>
          <w:bCs/>
          <w:i/>
          <w:iCs/>
          <w:sz w:val="22"/>
          <w:szCs w:val="22"/>
          <w:lang w:eastAsia="ar-SA"/>
        </w:rPr>
        <w:t xml:space="preserve"> </w:t>
      </w:r>
      <w:r w:rsidR="00B1636D" w:rsidRPr="00D73B68">
        <w:rPr>
          <w:sz w:val="22"/>
          <w:szCs w:val="22"/>
          <w:lang w:eastAsia="ar-SA"/>
        </w:rPr>
        <w:t xml:space="preserve">Pasiūlymų vertinimo metu </w:t>
      </w:r>
      <w:r w:rsidR="00B1636D" w:rsidRPr="00D73B68">
        <w:rPr>
          <w:rFonts w:eastAsia="Calibri"/>
          <w:sz w:val="22"/>
          <w:szCs w:val="22"/>
        </w:rPr>
        <w:t>t</w:t>
      </w:r>
      <w:r w:rsidRPr="00D73B68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D73B68">
        <w:rPr>
          <w:sz w:val="22"/>
          <w:szCs w:val="22"/>
        </w:rPr>
        <w:t>ekonomiškai naudingiausio pasiūlymo vertinimo kriterijais.</w:t>
      </w:r>
      <w:r w:rsidR="005C0FAF" w:rsidRPr="00D73B68">
        <w:rPr>
          <w:sz w:val="22"/>
          <w:szCs w:val="22"/>
        </w:rPr>
        <w:t xml:space="preserve"> Duomenys ir (arba) dokumentai tikslinami, aiškinami vadovaujantis Viešųjų pirkimų tarnybos nustatytomis taisyklėmis</w:t>
      </w:r>
      <w:r w:rsidR="00D24409" w:rsidRPr="00D73B68">
        <w:rPr>
          <w:sz w:val="22"/>
          <w:szCs w:val="22"/>
        </w:rPr>
        <w:t>.</w:t>
      </w:r>
    </w:p>
    <w:sectPr w:rsidR="00FA2EDE" w:rsidRPr="00D73B68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75B3" w14:textId="77777777" w:rsidR="00713F7B" w:rsidRDefault="00713F7B" w:rsidP="000F04C2">
      <w:r>
        <w:separator/>
      </w:r>
    </w:p>
  </w:endnote>
  <w:endnote w:type="continuationSeparator" w:id="0">
    <w:p w14:paraId="2592BD16" w14:textId="77777777" w:rsidR="00713F7B" w:rsidRDefault="00713F7B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93B3" w14:textId="77777777" w:rsidR="00713F7B" w:rsidRDefault="00713F7B" w:rsidP="000F04C2">
      <w:r>
        <w:separator/>
      </w:r>
    </w:p>
  </w:footnote>
  <w:footnote w:type="continuationSeparator" w:id="0">
    <w:p w14:paraId="043E2072" w14:textId="77777777" w:rsidR="00713F7B" w:rsidRDefault="00713F7B" w:rsidP="000F04C2">
      <w:r>
        <w:continuationSeparator/>
      </w:r>
    </w:p>
  </w:footnote>
  <w:footnote w:id="1">
    <w:p w14:paraId="0CFF4E25" w14:textId="77777777" w:rsidR="00B1636D" w:rsidRPr="00D73B68" w:rsidRDefault="00B1636D" w:rsidP="00D73B68">
      <w:pPr>
        <w:jc w:val="both"/>
        <w:rPr>
          <w:rFonts w:asciiTheme="majorBidi" w:hAnsiTheme="majorBidi" w:cstheme="majorBidi"/>
          <w:i/>
          <w:iCs/>
          <w:sz w:val="20"/>
        </w:rPr>
      </w:pPr>
      <w:r w:rsidRPr="00F2236B">
        <w:rPr>
          <w:rStyle w:val="FootnoteReference"/>
          <w:sz w:val="18"/>
          <w:szCs w:val="18"/>
        </w:rPr>
        <w:footnoteRef/>
      </w:r>
      <w:r w:rsidRPr="00F2236B">
        <w:rPr>
          <w:sz w:val="18"/>
          <w:szCs w:val="18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D73B68">
        <w:rPr>
          <w:i/>
          <w:iCs/>
          <w:sz w:val="20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2">
    <w:p w14:paraId="1AF01588" w14:textId="3C0A1742" w:rsidR="00D73B68" w:rsidRPr="00D73B68" w:rsidRDefault="00D73B68" w:rsidP="00D73B68">
      <w:pPr>
        <w:pStyle w:val="FootnoteText"/>
        <w:jc w:val="both"/>
        <w:rPr>
          <w:i/>
          <w:iCs/>
        </w:rPr>
      </w:pPr>
      <w:r w:rsidRPr="00D73B68">
        <w:rPr>
          <w:rStyle w:val="FootnoteReference"/>
          <w:i/>
          <w:iCs/>
        </w:rPr>
        <w:footnoteRef/>
      </w:r>
      <w:r w:rsidRPr="00D73B68">
        <w:rPr>
          <w:i/>
          <w:iCs/>
        </w:rPr>
        <w:t xml:space="preserve"> </w:t>
      </w:r>
      <w:r w:rsidRPr="00D73B68">
        <w:rPr>
          <w:bCs/>
          <w:i/>
          <w:iCs/>
        </w:rPr>
        <w:t xml:space="preserve">Pateikiama tiek ir tokios informacijos, kad perkančioji organizacija galėtų </w:t>
      </w:r>
      <w:r w:rsidRPr="00D73B68">
        <w:rPr>
          <w:b/>
          <w:i/>
          <w:iCs/>
          <w:u w:val="single"/>
        </w:rPr>
        <w:t>visiškai</w:t>
      </w:r>
      <w:r w:rsidRPr="00D73B68">
        <w:rPr>
          <w:b/>
          <w:i/>
          <w:iCs/>
        </w:rPr>
        <w:t xml:space="preserve"> </w:t>
      </w:r>
      <w:r w:rsidRPr="00D73B68">
        <w:rPr>
          <w:bCs/>
          <w:i/>
          <w:iCs/>
        </w:rPr>
        <w:t>įsitikinti, ar siūlomi specialistai turi nurodytą reikalaujamą patirtį, net jei lentelėje nėra išskirtas atitinkamai informacijai atskiras stulpelis</w:t>
      </w:r>
      <w:r w:rsidRPr="00D73B68">
        <w:rPr>
          <w:bCs/>
          <w:i/>
          <w:iCs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4C27"/>
    <w:rsid w:val="00072EE8"/>
    <w:rsid w:val="000A15CD"/>
    <w:rsid w:val="000B458F"/>
    <w:rsid w:val="000B6715"/>
    <w:rsid w:val="000C1483"/>
    <w:rsid w:val="000E17A0"/>
    <w:rsid w:val="000F04C2"/>
    <w:rsid w:val="00116AAF"/>
    <w:rsid w:val="00134AA4"/>
    <w:rsid w:val="00135F14"/>
    <w:rsid w:val="00157F9E"/>
    <w:rsid w:val="00183D7B"/>
    <w:rsid w:val="00192ACC"/>
    <w:rsid w:val="001A4192"/>
    <w:rsid w:val="001B149B"/>
    <w:rsid w:val="001B5CD8"/>
    <w:rsid w:val="001D4134"/>
    <w:rsid w:val="001E6F01"/>
    <w:rsid w:val="00201608"/>
    <w:rsid w:val="00233D00"/>
    <w:rsid w:val="002466A0"/>
    <w:rsid w:val="00251926"/>
    <w:rsid w:val="002726BB"/>
    <w:rsid w:val="00293895"/>
    <w:rsid w:val="002B3DD5"/>
    <w:rsid w:val="002E0A23"/>
    <w:rsid w:val="00325FD2"/>
    <w:rsid w:val="0035528C"/>
    <w:rsid w:val="003737B2"/>
    <w:rsid w:val="00383C96"/>
    <w:rsid w:val="003976D3"/>
    <w:rsid w:val="003A187A"/>
    <w:rsid w:val="003A5A19"/>
    <w:rsid w:val="003D1458"/>
    <w:rsid w:val="003D2E6D"/>
    <w:rsid w:val="003F352E"/>
    <w:rsid w:val="00415244"/>
    <w:rsid w:val="0041699D"/>
    <w:rsid w:val="0042176C"/>
    <w:rsid w:val="00426051"/>
    <w:rsid w:val="00453C7F"/>
    <w:rsid w:val="004548F3"/>
    <w:rsid w:val="0046377B"/>
    <w:rsid w:val="00475A15"/>
    <w:rsid w:val="004C03BB"/>
    <w:rsid w:val="004C6B53"/>
    <w:rsid w:val="004F5CBC"/>
    <w:rsid w:val="00511EEA"/>
    <w:rsid w:val="00545013"/>
    <w:rsid w:val="0054592C"/>
    <w:rsid w:val="00566FF8"/>
    <w:rsid w:val="00570332"/>
    <w:rsid w:val="00591357"/>
    <w:rsid w:val="005A4A93"/>
    <w:rsid w:val="005A5D0A"/>
    <w:rsid w:val="005B32E0"/>
    <w:rsid w:val="005C0FAF"/>
    <w:rsid w:val="005E0EDF"/>
    <w:rsid w:val="005F6991"/>
    <w:rsid w:val="005F7B1B"/>
    <w:rsid w:val="00605FA2"/>
    <w:rsid w:val="006207F5"/>
    <w:rsid w:val="00620AA8"/>
    <w:rsid w:val="006273FA"/>
    <w:rsid w:val="00630001"/>
    <w:rsid w:val="00681758"/>
    <w:rsid w:val="006C1219"/>
    <w:rsid w:val="006C5807"/>
    <w:rsid w:val="006E7909"/>
    <w:rsid w:val="00713F7B"/>
    <w:rsid w:val="00721AB3"/>
    <w:rsid w:val="00744A03"/>
    <w:rsid w:val="00746365"/>
    <w:rsid w:val="007635DB"/>
    <w:rsid w:val="0077033E"/>
    <w:rsid w:val="00771F09"/>
    <w:rsid w:val="00792192"/>
    <w:rsid w:val="007933C6"/>
    <w:rsid w:val="00793482"/>
    <w:rsid w:val="007B2584"/>
    <w:rsid w:val="007B6ED6"/>
    <w:rsid w:val="007B7FF8"/>
    <w:rsid w:val="007C5589"/>
    <w:rsid w:val="007E0B3A"/>
    <w:rsid w:val="007E2CA6"/>
    <w:rsid w:val="00806D24"/>
    <w:rsid w:val="00827822"/>
    <w:rsid w:val="00855D5D"/>
    <w:rsid w:val="00880E11"/>
    <w:rsid w:val="008862E1"/>
    <w:rsid w:val="00897098"/>
    <w:rsid w:val="008B3ED9"/>
    <w:rsid w:val="008E4A1E"/>
    <w:rsid w:val="008E7BDE"/>
    <w:rsid w:val="008F14FC"/>
    <w:rsid w:val="008F5232"/>
    <w:rsid w:val="008F6098"/>
    <w:rsid w:val="00901745"/>
    <w:rsid w:val="00933F31"/>
    <w:rsid w:val="00942DB7"/>
    <w:rsid w:val="0094325D"/>
    <w:rsid w:val="0095328C"/>
    <w:rsid w:val="009658F9"/>
    <w:rsid w:val="009671E7"/>
    <w:rsid w:val="00980A59"/>
    <w:rsid w:val="009A248D"/>
    <w:rsid w:val="009B74B8"/>
    <w:rsid w:val="009D262E"/>
    <w:rsid w:val="009D2AB4"/>
    <w:rsid w:val="009E0817"/>
    <w:rsid w:val="009E62D1"/>
    <w:rsid w:val="00A34B16"/>
    <w:rsid w:val="00A45E41"/>
    <w:rsid w:val="00A47A55"/>
    <w:rsid w:val="00A71252"/>
    <w:rsid w:val="00A751F2"/>
    <w:rsid w:val="00A820D4"/>
    <w:rsid w:val="00A87866"/>
    <w:rsid w:val="00AA72F9"/>
    <w:rsid w:val="00AB59A5"/>
    <w:rsid w:val="00AD55E1"/>
    <w:rsid w:val="00AE33E5"/>
    <w:rsid w:val="00AF68CE"/>
    <w:rsid w:val="00B027E2"/>
    <w:rsid w:val="00B1636D"/>
    <w:rsid w:val="00B25743"/>
    <w:rsid w:val="00B25EA4"/>
    <w:rsid w:val="00B27A20"/>
    <w:rsid w:val="00B922BB"/>
    <w:rsid w:val="00BB726D"/>
    <w:rsid w:val="00BC2139"/>
    <w:rsid w:val="00BC3EC3"/>
    <w:rsid w:val="00BC42EA"/>
    <w:rsid w:val="00BC747C"/>
    <w:rsid w:val="00BD5206"/>
    <w:rsid w:val="00C12E51"/>
    <w:rsid w:val="00C403D4"/>
    <w:rsid w:val="00C44556"/>
    <w:rsid w:val="00C552BA"/>
    <w:rsid w:val="00C62E69"/>
    <w:rsid w:val="00C64C8E"/>
    <w:rsid w:val="00C70819"/>
    <w:rsid w:val="00C92A08"/>
    <w:rsid w:val="00CA724A"/>
    <w:rsid w:val="00CA74EA"/>
    <w:rsid w:val="00CE6A0D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73B68"/>
    <w:rsid w:val="00D951E9"/>
    <w:rsid w:val="00DA03F2"/>
    <w:rsid w:val="00DA38A1"/>
    <w:rsid w:val="00DB189B"/>
    <w:rsid w:val="00DC4820"/>
    <w:rsid w:val="00DF7214"/>
    <w:rsid w:val="00E051D2"/>
    <w:rsid w:val="00E127CF"/>
    <w:rsid w:val="00E312BE"/>
    <w:rsid w:val="00E40F37"/>
    <w:rsid w:val="00E51987"/>
    <w:rsid w:val="00E60E9F"/>
    <w:rsid w:val="00E82431"/>
    <w:rsid w:val="00E90570"/>
    <w:rsid w:val="00E906B3"/>
    <w:rsid w:val="00EA6591"/>
    <w:rsid w:val="00EB3AFE"/>
    <w:rsid w:val="00EB41B4"/>
    <w:rsid w:val="00EB71B2"/>
    <w:rsid w:val="00ED1B44"/>
    <w:rsid w:val="00F06E73"/>
    <w:rsid w:val="00F2236B"/>
    <w:rsid w:val="00F341E7"/>
    <w:rsid w:val="00F3655E"/>
    <w:rsid w:val="00F42E94"/>
    <w:rsid w:val="00F51DC9"/>
    <w:rsid w:val="00F57E5E"/>
    <w:rsid w:val="00F87ACA"/>
    <w:rsid w:val="00F9267C"/>
    <w:rsid w:val="00F977F7"/>
    <w:rsid w:val="00FA2EDE"/>
    <w:rsid w:val="00FB085E"/>
    <w:rsid w:val="00FB302C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1D2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Mindaugas Žiukas</cp:lastModifiedBy>
  <cp:revision>6</cp:revision>
  <dcterms:created xsi:type="dcterms:W3CDTF">2024-08-07T14:53:00Z</dcterms:created>
  <dcterms:modified xsi:type="dcterms:W3CDTF">2025-01-31T18:03:00Z</dcterms:modified>
</cp:coreProperties>
</file>