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7B38" w14:textId="55D1D1E7" w:rsidR="004260AB" w:rsidRPr="003D31DF" w:rsidRDefault="004823BF" w:rsidP="003D31DF">
      <w:pPr>
        <w:jc w:val="right"/>
        <w:rPr>
          <w:b/>
          <w:bCs/>
        </w:rPr>
      </w:pPr>
      <w:r>
        <w:rPr>
          <w:b/>
          <w:bCs/>
        </w:rPr>
        <w:t>1</w:t>
      </w:r>
      <w:r w:rsidR="007E49D2" w:rsidRPr="003D31DF">
        <w:rPr>
          <w:b/>
          <w:bCs/>
        </w:rPr>
        <w:t xml:space="preserve"> </w:t>
      </w:r>
      <w:r w:rsidR="003D31DF" w:rsidRPr="003D31DF">
        <w:rPr>
          <w:b/>
          <w:bCs/>
        </w:rPr>
        <w:t>Priedas</w:t>
      </w:r>
      <w:r>
        <w:rPr>
          <w:b/>
          <w:bCs/>
        </w:rPr>
        <w:t xml:space="preserve">. </w:t>
      </w:r>
      <w:r w:rsidR="003D31DF" w:rsidRPr="003D31DF">
        <w:rPr>
          <w:b/>
          <w:bCs/>
        </w:rPr>
        <w:t>Techninė specifikacija</w:t>
      </w:r>
    </w:p>
    <w:p w14:paraId="46A5F666" w14:textId="77777777" w:rsidR="00F64B2A" w:rsidRDefault="00F64B2A"/>
    <w:p w14:paraId="201F1E76" w14:textId="5837CB1E" w:rsidR="00F64B2A" w:rsidRDefault="007A6735" w:rsidP="00F64B2A">
      <w:pPr>
        <w:suppressAutoHyphens/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VAIZD</w:t>
      </w:r>
      <w:r w:rsidR="00CF74BA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O</w:t>
      </w:r>
      <w:r w:rsidR="00071C70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 xml:space="preserve"> REDAGAVIMO PROGRAMINĖ</w:t>
      </w:r>
      <w:r w:rsidR="00513328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S</w:t>
      </w:r>
      <w:r w:rsidR="00071C70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 xml:space="preserve"> ĮRANG</w:t>
      </w:r>
      <w:r w:rsidR="00F714BE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OS LICENCIJŲ PALAIKYMO PASLAUGOS</w:t>
      </w:r>
    </w:p>
    <w:p w14:paraId="70A132ED" w14:textId="77777777" w:rsidR="00CF74BA" w:rsidRDefault="00CF74BA" w:rsidP="00F64B2A">
      <w:pPr>
        <w:suppressAutoHyphens/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</w:pPr>
    </w:p>
    <w:p w14:paraId="190055FB" w14:textId="22CB8A2A" w:rsidR="00CF74BA" w:rsidRDefault="00CF74BA" w:rsidP="004823B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392E88">
        <w:rPr>
          <w:rFonts w:ascii="Times New Roman" w:eastAsia="Calibri" w:hAnsi="Times New Roman" w:cs="Times New Roman"/>
          <w:kern w:val="0"/>
          <w:lang w:eastAsia="lt-LT"/>
          <w14:ligatures w14:val="none"/>
        </w:rPr>
        <w:t>Atsižvelgiant, kad vykdomas žaliasis pirkimas, ir vadovaujantis 2011 m. birželio 28 d. Lietuvos Respublikos aplinkos ministro įsakymu Nr. D1-508 patvirtintu Aplinkos apsaugos kriterijų taikymo, vykdant žaliuosius pirkimus, tvarkos aprašu (toliau – Aprašas), perkančioji organizacija nustatė kriterijų, atsižvelgdama į Aprašo 4.4.3 papunktį, ir jį taikys pirkdama prekes, paslaugas ar darbus  siekiant sunaudoti kuo mažiau gamtos išteklių. Visa su licencijų  teikimu susijusi informacija privalo būti teikiama elektroniniu formatu (elektroniniais .</w:t>
      </w:r>
      <w:proofErr w:type="spellStart"/>
      <w:r w:rsidRPr="00392E88">
        <w:rPr>
          <w:rFonts w:ascii="Times New Roman" w:eastAsia="Calibri" w:hAnsi="Times New Roman" w:cs="Times New Roman"/>
          <w:kern w:val="0"/>
          <w:lang w:eastAsia="lt-LT"/>
          <w14:ligatures w14:val="none"/>
        </w:rPr>
        <w:t>doc</w:t>
      </w:r>
      <w:proofErr w:type="spellEnd"/>
      <w:r w:rsidRPr="00392E88">
        <w:rPr>
          <w:rFonts w:ascii="Times New Roman" w:eastAsia="Calibri" w:hAnsi="Times New Roman" w:cs="Times New Roman"/>
          <w:kern w:val="0"/>
          <w:lang w:eastAsia="lt-LT"/>
          <w14:ligatures w14:val="none"/>
        </w:rPr>
        <w:t>, .</w:t>
      </w:r>
      <w:proofErr w:type="spellStart"/>
      <w:r w:rsidRPr="00392E88">
        <w:rPr>
          <w:rFonts w:ascii="Times New Roman" w:eastAsia="Calibri" w:hAnsi="Times New Roman" w:cs="Times New Roman"/>
          <w:kern w:val="0"/>
          <w:lang w:eastAsia="lt-LT"/>
          <w14:ligatures w14:val="none"/>
        </w:rPr>
        <w:t>docx</w:t>
      </w:r>
      <w:proofErr w:type="spellEnd"/>
      <w:r w:rsidRPr="00392E88">
        <w:rPr>
          <w:rFonts w:ascii="Times New Roman" w:eastAsia="Calibri" w:hAnsi="Times New Roman" w:cs="Times New Roman"/>
          <w:kern w:val="0"/>
          <w:lang w:eastAsia="lt-LT"/>
          <w14:ligatures w14:val="none"/>
        </w:rPr>
        <w:t>, .</w:t>
      </w:r>
      <w:proofErr w:type="spellStart"/>
      <w:r w:rsidRPr="00392E88">
        <w:rPr>
          <w:rFonts w:ascii="Times New Roman" w:eastAsia="Calibri" w:hAnsi="Times New Roman" w:cs="Times New Roman"/>
          <w:kern w:val="0"/>
          <w:lang w:eastAsia="lt-LT"/>
          <w14:ligatures w14:val="none"/>
        </w:rPr>
        <w:t>pdf</w:t>
      </w:r>
      <w:proofErr w:type="spellEnd"/>
      <w:r w:rsidRPr="00392E88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formatais ar pan., visi licencijų gavėjui teikiami dokumentai Sutarties vykdymo metu neturi būti spausdinami) ir elektroninėmis priemonėmis, o licencijų diegimas vykdomas nuotoliniu būdu. Paslaugų gavėjo ir Paslaugų teikėjo komunikacija privalo būti vykdoma tik elektroninėmis priemonėmis, nuotoliniu būdu.</w:t>
      </w:r>
    </w:p>
    <w:p w14:paraId="758037BC" w14:textId="52E71644" w:rsidR="004823BF" w:rsidRDefault="004823BF" w:rsidP="004823B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ABBCD64" w14:textId="77777777" w:rsidR="004823BF" w:rsidRPr="00BA45F2" w:rsidRDefault="004823BF" w:rsidP="004823B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45F2">
        <w:rPr>
          <w:rFonts w:ascii="Times New Roman" w:hAnsi="Times New Roman" w:cs="Times New Roman"/>
          <w:b/>
          <w:bCs/>
          <w:color w:val="000000" w:themeColor="text1"/>
        </w:rPr>
        <w:t>DETALIOS TECHNINĖS SPECIFIKACIJOS</w:t>
      </w:r>
    </w:p>
    <w:p w14:paraId="064E08FF" w14:textId="11C35C5C" w:rsidR="004823BF" w:rsidRDefault="004823BF" w:rsidP="004823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E590598" w14:textId="47A4EF4A" w:rsidR="00F64B2A" w:rsidRPr="00F64B2A" w:rsidRDefault="00F64B2A" w:rsidP="00F64B2A">
      <w:pPr>
        <w:suppressAutoHyphens/>
        <w:spacing w:after="120" w:line="240" w:lineRule="auto"/>
        <w:ind w:left="284"/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</w:pPr>
      <w:r w:rsidRPr="00F64B2A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1</w:t>
      </w:r>
      <w:r w:rsidR="00917077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.</w:t>
      </w:r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Creative </w:t>
      </w:r>
      <w:proofErr w:type="spellStart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Cloud</w:t>
      </w:r>
      <w:proofErr w:type="spellEnd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for</w:t>
      </w:r>
      <w:proofErr w:type="spellEnd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Enterprise</w:t>
      </w:r>
      <w:proofErr w:type="spellEnd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All</w:t>
      </w:r>
      <w:proofErr w:type="spellEnd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Apps</w:t>
      </w:r>
      <w:proofErr w:type="spellEnd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Education</w:t>
      </w:r>
      <w:proofErr w:type="spellEnd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NAMED</w:t>
      </w:r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“ arba lygiavertė  programinė įranga</w:t>
      </w:r>
      <w:r w:rsidR="00106C60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30"/>
        <w:gridCol w:w="5400"/>
        <w:gridCol w:w="5027"/>
      </w:tblGrid>
      <w:tr w:rsidR="00F64B2A" w:rsidRPr="00F64B2A" w14:paraId="5505C7C7" w14:textId="77777777" w:rsidTr="002F7AF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D3DE9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Eil.</w:t>
            </w:r>
          </w:p>
          <w:p w14:paraId="2FFCBB82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Nr.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235FC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Reikalaujama charakteristika ne blogiau kaip arba lygiavertė (pateiktos nuorodos į standartus/ technologijas/ prekės ženklus yra tik rekomendacinio pobūdžio, todėl standartai/ technologijos/ prekės ženklai gali būti pakeisti lygiaverčiais)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CDAA2A" w14:textId="77777777" w:rsidR="00F64B2A" w:rsidRPr="00F64B2A" w:rsidRDefault="00F64B2A" w:rsidP="00F6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Prekės pavadinimas, tiekėjo siūlomos tikslios charakteristikos ((</w:t>
            </w:r>
            <w:r w:rsidRPr="00F64B2A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14:ligatures w14:val="none"/>
              </w:rPr>
              <w:t>Užpildo tiekėjas)</w:t>
            </w:r>
          </w:p>
        </w:tc>
      </w:tr>
      <w:tr w:rsidR="00F64B2A" w:rsidRPr="00F64B2A" w14:paraId="78BFFBA7" w14:textId="77777777" w:rsidTr="002F7AF2">
        <w:trPr>
          <w:trHeight w:val="9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DF1D0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C28E35" w14:textId="5BED7BEA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Vaizdų redagavimo programinės įrangos  „Creative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Cloud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for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Enterprise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All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Apps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Education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“ arba lygiavertės įrangos paketo anglų kalba vieno vartotojo licencij</w:t>
            </w:r>
            <w:r w:rsidR="00C340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os palaikymas</w:t>
            </w: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ne trumpesniam nei 12 mėn. laikotarpiui.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5255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F2160DE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u w:val="single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u w:val="single"/>
                <w14:ligatures w14:val="none"/>
              </w:rPr>
              <w:t>(nurodyti tikslų programinės įrangos licencijos pavadinimą ir prekės kodą)</w:t>
            </w:r>
          </w:p>
          <w:p w14:paraId="1E8E0442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49462920" w14:textId="6471DF2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Licencij</w:t>
            </w:r>
            <w:r w:rsidR="005B15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os laikotarpis</w:t>
            </w: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64B2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(nurodyti laikotarpį)</w:t>
            </w: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laikotarpiui</w:t>
            </w:r>
          </w:p>
          <w:p w14:paraId="23A47F9A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F64B2A" w:rsidRPr="00F64B2A" w14:paraId="52BDD15C" w14:textId="77777777" w:rsidTr="002F7AF2">
        <w:trPr>
          <w:trHeight w:val="31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62528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6C7A85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Programinės įrangos paketo sudėtyje turi būti:</w:t>
            </w:r>
          </w:p>
          <w:p w14:paraId="5EA53E6B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Photoshop,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Illustrator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, InDesign,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Dreamweaver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Premiere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Pro,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After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Effects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Acrobat Pro arba lygiavertė programinė įranga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839D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4B2A" w:rsidRPr="00F64B2A" w14:paraId="3936610F" w14:textId="77777777" w:rsidTr="002F7AF2">
        <w:trPr>
          <w:trHeight w:val="31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15A085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BBEFF2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Licencijavimo tipas – vartotojui priskiriama licencija (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Named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User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0AC2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4B2A" w:rsidRPr="00F64B2A" w14:paraId="7079B2DD" w14:textId="77777777" w:rsidTr="002F7AF2">
        <w:trPr>
          <w:trHeight w:val="31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365935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094183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Licencijų administratorius turi turėti galimybę:</w:t>
            </w:r>
          </w:p>
          <w:p w14:paraId="642310C9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 priskirti licenciją konkrečiam vartotojui (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el.pašto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adresui);</w:t>
            </w:r>
          </w:p>
          <w:p w14:paraId="3047D2D3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 licencijos prenumeratos galiojimo laikotarpiui pakeisti licencijos vartotoją;</w:t>
            </w:r>
          </w:p>
          <w:p w14:paraId="4E6FC065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 matyti visas organizacijos licencijas ir jų vartotojus vienoje konsolėje.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B111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7CFB263" w14:textId="77777777" w:rsidR="00F64B2A" w:rsidRPr="00F64B2A" w:rsidRDefault="00F64B2A" w:rsidP="00F64B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1C3A46" w14:textId="689C0E55" w:rsidR="00F64B2A" w:rsidRPr="00F64B2A" w:rsidRDefault="00F64B2A" w:rsidP="00106C60">
      <w:pPr>
        <w:suppressAutoHyphens/>
        <w:spacing w:after="120" w:line="240" w:lineRule="auto"/>
        <w:ind w:left="284"/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2</w:t>
      </w:r>
      <w:r w:rsidR="00917077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.</w:t>
      </w:r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Creative </w:t>
      </w:r>
      <w:proofErr w:type="spellStart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Cloud</w:t>
      </w:r>
      <w:proofErr w:type="spellEnd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for</w:t>
      </w:r>
      <w:proofErr w:type="spellEnd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Enterprise</w:t>
      </w:r>
      <w:proofErr w:type="spellEnd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All</w:t>
      </w:r>
      <w:proofErr w:type="spellEnd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Apps</w:t>
      </w:r>
      <w:proofErr w:type="spellEnd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Education</w:t>
      </w:r>
      <w:proofErr w:type="spellEnd"/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HEAD</w:t>
      </w:r>
      <w:r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“ arba lygiavertė  programinė įranga</w:t>
      </w:r>
      <w:r w:rsidR="00106C60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.</w:t>
      </w: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30"/>
        <w:gridCol w:w="5400"/>
        <w:gridCol w:w="5027"/>
      </w:tblGrid>
      <w:tr w:rsidR="00F64B2A" w:rsidRPr="00F64B2A" w14:paraId="5A8FEE91" w14:textId="77777777" w:rsidTr="002F7AF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4623A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Eil.</w:t>
            </w:r>
          </w:p>
          <w:p w14:paraId="7D6919E4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Nr.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34354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Reikalaujama charakteristika</w:t>
            </w:r>
          </w:p>
          <w:p w14:paraId="320ABEF7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ne blogiau kaip arba lygiavertė (pateiktos nuorodos į standartus/ technologijas/ prekės ženklus yra tik rekomendacinio pobūdžio, todėl standartai/ technologijos/ prekės ženklai gali būti pakeisti lygiaverčiais)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4CCE37" w14:textId="77777777" w:rsidR="00F64B2A" w:rsidRPr="00F64B2A" w:rsidRDefault="00F64B2A" w:rsidP="00F6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Prekės pavadinimas, tiekėjo siūlomos tikslios charakteristikos ((</w:t>
            </w:r>
            <w:r w:rsidRPr="00F64B2A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14:ligatures w14:val="none"/>
              </w:rPr>
              <w:t>Užpildo tiekėjas)</w:t>
            </w:r>
          </w:p>
        </w:tc>
      </w:tr>
      <w:tr w:rsidR="00F64B2A" w:rsidRPr="00F64B2A" w14:paraId="62DB7F79" w14:textId="77777777" w:rsidTr="002F7AF2">
        <w:trPr>
          <w:trHeight w:val="9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C021AB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4264E4" w14:textId="77777777" w:rsidR="00BB1DBD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Vaizdų redagavimo programinės įrangos  „Creative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Cloud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for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Enterprise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All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Apps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Education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“ arba lygiavertės įrangos paketo anglų kalba vieno vartotojo licencij</w:t>
            </w:r>
            <w:r w:rsidR="00C340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os palaikymas</w:t>
            </w:r>
          </w:p>
          <w:p w14:paraId="0BD873AB" w14:textId="0BAB009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ne trumpesniam nei 12 mėn. laikotarpiui.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12BC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E0D5ED6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u w:val="single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u w:val="single"/>
                <w14:ligatures w14:val="none"/>
              </w:rPr>
              <w:t>(nurodyti tikslų programinės įrangos licencijos pavadinimą ir prekės kodą)</w:t>
            </w:r>
          </w:p>
          <w:p w14:paraId="31FBF57C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2A05634D" w14:textId="0E7E4230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Licencij</w:t>
            </w:r>
            <w:r w:rsidR="00626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os palaikymas</w:t>
            </w: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64B2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(nurodyti laikotarpį)</w:t>
            </w: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laikotarpiui</w:t>
            </w:r>
          </w:p>
          <w:p w14:paraId="2BBF3EDD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F64B2A" w:rsidRPr="00F64B2A" w14:paraId="0425ACC4" w14:textId="77777777" w:rsidTr="002F7AF2">
        <w:trPr>
          <w:trHeight w:val="31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B620F9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1BA607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Programinės įrangos paketo sudėtyje turi būti:</w:t>
            </w:r>
          </w:p>
          <w:p w14:paraId="6EBD55DF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Photoshop,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Illustrator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, InDesign,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Dreamweaver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Premiere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Pro,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After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Effects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Acrobat Pro arba lygiavertė programinė įranga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4B9D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4B2A" w:rsidRPr="00F64B2A" w14:paraId="09BBF83F" w14:textId="77777777" w:rsidTr="002F7AF2">
        <w:trPr>
          <w:trHeight w:val="31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18FE1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D978D1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Licencijavimo tipas – įrenginiui priskiriama licencija (</w:t>
            </w:r>
            <w:r w:rsidRPr="00F64B2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HED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Shared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4B2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Device</w:t>
            </w:r>
            <w:proofErr w:type="spellEnd"/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A7BE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4B2A" w:rsidRPr="00F64B2A" w14:paraId="7F9B8A4C" w14:textId="77777777" w:rsidTr="002F7AF2">
        <w:trPr>
          <w:trHeight w:val="31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F42A9" w14:textId="77777777" w:rsidR="00F64B2A" w:rsidRPr="00F64B2A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D0298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Licencijų administratorius turi turėti galimybę:</w:t>
            </w:r>
          </w:p>
          <w:p w14:paraId="06F959B6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 priskirti licenciją konkrečiam kompiuteriui;</w:t>
            </w:r>
          </w:p>
          <w:p w14:paraId="26F36273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 licencijos prenumeratos galiojimo laikotarpiui pakeisti priskyrimą konkrečiam kompiuteriui;</w:t>
            </w:r>
          </w:p>
          <w:p w14:paraId="6214AC9E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6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 matyti visas organizacijos licencijas vienoje konsolėje.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173E" w14:textId="77777777" w:rsidR="00F64B2A" w:rsidRPr="00F64B2A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D159194" w14:textId="77777777" w:rsidR="00F64B2A" w:rsidRPr="00F64B2A" w:rsidRDefault="00F64B2A" w:rsidP="00F64B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F64B2A" w:rsidRPr="00F64B2A" w:rsidSect="002F7AF2">
      <w:pgSz w:w="11906" w:h="16838" w:code="9"/>
      <w:pgMar w:top="1701" w:right="284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2A"/>
    <w:rsid w:val="000356D1"/>
    <w:rsid w:val="00071C70"/>
    <w:rsid w:val="000C016F"/>
    <w:rsid w:val="000E0B3E"/>
    <w:rsid w:val="00106C60"/>
    <w:rsid w:val="002B0D8B"/>
    <w:rsid w:val="002D23F8"/>
    <w:rsid w:val="002F7AF2"/>
    <w:rsid w:val="00300942"/>
    <w:rsid w:val="00363469"/>
    <w:rsid w:val="00392E88"/>
    <w:rsid w:val="003D31DF"/>
    <w:rsid w:val="004260AB"/>
    <w:rsid w:val="004823BF"/>
    <w:rsid w:val="004D1808"/>
    <w:rsid w:val="00513328"/>
    <w:rsid w:val="005B1553"/>
    <w:rsid w:val="006269BF"/>
    <w:rsid w:val="00774641"/>
    <w:rsid w:val="007A6735"/>
    <w:rsid w:val="007E49D2"/>
    <w:rsid w:val="008D54D2"/>
    <w:rsid w:val="00917077"/>
    <w:rsid w:val="00BB1DBD"/>
    <w:rsid w:val="00C31238"/>
    <w:rsid w:val="00C340E5"/>
    <w:rsid w:val="00C670DC"/>
    <w:rsid w:val="00CA3C28"/>
    <w:rsid w:val="00CF74BA"/>
    <w:rsid w:val="00D14D49"/>
    <w:rsid w:val="00D4143B"/>
    <w:rsid w:val="00D6277A"/>
    <w:rsid w:val="00E71207"/>
    <w:rsid w:val="00F64B2A"/>
    <w:rsid w:val="00F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AED8"/>
  <w15:chartTrackingRefBased/>
  <w15:docId w15:val="{23792AA6-1988-4E06-8A1F-9B295620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5</cp:revision>
  <dcterms:created xsi:type="dcterms:W3CDTF">2025-05-16T09:45:00Z</dcterms:created>
  <dcterms:modified xsi:type="dcterms:W3CDTF">2025-05-26T12:42:00Z</dcterms:modified>
</cp:coreProperties>
</file>