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14822103" w:rsidR="00C71394" w:rsidRDefault="00E25359">
      <w:r>
        <w:t xml:space="preserve">                                                                                    </w:t>
      </w:r>
    </w:p>
    <w:p w14:paraId="29D53957" w14:textId="2739475C" w:rsidR="000B0E45" w:rsidRPr="00FC0ECC" w:rsidRDefault="00A11DEC">
      <w:r>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45EA481A" w:rsidR="00E566F8" w:rsidRDefault="00E566F8"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45EA481A" w:rsidR="00E566F8" w:rsidRDefault="00E566F8" w:rsidP="00642A9D">
                      <w:pPr>
                        <w:jc w:val="center"/>
                      </w:pPr>
                    </w:p>
                  </w:txbxContent>
                </v:textbox>
              </v:rect>
            </w:pict>
          </mc:Fallback>
        </mc:AlternateContent>
      </w:r>
      <w:r w:rsidR="00B61401" w:rsidRPr="00FC0ECC">
        <w:rPr>
          <w:noProof/>
        </w:rPr>
        <w:drawing>
          <wp:anchor distT="0" distB="0" distL="114300" distR="114300" simplePos="0" relativeHeight="251658240" behindDoc="0" locked="0" layoutInCell="1" allowOverlap="1" wp14:anchorId="30CFF616" wp14:editId="73CD4F5E">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FC0ECC" w:rsidRDefault="002F4A39"/>
    <w:p w14:paraId="12BC615C" w14:textId="53A47819" w:rsidR="002F4A39" w:rsidRPr="00FC0ECC" w:rsidRDefault="002F4A39"/>
    <w:p w14:paraId="5FEFCB6E" w14:textId="77777777" w:rsidR="002F4A39" w:rsidRPr="00FC0ECC" w:rsidRDefault="002F4A39"/>
    <w:p w14:paraId="0D5C1FF8" w14:textId="77777777" w:rsidR="002F4A39" w:rsidRPr="00FC0ECC" w:rsidRDefault="002F4A39"/>
    <w:p w14:paraId="22431AE1" w14:textId="77777777" w:rsidR="002F4A39" w:rsidRPr="00FC0ECC" w:rsidRDefault="002F4A39"/>
    <w:p w14:paraId="036ADC8B" w14:textId="71E3CE96" w:rsidR="002F4A39" w:rsidRPr="00FC0ECC" w:rsidRDefault="002F4A39"/>
    <w:p w14:paraId="359B79D1" w14:textId="4B794B4D" w:rsidR="002F4A39" w:rsidRPr="00FC0ECC" w:rsidRDefault="00022A52">
      <w:r>
        <w:rPr>
          <w:noProof/>
        </w:rPr>
        <mc:AlternateContent>
          <mc:Choice Requires="wps">
            <w:drawing>
              <wp:anchor distT="0" distB="0" distL="114300" distR="114300" simplePos="0" relativeHeight="251662336" behindDoc="0" locked="0" layoutInCell="0" allowOverlap="1" wp14:anchorId="60134C35" wp14:editId="649C0D3D">
                <wp:simplePos x="0" y="0"/>
                <wp:positionH relativeFrom="column">
                  <wp:posOffset>1723390</wp:posOffset>
                </wp:positionH>
                <wp:positionV relativeFrom="paragraph">
                  <wp:posOffset>46990</wp:posOffset>
                </wp:positionV>
                <wp:extent cx="2708910" cy="404495"/>
                <wp:effectExtent l="19050" t="19050" r="34290" b="336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7D3175CF" w14:textId="5B581CE4" w:rsidR="00E566F8" w:rsidRPr="00A04A27" w:rsidRDefault="00E566F8" w:rsidP="00022A52">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35.7pt;margin-top:3.7pt;width:213.3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DtUAIAAIwEAAAOAAAAZHJzL2Uyb0RvYy54bWysVNtu2zAMfR+wfxD0vtpJnbUx4hRdgg4D&#10;um5Auw+gZfmCyaImKbGzrx8lp2m67WmYHwRRlA4PD0mvbsZesb20rkNd8NlFypnUAqtONwX/9nT3&#10;7poz50FXoFDLgh+k4zfrt29Wg8nlHFtUlbSMQLTLB1Pw1nuTJ4kTrezBXaCRmpw12h48mbZJKgsD&#10;ofcqmafp+2RAWxmLQjpHp9vJydcRv66l8F/q2knPVMGJm4+rjWsZ1mS9gryxYNpOHGnAP7DoodMU&#10;9AS1BQ9sZ7s/oPpOWHRY+wuBfYJ13QkZc6BsZulv2Ty2YGTMhcRx5iST+3+w4mH/1bKuKvglZxp6&#10;KtGTHD37gCO7DOoMxuV06dHQNT/SMVU5ZurMPYrvjmnctKAbeWstDq2EitjNwsvk7OmE4wJIOXzG&#10;isLAzmMEGmvbB+lIDEboVKXDqTKBiqDD+VV6vZyRS5AvS7NsuYghIH9+bazzHyX2LGwKbqnyER32&#10;984HNpA/XwnBHKquuuuUisbBbZRle6Amod6qcOBMgfN0WPC7+B2jvXqmNBsKvrhcXi2IGFD31go8&#10;bXtDelal4gxUQ2MhvJ0kexXUNuUp6iZdpNn2b0EC6S24dmIX4x+vKR24y9jkU45kjf6YbhA/6D0p&#10;78dyjFWOlQm+EqsDVcPiNBI0wrRp0f7kbKBxKLj7sQMrSYhPmiq6nGVZmJ9oZIurORn23FOee0AL&#10;gio4iTFtN36auZ2xXdNSpKmHNN5SF9RdLNALq2PvUMvHuh3HM8zUuR1vvfxE1r8AAAD//wMAUEsD&#10;BBQABgAIAAAAIQAWIKQI3wAAAAgBAAAPAAAAZHJzL2Rvd25yZXYueG1sTI9BS8NAEIXvgv9hGcGL&#10;2E1KTWvMphRFRFDEKHjd7o7Z0OxsyG7b6K93POlpeLzHm+9V68n34oBj7AIpyGcZCCQTbEetgve3&#10;+8sViJg0Wd0HQgVfGGFdn55UurThSK94aFIruIRiqRW4lIZSymgceh1nYUBi7zOMXieWYyvtqI9c&#10;7ns5z7JCet0Rf3B6wFuHZtfsvYLdi3u6cM3dZD42D9/Fonu+ejRJqfOzaXMDIuGU/sLwi8/oUDPT&#10;NuzJRtErmC/zBUcVLPmwX1yveNuWdZ6DrCv5f0D9AwAA//8DAFBLAQItABQABgAIAAAAIQC2gziS&#10;/gAAAOEBAAATAAAAAAAAAAAAAAAAAAAAAABbQ29udGVudF9UeXBlc10ueG1sUEsBAi0AFAAGAAgA&#10;AAAhADj9If/WAAAAlAEAAAsAAAAAAAAAAAAAAAAALwEAAF9yZWxzLy5yZWxzUEsBAi0AFAAGAAgA&#10;AAAhAN8rkO1QAgAAjAQAAA4AAAAAAAAAAAAAAAAALgIAAGRycy9lMm9Eb2MueG1sUEsBAi0AFAAG&#10;AAgAAAAhABYgpAjfAAAACAEAAA8AAAAAAAAAAAAAAAAAqgQAAGRycy9kb3ducmV2LnhtbFBLBQYA&#10;AAAABAAEAPMAAAC2BQAAAAA=&#10;" o:allowincell="f" fillcolor="window" strokecolor="#c0504d" strokeweight="4.25pt">
                <v:stroke linestyle="thinThin"/>
                <v:textbox>
                  <w:txbxContent>
                    <w:p w14:paraId="7D3175CF" w14:textId="5B581CE4" w:rsidR="00E566F8" w:rsidRPr="00A04A27" w:rsidRDefault="00E566F8" w:rsidP="00022A52">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14:paraId="289D1F0B" w14:textId="77777777" w:rsidR="002F4A39" w:rsidRPr="00FC0ECC" w:rsidRDefault="002F4A39"/>
    <w:p w14:paraId="2EBCB3DA" w14:textId="445B380E" w:rsidR="002F4A39" w:rsidRPr="00FC0ECC" w:rsidRDefault="002F4A39"/>
    <w:p w14:paraId="184C7748" w14:textId="4FDFE329" w:rsidR="002F4A39" w:rsidRPr="00FC0ECC" w:rsidRDefault="002F4A39" w:rsidP="00642A9D">
      <w:pPr>
        <w:jc w:val="center"/>
      </w:pPr>
    </w:p>
    <w:p w14:paraId="4888CAC4" w14:textId="5B735D40" w:rsidR="002F4A39" w:rsidRPr="00FC0ECC" w:rsidRDefault="002741F1">
      <w:r>
        <w:rPr>
          <w:noProof/>
        </w:rPr>
        <mc:AlternateContent>
          <mc:Choice Requires="wps">
            <w:drawing>
              <wp:anchor distT="0" distB="0" distL="114300" distR="114300" simplePos="0" relativeHeight="251659264" behindDoc="0" locked="0" layoutInCell="0" allowOverlap="1" wp14:anchorId="625D03A5" wp14:editId="537AC9D2">
                <wp:simplePos x="0" y="0"/>
                <wp:positionH relativeFrom="column">
                  <wp:posOffset>-484298</wp:posOffset>
                </wp:positionH>
                <wp:positionV relativeFrom="paragraph">
                  <wp:posOffset>-9821</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E566F8" w:rsidRPr="00CF6FBE" w:rsidRDefault="00E566F8" w:rsidP="00444FFF">
                            <w:pPr>
                              <w:jc w:val="center"/>
                              <w:rPr>
                                <w:color w:val="FFFFFF"/>
                                <w:sz w:val="48"/>
                                <w:szCs w:val="48"/>
                              </w:rPr>
                            </w:pPr>
                            <w:r w:rsidRPr="00CF6FBE">
                              <w:rPr>
                                <w:color w:val="FFFFFF"/>
                                <w:sz w:val="48"/>
                                <w:szCs w:val="48"/>
                              </w:rPr>
                              <w:t xml:space="preserve">EESSI </w:t>
                            </w:r>
                            <w:r w:rsidRPr="00CF6FBE">
                              <w:rPr>
                                <w:sz w:val="48"/>
                                <w:szCs w:val="48"/>
                              </w:rPr>
                              <w:fldChar w:fldCharType="begin"/>
                            </w:r>
                            <w:r w:rsidRPr="00CF6FBE">
                              <w:rPr>
                                <w:sz w:val="48"/>
                                <w:szCs w:val="48"/>
                              </w:rPr>
                              <w:instrText xml:space="preserve"> TITLE   \* MERGEFORMAT </w:instrText>
                            </w:r>
                            <w:r w:rsidRPr="00CF6FBE">
                              <w:rPr>
                                <w:sz w:val="48"/>
                                <w:szCs w:val="48"/>
                              </w:rPr>
                              <w:fldChar w:fldCharType="separate"/>
                            </w:r>
                            <w:r w:rsidRPr="00CF6FBE">
                              <w:rPr>
                                <w:color w:val="FFFFFF"/>
                                <w:sz w:val="48"/>
                                <w:szCs w:val="48"/>
                              </w:rPr>
                              <w:t>Business Use Case</w:t>
                            </w:r>
                            <w:r w:rsidRPr="00CF6FBE">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38.15pt;margin-top:-.75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0o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xFZYCvmtawf&#10;QcFKgsBAizD3YNFK9R2jEWZIjvW3LVUMo+69gFeQhoTYoeM2JJ5HsFHnlvW5hYoKoHJsMJqWSzMN&#10;qu2g+KaFSNO7E/IGXk7Dnaifsjq8N5gTjtthptlBdL53Xk+Td/ELAAD//wMAUEsDBBQABgAIAAAA&#10;IQCpqJCB3gAAAAoBAAAPAAAAZHJzL2Rvd25yZXYueG1sTI9NT8MwDIbvSPyHyEjctmSDdltpOiEQ&#10;VxD7krhljddWa5yqydby7zEnuNnyo9fPm69H14or9qHxpGE2VSCQSm8bqjTstm+TJYgQDVnTekIN&#10;3xhgXdze5CazfqBPvG5iJTiEQmY01DF2mZShrNGZMPUdEt9Ovncm8tpX0vZm4HDXyrlSqXSmIf5Q&#10;mw5faizPm4vTsH8/fR0e1Uf16pJu8KOS5FZS6/u78fkJRMQx/sHwq8/qULDT0V/IBtFqmCzSB0Z5&#10;mCUgGFgtkwWII5MqTUAWufxfofgBAAD//wMAUEsBAi0AFAAGAAgAAAAhALaDOJL+AAAA4QEAABMA&#10;AAAAAAAAAAAAAAAAAAAAAFtDb250ZW50X1R5cGVzXS54bWxQSwECLQAUAAYACAAAACEAOP0h/9YA&#10;AACUAQAACwAAAAAAAAAAAAAAAAAvAQAAX3JlbHMvLnJlbHNQSwECLQAUAAYACAAAACEAYLjtKLkC&#10;AADBBQAADgAAAAAAAAAAAAAAAAAuAgAAZHJzL2Uyb0RvYy54bWxQSwECLQAUAAYACAAAACEAqaiQ&#10;gd4AAAAKAQAADwAAAAAAAAAAAAAAAAATBQAAZHJzL2Rvd25yZXYueG1sUEsFBgAAAAAEAAQA8wAA&#10;AB4GAAAAAA==&#10;" o:allowincell="f" filled="f" stroked="f">
                <v:textbox>
                  <w:txbxContent>
                    <w:p w14:paraId="0725567B" w14:textId="77777777" w:rsidR="00E566F8" w:rsidRPr="00CF6FBE" w:rsidRDefault="00E566F8" w:rsidP="00444FFF">
                      <w:pPr>
                        <w:jc w:val="center"/>
                        <w:rPr>
                          <w:color w:val="FFFFFF"/>
                          <w:sz w:val="48"/>
                          <w:szCs w:val="48"/>
                        </w:rPr>
                      </w:pPr>
                      <w:r w:rsidRPr="00CF6FBE">
                        <w:rPr>
                          <w:color w:val="FFFFFF"/>
                          <w:sz w:val="48"/>
                          <w:szCs w:val="48"/>
                        </w:rPr>
                        <w:t xml:space="preserve">EESSI </w:t>
                      </w:r>
                      <w:r w:rsidRPr="00CF6FBE">
                        <w:rPr>
                          <w:sz w:val="48"/>
                          <w:szCs w:val="48"/>
                        </w:rPr>
                        <w:fldChar w:fldCharType="begin"/>
                      </w:r>
                      <w:r w:rsidRPr="00CF6FBE">
                        <w:rPr>
                          <w:sz w:val="48"/>
                          <w:szCs w:val="48"/>
                        </w:rPr>
                        <w:instrText xml:space="preserve"> TITLE   \* MERGEFORMAT </w:instrText>
                      </w:r>
                      <w:r w:rsidRPr="00CF6FBE">
                        <w:rPr>
                          <w:sz w:val="48"/>
                          <w:szCs w:val="48"/>
                        </w:rPr>
                        <w:fldChar w:fldCharType="separate"/>
                      </w:r>
                      <w:r w:rsidRPr="00CF6FBE">
                        <w:rPr>
                          <w:color w:val="FFFFFF"/>
                          <w:sz w:val="48"/>
                          <w:szCs w:val="48"/>
                        </w:rPr>
                        <w:t>Business Use Case</w:t>
                      </w:r>
                      <w:r w:rsidRPr="00CF6FBE">
                        <w:rPr>
                          <w:color w:val="FFFFFF"/>
                          <w:sz w:val="48"/>
                          <w:szCs w:val="48"/>
                        </w:rPr>
                        <w:fldChar w:fldCharType="end"/>
                      </w:r>
                    </w:p>
                  </w:txbxContent>
                </v:textbox>
              </v:shape>
            </w:pict>
          </mc:Fallback>
        </mc:AlternateContent>
      </w:r>
    </w:p>
    <w:p w14:paraId="42D7913A" w14:textId="0470E52B" w:rsidR="00BE75BE" w:rsidRPr="00FC0ECC" w:rsidRDefault="003A105B">
      <w:r w:rsidRPr="00FC0ECC">
        <w:rPr>
          <w:noProof/>
        </w:rPr>
        <w:drawing>
          <wp:anchor distT="0" distB="0" distL="114300" distR="114300" simplePos="0" relativeHeight="251656192" behindDoc="1" locked="0" layoutInCell="1" allowOverlap="1" wp14:anchorId="389FB462" wp14:editId="6AB60E9D">
            <wp:simplePos x="0" y="0"/>
            <wp:positionH relativeFrom="margin">
              <wp:posOffset>-1080770</wp:posOffset>
            </wp:positionH>
            <wp:positionV relativeFrom="margin">
              <wp:posOffset>2446979</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62EB379C" w14:textId="6C4370E1" w:rsidR="00B41BBD" w:rsidRPr="00FC0ECC" w:rsidRDefault="00B41BBD"/>
    <w:p w14:paraId="74C137D5" w14:textId="77777777" w:rsidR="00B41BBD" w:rsidRPr="00FC0ECC" w:rsidRDefault="00B41BBD"/>
    <w:p w14:paraId="3387D041" w14:textId="1BCF8D6A" w:rsidR="00B41BBD" w:rsidRPr="00FC0ECC" w:rsidRDefault="00B41BBD"/>
    <w:p w14:paraId="7C4D1A69" w14:textId="77777777" w:rsidR="00B41BBD" w:rsidRPr="00FC0ECC" w:rsidRDefault="00B41BBD"/>
    <w:p w14:paraId="34FB3551" w14:textId="77777777" w:rsidR="00B41BBD" w:rsidRPr="00FC0ECC" w:rsidRDefault="00B008B1">
      <w:r>
        <w:rPr>
          <w:noProof/>
        </w:rPr>
        <mc:AlternateContent>
          <mc:Choice Requires="wps">
            <w:drawing>
              <wp:anchor distT="0" distB="0" distL="114300" distR="114300" simplePos="0" relativeHeight="251660288" behindDoc="0" locked="0" layoutInCell="0" allowOverlap="1" wp14:anchorId="692F1695" wp14:editId="56FB6694">
                <wp:simplePos x="0" y="0"/>
                <wp:positionH relativeFrom="column">
                  <wp:posOffset>1051486</wp:posOffset>
                </wp:positionH>
                <wp:positionV relativeFrom="paragraph">
                  <wp:posOffset>73586</wp:posOffset>
                </wp:positionV>
                <wp:extent cx="3816626" cy="2701636"/>
                <wp:effectExtent l="0" t="0" r="0" b="381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2701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2027B" w14:textId="77777777" w:rsidR="00E566F8" w:rsidRDefault="00E566F8" w:rsidP="00CF6FBE">
                            <w:pPr>
                              <w:jc w:val="center"/>
                              <w:rPr>
                                <w:i/>
                                <w:color w:val="FFFFFF" w:themeColor="background1"/>
                                <w:sz w:val="36"/>
                                <w:szCs w:val="36"/>
                                <w:lang w:val="en-US"/>
                              </w:rPr>
                            </w:pPr>
                            <w:r w:rsidRPr="00692A1F">
                              <w:rPr>
                                <w:i/>
                                <w:color w:val="FFFFFF" w:themeColor="background1"/>
                                <w:sz w:val="36"/>
                                <w:szCs w:val="36"/>
                                <w:lang w:val="en-US"/>
                              </w:rPr>
                              <w:fldChar w:fldCharType="begin"/>
                            </w:r>
                            <w:r w:rsidRPr="00692A1F">
                              <w:rPr>
                                <w:i/>
                                <w:color w:val="FFFFFF" w:themeColor="background1"/>
                                <w:sz w:val="36"/>
                                <w:szCs w:val="36"/>
                                <w:lang w:val="en-US"/>
                              </w:rPr>
                              <w:instrText xml:space="preserve"> TITLE   \* MERGEFORMAT </w:instrText>
                            </w:r>
                            <w:r w:rsidRPr="00692A1F">
                              <w:rPr>
                                <w:i/>
                                <w:color w:val="FFFFFF" w:themeColor="background1"/>
                                <w:sz w:val="36"/>
                                <w:szCs w:val="36"/>
                                <w:lang w:val="en-US"/>
                              </w:rPr>
                              <w:fldChar w:fldCharType="separate"/>
                            </w:r>
                            <w:r>
                              <w:rPr>
                                <w:i/>
                                <w:color w:val="FFFFFF" w:themeColor="background1"/>
                                <w:sz w:val="36"/>
                                <w:szCs w:val="36"/>
                                <w:lang w:val="en-US"/>
                              </w:rPr>
                              <w:t>AW_BUC_10b</w:t>
                            </w:r>
                          </w:p>
                          <w:p w14:paraId="269767D1" w14:textId="6DCD39B1" w:rsidR="00E566F8" w:rsidRPr="00692A1F" w:rsidRDefault="00E566F8" w:rsidP="00CF6FBE">
                            <w:pPr>
                              <w:jc w:val="center"/>
                              <w:rPr>
                                <w:i/>
                                <w:color w:val="FFFFFF" w:themeColor="background1"/>
                                <w:sz w:val="36"/>
                                <w:szCs w:val="36"/>
                                <w:lang w:val="en-US"/>
                              </w:rPr>
                            </w:pPr>
                            <w:r>
                              <w:rPr>
                                <w:i/>
                                <w:color w:val="FFFFFF" w:themeColor="background1"/>
                                <w:sz w:val="36"/>
                                <w:szCs w:val="36"/>
                                <w:lang w:val="en-US"/>
                              </w:rPr>
                              <w:t>Advance payments in the event of an appeal against rejection of benefits due to occupational disease</w:t>
                            </w:r>
                            <w:r w:rsidRPr="00692A1F">
                              <w:rPr>
                                <w:i/>
                                <w:color w:val="FFFFFF" w:themeColor="background1"/>
                                <w:sz w:val="36"/>
                                <w:szCs w:val="36"/>
                                <w:lang w:val="en-US"/>
                              </w:rPr>
                              <w:fldChar w:fldCharType="end"/>
                            </w:r>
                          </w:p>
                          <w:p w14:paraId="78B8454B" w14:textId="564EC2E3" w:rsidR="00E566F8" w:rsidRDefault="00E566F8" w:rsidP="005A5960">
                            <w:pPr>
                              <w:jc w:val="left"/>
                              <w:rPr>
                                <w:rFonts w:asciiTheme="minorHAnsi" w:hAnsiTheme="minorHAnsi"/>
                                <w:i/>
                                <w:color w:val="FFFFFF" w:themeColor="background1"/>
                                <w:sz w:val="36"/>
                                <w:szCs w:val="36"/>
                                <w:lang w:val="en-US"/>
                              </w:rPr>
                            </w:pPr>
                          </w:p>
                          <w:p w14:paraId="0C707BD6" w14:textId="090174FF" w:rsidR="00E566F8" w:rsidRPr="00A11DEC" w:rsidRDefault="00E566F8" w:rsidP="005A5960">
                            <w:pPr>
                              <w:jc w:val="left"/>
                              <w:rPr>
                                <w:rFonts w:asciiTheme="minorHAnsi" w:hAnsiTheme="minorHAnsi"/>
                                <w:i/>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8pt;margin-top:5.8pt;width:300.5pt;height:2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GSvAIAAMIFAAAOAAAAZHJzL2Uyb0RvYy54bWysVNtunDAQfa/Uf7D8TrgsywIKGyXLUlVK&#10;L1LSD/CCWayCTW3vQhr13zs2e0vyUrXlAdke+8yZmTNzfTN2LdpTqZjgGfavPIwoL0XF+DbD3x4L&#10;J8ZIacIr0gpOM/xEFb5Zvn93PfQpDUQj2opKBCBcpUOf4UbrPnVdVTa0I+pK9JSDsRayIxq2cutW&#10;kgyA3rVu4HmROwhZ9VKUVCk4zScjXlr8uqal/lLXimrUZhi4afuX9r8xf3d5TdKtJH3DygMN8hcs&#10;OsI4OD1B5UQTtJPsDVTHSimUqPVVKTpX1DUrqY0BovG9V9E8NKSnNhZIjupPaVL/D7b8vP8qEasy&#10;HGHESQcleqSjRndiREFk0jP0KoVbDz3c0yOcQ5ltqKq/F+V3hbhYNYRv6a2UYmgoqYCeb166F08n&#10;HGVANsMnUYEfstPCAo217EzuIBsI0KFMT6fSGC4lHM5iP4qAECrBFiw8P5pZdi5Jj897qfQHKjpk&#10;FhmWUHsLT/b3Shs6JD1eMd64KFjb2vq3/MUBXJxOwDk8NTZDw5bzOfGSdbyOQycMorUTennu3Bar&#10;0IkKfzHPZ/lqlfu/jF8/TBtWVZQbN0dp+eGfle4g8kkUJ3Ep0bLKwBlKSm43q1aiPQFpF/azSQfL&#10;+Zr7koZNAsTyKiQ/CL27IHGKKF44YRHOnWThxY7nJ3dJ5IVJmBcvQ7pnnP57SGjIcDIP5pOazqRf&#10;xebZ721sJO2YhuHRsi7D8ekSSY0G17yypdWEtdP6IhWG/jkVUO5joa1ijUgnuepxM9remB0bYSOq&#10;J5CwFCAw0CkMPlg0Qv7EaIAhkmH1Y0ckxaj9yKENEj8MzdSxm3C+CGAjLy2bSwvhJUBlWGM0LVd6&#10;mlS7XrJtA56mxuPiFlqnZlbUpscmVoeGg0FhYzsMNTOJLvf21nn0Ln8DAAD//wMAUEsDBBQABgAI&#10;AAAAIQDkxAzs3QAAAAoBAAAPAAAAZHJzL2Rvd25yZXYueG1sTI/NTsMwEITvSH0Haytxo3agdWka&#10;p0IgriDKj8TNjbdJRLyOYrcJb89ygtPOaEez3xa7yXfijENsAxnIFgoEUhVcS7WBt9fHq1sQMVly&#10;tguEBr4xwq6cXRQ2d2GkFzzvUy24hGJuDTQp9bmUsWrQ27gIPRLvjmHwNrEdaukGO3K57+S1Ulp6&#10;2xJfaGyP9w1WX/uTN/D+dPz8WKrn+sGv+jFMSpLfSGMu59PdFkTCKf2F4Ref0aFkpkM4kYuiY69X&#10;mqMsMp4cWGvN4mBgebPOQJaF/P9C+QMAAP//AwBQSwECLQAUAAYACAAAACEAtoM4kv4AAADhAQAA&#10;EwAAAAAAAAAAAAAAAAAAAAAAW0NvbnRlbnRfVHlwZXNdLnhtbFBLAQItABQABgAIAAAAIQA4/SH/&#10;1gAAAJQBAAALAAAAAAAAAAAAAAAAAC8BAABfcmVscy8ucmVsc1BLAQItABQABgAIAAAAIQAgZ7GS&#10;vAIAAMIFAAAOAAAAAAAAAAAAAAAAAC4CAABkcnMvZTJvRG9jLnhtbFBLAQItABQABgAIAAAAIQDk&#10;xAzs3QAAAAoBAAAPAAAAAAAAAAAAAAAAABYFAABkcnMvZG93bnJldi54bWxQSwUGAAAAAAQABADz&#10;AAAAIAYAAAAA&#10;" o:allowincell="f" filled="f" stroked="f">
                <v:textbox>
                  <w:txbxContent>
                    <w:p w14:paraId="55A2027B" w14:textId="77777777" w:rsidR="00E566F8" w:rsidRDefault="00E566F8" w:rsidP="00CF6FBE">
                      <w:pPr>
                        <w:jc w:val="center"/>
                        <w:rPr>
                          <w:i/>
                          <w:color w:val="FFFFFF" w:themeColor="background1"/>
                          <w:sz w:val="36"/>
                          <w:szCs w:val="36"/>
                          <w:lang w:val="en-US"/>
                        </w:rPr>
                      </w:pPr>
                      <w:r w:rsidRPr="00692A1F">
                        <w:rPr>
                          <w:i/>
                          <w:color w:val="FFFFFF" w:themeColor="background1"/>
                          <w:sz w:val="36"/>
                          <w:szCs w:val="36"/>
                          <w:lang w:val="en-US"/>
                        </w:rPr>
                        <w:fldChar w:fldCharType="begin"/>
                      </w:r>
                      <w:r w:rsidRPr="00692A1F">
                        <w:rPr>
                          <w:i/>
                          <w:color w:val="FFFFFF" w:themeColor="background1"/>
                          <w:sz w:val="36"/>
                          <w:szCs w:val="36"/>
                          <w:lang w:val="en-US"/>
                        </w:rPr>
                        <w:instrText xml:space="preserve"> TITLE   \* MERGEFORMAT </w:instrText>
                      </w:r>
                      <w:r w:rsidRPr="00692A1F">
                        <w:rPr>
                          <w:i/>
                          <w:color w:val="FFFFFF" w:themeColor="background1"/>
                          <w:sz w:val="36"/>
                          <w:szCs w:val="36"/>
                          <w:lang w:val="en-US"/>
                        </w:rPr>
                        <w:fldChar w:fldCharType="separate"/>
                      </w:r>
                      <w:r>
                        <w:rPr>
                          <w:i/>
                          <w:color w:val="FFFFFF" w:themeColor="background1"/>
                          <w:sz w:val="36"/>
                          <w:szCs w:val="36"/>
                          <w:lang w:val="en-US"/>
                        </w:rPr>
                        <w:t>AW_BUC_10b</w:t>
                      </w:r>
                    </w:p>
                    <w:p w14:paraId="269767D1" w14:textId="6DCD39B1" w:rsidR="00E566F8" w:rsidRPr="00692A1F" w:rsidRDefault="00E566F8" w:rsidP="00CF6FBE">
                      <w:pPr>
                        <w:jc w:val="center"/>
                        <w:rPr>
                          <w:i/>
                          <w:color w:val="FFFFFF" w:themeColor="background1"/>
                          <w:sz w:val="36"/>
                          <w:szCs w:val="36"/>
                          <w:lang w:val="en-US"/>
                        </w:rPr>
                      </w:pPr>
                      <w:r>
                        <w:rPr>
                          <w:i/>
                          <w:color w:val="FFFFFF" w:themeColor="background1"/>
                          <w:sz w:val="36"/>
                          <w:szCs w:val="36"/>
                          <w:lang w:val="en-US"/>
                        </w:rPr>
                        <w:t>Advance payments in the event of an appeal against rejection of benefits due to occupational disease</w:t>
                      </w:r>
                      <w:r w:rsidRPr="00692A1F">
                        <w:rPr>
                          <w:i/>
                          <w:color w:val="FFFFFF" w:themeColor="background1"/>
                          <w:sz w:val="36"/>
                          <w:szCs w:val="36"/>
                          <w:lang w:val="en-US"/>
                        </w:rPr>
                        <w:fldChar w:fldCharType="end"/>
                      </w:r>
                    </w:p>
                    <w:p w14:paraId="78B8454B" w14:textId="564EC2E3" w:rsidR="00E566F8" w:rsidRDefault="00E566F8" w:rsidP="005A5960">
                      <w:pPr>
                        <w:jc w:val="left"/>
                        <w:rPr>
                          <w:rFonts w:asciiTheme="minorHAnsi" w:hAnsiTheme="minorHAnsi"/>
                          <w:i/>
                          <w:color w:val="FFFFFF" w:themeColor="background1"/>
                          <w:sz w:val="36"/>
                          <w:szCs w:val="36"/>
                          <w:lang w:val="en-US"/>
                        </w:rPr>
                      </w:pPr>
                    </w:p>
                    <w:p w14:paraId="0C707BD6" w14:textId="090174FF" w:rsidR="00E566F8" w:rsidRPr="00A11DEC" w:rsidRDefault="00E566F8" w:rsidP="005A5960">
                      <w:pPr>
                        <w:jc w:val="left"/>
                        <w:rPr>
                          <w:rFonts w:asciiTheme="minorHAnsi" w:hAnsiTheme="minorHAnsi"/>
                          <w:i/>
                          <w:color w:val="FFFFFF" w:themeColor="background1"/>
                          <w:sz w:val="36"/>
                          <w:szCs w:val="36"/>
                        </w:rPr>
                      </w:pPr>
                    </w:p>
                  </w:txbxContent>
                </v:textbox>
              </v:shape>
            </w:pict>
          </mc:Fallback>
        </mc:AlternateContent>
      </w:r>
    </w:p>
    <w:p w14:paraId="243931FB" w14:textId="77777777" w:rsidR="00B41BBD" w:rsidRPr="00FC0ECC" w:rsidRDefault="00B41BBD"/>
    <w:p w14:paraId="413F1D96" w14:textId="77777777" w:rsidR="00B41BBD" w:rsidRPr="00FC0ECC" w:rsidRDefault="00B41BBD"/>
    <w:p w14:paraId="2D5ECE32" w14:textId="77777777" w:rsidR="00B41BBD" w:rsidRPr="00FC0ECC" w:rsidRDefault="00B41BBD"/>
    <w:p w14:paraId="291931AD" w14:textId="77777777" w:rsidR="00B41BBD" w:rsidRPr="00FC0ECC" w:rsidRDefault="00B41BBD"/>
    <w:p w14:paraId="469387B3" w14:textId="77777777" w:rsidR="00B41BBD" w:rsidRPr="00FC0ECC" w:rsidRDefault="00B41BBD"/>
    <w:p w14:paraId="24C9AD4E" w14:textId="77777777" w:rsidR="00B41BBD" w:rsidRPr="00FC0ECC" w:rsidRDefault="00B41BBD"/>
    <w:p w14:paraId="680A438E" w14:textId="77777777" w:rsidR="00B41BBD" w:rsidRPr="00FC0ECC" w:rsidRDefault="00B41BBD"/>
    <w:p w14:paraId="6CCE7D98" w14:textId="77777777" w:rsidR="00B41BBD" w:rsidRPr="00FC0ECC" w:rsidRDefault="00B41BBD"/>
    <w:p w14:paraId="48B51659" w14:textId="77777777" w:rsidR="00B41BBD" w:rsidRPr="00FC0ECC" w:rsidRDefault="00B41BBD"/>
    <w:p w14:paraId="66271DFC" w14:textId="77777777" w:rsidR="00B41BBD" w:rsidRPr="00FC0ECC" w:rsidRDefault="00B41BBD"/>
    <w:p w14:paraId="05B63B98" w14:textId="77777777" w:rsidR="00B41BBD" w:rsidRPr="00FC0ECC" w:rsidRDefault="00B41BBD"/>
    <w:p w14:paraId="3B18F10A" w14:textId="6FDF444F" w:rsidR="00B41BBD" w:rsidRPr="00FC0ECC" w:rsidRDefault="00B41BBD"/>
    <w:p w14:paraId="46E3D6A9" w14:textId="77777777" w:rsidR="00B41BBD" w:rsidRPr="00FC0ECC" w:rsidRDefault="00B41BBD"/>
    <w:p w14:paraId="2DAEFCEB" w14:textId="77777777" w:rsidR="00B41BBD" w:rsidRPr="00FC0ECC" w:rsidRDefault="00B41BBD"/>
    <w:p w14:paraId="2D298FF3" w14:textId="77777777" w:rsidR="00B41BBD" w:rsidRPr="00FC0ECC" w:rsidRDefault="00B41BBD"/>
    <w:p w14:paraId="2E84292E" w14:textId="77777777" w:rsidR="00B41BBD" w:rsidRPr="00FC0ECC" w:rsidRDefault="00B41BBD"/>
    <w:p w14:paraId="1F2CA3A1" w14:textId="77777777" w:rsidR="00B41BBD" w:rsidRPr="00FC0ECC" w:rsidRDefault="00B41BBD"/>
    <w:p w14:paraId="0E8E09C5" w14:textId="77777777" w:rsidR="004D5591" w:rsidRPr="00FC0ECC" w:rsidRDefault="004D5591"/>
    <w:p w14:paraId="7A197978" w14:textId="77777777" w:rsidR="004D5591" w:rsidRPr="00FC0ECC" w:rsidRDefault="004D5591"/>
    <w:p w14:paraId="3E55E58F" w14:textId="77777777" w:rsidR="004D5591" w:rsidRPr="00FC0ECC" w:rsidRDefault="004D5591"/>
    <w:p w14:paraId="00546742" w14:textId="76315637" w:rsidR="004D5591" w:rsidRPr="00FC0ECC" w:rsidRDefault="004D5591"/>
    <w:p w14:paraId="410A0D51" w14:textId="604DC684" w:rsidR="004D5591" w:rsidRPr="00FC0ECC" w:rsidRDefault="00692A1F">
      <w:r>
        <w:rPr>
          <w:noProof/>
        </w:rPr>
        <w:drawing>
          <wp:inline distT="0" distB="0" distL="0" distR="0" wp14:anchorId="22C59EA1" wp14:editId="126356D1">
            <wp:extent cx="1752600"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39ADBB10" w14:textId="77777777" w:rsidR="004D5591" w:rsidRPr="00FC0ECC" w:rsidRDefault="004D5591"/>
    <w:p w14:paraId="58EE267C" w14:textId="77777777" w:rsidR="004D5591" w:rsidRPr="00FC0ECC" w:rsidRDefault="004D5591"/>
    <w:p w14:paraId="43473C70" w14:textId="77777777" w:rsidR="004D5591" w:rsidRPr="00FC0ECC" w:rsidRDefault="004D5591"/>
    <w:p w14:paraId="1EE662EA" w14:textId="77777777" w:rsidR="004D5591" w:rsidRPr="00FC0ECC" w:rsidRDefault="004D5591"/>
    <w:p w14:paraId="076D76C4" w14:textId="77777777" w:rsidR="004D5591" w:rsidRPr="00FC0ECC" w:rsidRDefault="004D5591"/>
    <w:p w14:paraId="0D71E2D2" w14:textId="77777777" w:rsidR="004D5591" w:rsidRPr="00FC0ECC" w:rsidRDefault="004D5591"/>
    <w:p w14:paraId="65174CCE" w14:textId="6B568743" w:rsidR="004D5591" w:rsidRPr="00FC0ECC" w:rsidRDefault="00692A1F">
      <w:r w:rsidRPr="00FC0ECC">
        <w:rPr>
          <w:noProof/>
        </w:rPr>
        <w:drawing>
          <wp:anchor distT="0" distB="0" distL="114300" distR="114300" simplePos="0" relativeHeight="251657216" behindDoc="0" locked="0" layoutInCell="1" allowOverlap="1" wp14:anchorId="787ADA19" wp14:editId="7190104B">
            <wp:simplePos x="0" y="0"/>
            <wp:positionH relativeFrom="column">
              <wp:posOffset>2276475</wp:posOffset>
            </wp:positionH>
            <wp:positionV relativeFrom="paragraph">
              <wp:posOffset>621030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77777777" w:rsidR="00B41BBD" w:rsidRPr="00FC0ECC" w:rsidRDefault="00D2200F" w:rsidP="007136F4">
      <w:pPr>
        <w:pStyle w:val="Heading1"/>
        <w:numPr>
          <w:ilvl w:val="0"/>
          <w:numId w:val="0"/>
        </w:numPr>
        <w:ind w:left="432" w:hanging="432"/>
      </w:pPr>
      <w:bookmarkStart w:id="0" w:name="_Toc522797854"/>
      <w:r w:rsidRPr="00FC0ECC">
        <w:lastRenderedPageBreak/>
        <w:t>Table of Contents</w:t>
      </w:r>
      <w:bookmarkEnd w:id="0"/>
    </w:p>
    <w:p w14:paraId="75D7A7AC" w14:textId="6CAC384C" w:rsidR="00004C80" w:rsidRDefault="00FB1899">
      <w:pPr>
        <w:pStyle w:val="TOC1"/>
        <w:tabs>
          <w:tab w:val="right" w:leader="dot" w:pos="8777"/>
        </w:tabs>
        <w:rPr>
          <w:rFonts w:asciiTheme="minorHAnsi" w:eastAsiaTheme="minorEastAsia" w:hAnsiTheme="minorHAnsi" w:cstheme="minorBidi"/>
          <w:noProof/>
          <w:color w:val="auto"/>
          <w:sz w:val="22"/>
          <w:szCs w:val="22"/>
        </w:rPr>
      </w:pPr>
      <w:r>
        <w:t>eeeee</w:t>
      </w:r>
      <w:r w:rsidR="007B4427" w:rsidRPr="00FC0ECC">
        <w:fldChar w:fldCharType="begin"/>
      </w:r>
      <w:r w:rsidR="00D2200F" w:rsidRPr="00FC0ECC">
        <w:instrText xml:space="preserve"> TOC \o "1-3" \h \z \u </w:instrText>
      </w:r>
      <w:r w:rsidR="007B4427" w:rsidRPr="00FC0ECC">
        <w:fldChar w:fldCharType="separate"/>
      </w:r>
      <w:hyperlink w:anchor="_Toc522797854" w:history="1">
        <w:r w:rsidR="00004C80" w:rsidRPr="00E317FC">
          <w:rPr>
            <w:rStyle w:val="Hyperlink"/>
            <w:noProof/>
          </w:rPr>
          <w:t>Table of Contents</w:t>
        </w:r>
        <w:r w:rsidR="00004C80">
          <w:rPr>
            <w:noProof/>
            <w:webHidden/>
          </w:rPr>
          <w:tab/>
        </w:r>
        <w:r w:rsidR="00004C80">
          <w:rPr>
            <w:noProof/>
            <w:webHidden/>
          </w:rPr>
          <w:fldChar w:fldCharType="begin"/>
        </w:r>
        <w:r w:rsidR="00004C80">
          <w:rPr>
            <w:noProof/>
            <w:webHidden/>
          </w:rPr>
          <w:instrText xml:space="preserve"> PAGEREF _Toc522797854 \h </w:instrText>
        </w:r>
        <w:r w:rsidR="00004C80">
          <w:rPr>
            <w:noProof/>
            <w:webHidden/>
          </w:rPr>
        </w:r>
        <w:r w:rsidR="00004C80">
          <w:rPr>
            <w:noProof/>
            <w:webHidden/>
          </w:rPr>
          <w:fldChar w:fldCharType="separate"/>
        </w:r>
        <w:r w:rsidR="00004C80">
          <w:rPr>
            <w:noProof/>
            <w:webHidden/>
          </w:rPr>
          <w:t>2</w:t>
        </w:r>
        <w:r w:rsidR="00004C80">
          <w:rPr>
            <w:noProof/>
            <w:webHidden/>
          </w:rPr>
          <w:fldChar w:fldCharType="end"/>
        </w:r>
      </w:hyperlink>
    </w:p>
    <w:p w14:paraId="6D4866D2" w14:textId="77777777" w:rsidR="00004C80" w:rsidRDefault="00E566F8">
      <w:pPr>
        <w:pStyle w:val="TOC1"/>
        <w:tabs>
          <w:tab w:val="right" w:leader="dot" w:pos="8777"/>
        </w:tabs>
        <w:rPr>
          <w:rFonts w:asciiTheme="minorHAnsi" w:eastAsiaTheme="minorEastAsia" w:hAnsiTheme="minorHAnsi" w:cstheme="minorBidi"/>
          <w:noProof/>
          <w:color w:val="auto"/>
          <w:sz w:val="22"/>
          <w:szCs w:val="22"/>
        </w:rPr>
      </w:pPr>
      <w:hyperlink w:anchor="_Toc522797855" w:history="1">
        <w:r w:rsidR="00004C80" w:rsidRPr="00E317FC">
          <w:rPr>
            <w:rStyle w:val="Hyperlink"/>
            <w:noProof/>
          </w:rPr>
          <w:t>1. Introduction</w:t>
        </w:r>
        <w:r w:rsidR="00004C80">
          <w:rPr>
            <w:noProof/>
            <w:webHidden/>
          </w:rPr>
          <w:tab/>
        </w:r>
        <w:r w:rsidR="00004C80">
          <w:rPr>
            <w:noProof/>
            <w:webHidden/>
          </w:rPr>
          <w:fldChar w:fldCharType="begin"/>
        </w:r>
        <w:r w:rsidR="00004C80">
          <w:rPr>
            <w:noProof/>
            <w:webHidden/>
          </w:rPr>
          <w:instrText xml:space="preserve"> PAGEREF _Toc522797855 \h </w:instrText>
        </w:r>
        <w:r w:rsidR="00004C80">
          <w:rPr>
            <w:noProof/>
            <w:webHidden/>
          </w:rPr>
        </w:r>
        <w:r w:rsidR="00004C80">
          <w:rPr>
            <w:noProof/>
            <w:webHidden/>
          </w:rPr>
          <w:fldChar w:fldCharType="separate"/>
        </w:r>
        <w:r w:rsidR="00004C80">
          <w:rPr>
            <w:noProof/>
            <w:webHidden/>
          </w:rPr>
          <w:t>7</w:t>
        </w:r>
        <w:r w:rsidR="00004C80">
          <w:rPr>
            <w:noProof/>
            <w:webHidden/>
          </w:rPr>
          <w:fldChar w:fldCharType="end"/>
        </w:r>
      </w:hyperlink>
    </w:p>
    <w:p w14:paraId="0D9D715D"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56" w:history="1">
        <w:r w:rsidR="00004C80" w:rsidRPr="00E317FC">
          <w:rPr>
            <w:rStyle w:val="Hyperlink"/>
            <w:noProof/>
          </w:rPr>
          <w:t>1.1. Purpose</w:t>
        </w:r>
        <w:r w:rsidR="00004C80">
          <w:rPr>
            <w:noProof/>
            <w:webHidden/>
          </w:rPr>
          <w:tab/>
        </w:r>
        <w:r w:rsidR="00004C80">
          <w:rPr>
            <w:noProof/>
            <w:webHidden/>
          </w:rPr>
          <w:fldChar w:fldCharType="begin"/>
        </w:r>
        <w:r w:rsidR="00004C80">
          <w:rPr>
            <w:noProof/>
            <w:webHidden/>
          </w:rPr>
          <w:instrText xml:space="preserve"> PAGEREF _Toc522797856 \h </w:instrText>
        </w:r>
        <w:r w:rsidR="00004C80">
          <w:rPr>
            <w:noProof/>
            <w:webHidden/>
          </w:rPr>
        </w:r>
        <w:r w:rsidR="00004C80">
          <w:rPr>
            <w:noProof/>
            <w:webHidden/>
          </w:rPr>
          <w:fldChar w:fldCharType="separate"/>
        </w:r>
        <w:r w:rsidR="00004C80">
          <w:rPr>
            <w:noProof/>
            <w:webHidden/>
          </w:rPr>
          <w:t>7</w:t>
        </w:r>
        <w:r w:rsidR="00004C80">
          <w:rPr>
            <w:noProof/>
            <w:webHidden/>
          </w:rPr>
          <w:fldChar w:fldCharType="end"/>
        </w:r>
      </w:hyperlink>
    </w:p>
    <w:p w14:paraId="6C12C5FD"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57" w:history="1">
        <w:r w:rsidR="00004C80" w:rsidRPr="00E317FC">
          <w:rPr>
            <w:rStyle w:val="Hyperlink"/>
            <w:noProof/>
          </w:rPr>
          <w:t>1.2. Scope</w:t>
        </w:r>
        <w:r w:rsidR="00004C80">
          <w:rPr>
            <w:noProof/>
            <w:webHidden/>
          </w:rPr>
          <w:tab/>
        </w:r>
        <w:r w:rsidR="00004C80">
          <w:rPr>
            <w:noProof/>
            <w:webHidden/>
          </w:rPr>
          <w:fldChar w:fldCharType="begin"/>
        </w:r>
        <w:r w:rsidR="00004C80">
          <w:rPr>
            <w:noProof/>
            <w:webHidden/>
          </w:rPr>
          <w:instrText xml:space="preserve"> PAGEREF _Toc522797857 \h </w:instrText>
        </w:r>
        <w:r w:rsidR="00004C80">
          <w:rPr>
            <w:noProof/>
            <w:webHidden/>
          </w:rPr>
        </w:r>
        <w:r w:rsidR="00004C80">
          <w:rPr>
            <w:noProof/>
            <w:webHidden/>
          </w:rPr>
          <w:fldChar w:fldCharType="separate"/>
        </w:r>
        <w:r w:rsidR="00004C80">
          <w:rPr>
            <w:noProof/>
            <w:webHidden/>
          </w:rPr>
          <w:t>7</w:t>
        </w:r>
        <w:r w:rsidR="00004C80">
          <w:rPr>
            <w:noProof/>
            <w:webHidden/>
          </w:rPr>
          <w:fldChar w:fldCharType="end"/>
        </w:r>
      </w:hyperlink>
    </w:p>
    <w:p w14:paraId="27426682"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58" w:history="1">
        <w:r w:rsidR="00004C80" w:rsidRPr="00E317FC">
          <w:rPr>
            <w:rStyle w:val="Hyperlink"/>
            <w:noProof/>
          </w:rPr>
          <w:t>1.3. Definitions, Acronyms and Abbreviations</w:t>
        </w:r>
        <w:r w:rsidR="00004C80">
          <w:rPr>
            <w:noProof/>
            <w:webHidden/>
          </w:rPr>
          <w:tab/>
        </w:r>
        <w:r w:rsidR="00004C80">
          <w:rPr>
            <w:noProof/>
            <w:webHidden/>
          </w:rPr>
          <w:fldChar w:fldCharType="begin"/>
        </w:r>
        <w:r w:rsidR="00004C80">
          <w:rPr>
            <w:noProof/>
            <w:webHidden/>
          </w:rPr>
          <w:instrText xml:space="preserve"> PAGEREF _Toc522797858 \h </w:instrText>
        </w:r>
        <w:r w:rsidR="00004C80">
          <w:rPr>
            <w:noProof/>
            <w:webHidden/>
          </w:rPr>
        </w:r>
        <w:r w:rsidR="00004C80">
          <w:rPr>
            <w:noProof/>
            <w:webHidden/>
          </w:rPr>
          <w:fldChar w:fldCharType="separate"/>
        </w:r>
        <w:r w:rsidR="00004C80">
          <w:rPr>
            <w:noProof/>
            <w:webHidden/>
          </w:rPr>
          <w:t>7</w:t>
        </w:r>
        <w:r w:rsidR="00004C80">
          <w:rPr>
            <w:noProof/>
            <w:webHidden/>
          </w:rPr>
          <w:fldChar w:fldCharType="end"/>
        </w:r>
      </w:hyperlink>
    </w:p>
    <w:p w14:paraId="39635CC6"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59" w:history="1">
        <w:r w:rsidR="00004C80" w:rsidRPr="00E317FC">
          <w:rPr>
            <w:rStyle w:val="Hyperlink"/>
            <w:noProof/>
          </w:rPr>
          <w:t>1.4. References</w:t>
        </w:r>
        <w:r w:rsidR="00004C80">
          <w:rPr>
            <w:noProof/>
            <w:webHidden/>
          </w:rPr>
          <w:tab/>
        </w:r>
        <w:r w:rsidR="00004C80">
          <w:rPr>
            <w:noProof/>
            <w:webHidden/>
          </w:rPr>
          <w:fldChar w:fldCharType="begin"/>
        </w:r>
        <w:r w:rsidR="00004C80">
          <w:rPr>
            <w:noProof/>
            <w:webHidden/>
          </w:rPr>
          <w:instrText xml:space="preserve"> PAGEREF _Toc522797859 \h </w:instrText>
        </w:r>
        <w:r w:rsidR="00004C80">
          <w:rPr>
            <w:noProof/>
            <w:webHidden/>
          </w:rPr>
        </w:r>
        <w:r w:rsidR="00004C80">
          <w:rPr>
            <w:noProof/>
            <w:webHidden/>
          </w:rPr>
          <w:fldChar w:fldCharType="separate"/>
        </w:r>
        <w:r w:rsidR="00004C80">
          <w:rPr>
            <w:noProof/>
            <w:webHidden/>
          </w:rPr>
          <w:t>8</w:t>
        </w:r>
        <w:r w:rsidR="00004C80">
          <w:rPr>
            <w:noProof/>
            <w:webHidden/>
          </w:rPr>
          <w:fldChar w:fldCharType="end"/>
        </w:r>
      </w:hyperlink>
    </w:p>
    <w:p w14:paraId="33EADFB6"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60" w:history="1">
        <w:r w:rsidR="00004C80" w:rsidRPr="00E317FC">
          <w:rPr>
            <w:rStyle w:val="Hyperlink"/>
            <w:noProof/>
          </w:rPr>
          <w:t>1.5. Overview</w:t>
        </w:r>
        <w:r w:rsidR="00004C80">
          <w:rPr>
            <w:noProof/>
            <w:webHidden/>
          </w:rPr>
          <w:tab/>
        </w:r>
        <w:r w:rsidR="00004C80">
          <w:rPr>
            <w:noProof/>
            <w:webHidden/>
          </w:rPr>
          <w:fldChar w:fldCharType="begin"/>
        </w:r>
        <w:r w:rsidR="00004C80">
          <w:rPr>
            <w:noProof/>
            <w:webHidden/>
          </w:rPr>
          <w:instrText xml:space="preserve"> PAGEREF _Toc522797860 \h </w:instrText>
        </w:r>
        <w:r w:rsidR="00004C80">
          <w:rPr>
            <w:noProof/>
            <w:webHidden/>
          </w:rPr>
        </w:r>
        <w:r w:rsidR="00004C80">
          <w:rPr>
            <w:noProof/>
            <w:webHidden/>
          </w:rPr>
          <w:fldChar w:fldCharType="separate"/>
        </w:r>
        <w:r w:rsidR="00004C80">
          <w:rPr>
            <w:noProof/>
            <w:webHidden/>
          </w:rPr>
          <w:t>8</w:t>
        </w:r>
        <w:r w:rsidR="00004C80">
          <w:rPr>
            <w:noProof/>
            <w:webHidden/>
          </w:rPr>
          <w:fldChar w:fldCharType="end"/>
        </w:r>
      </w:hyperlink>
    </w:p>
    <w:p w14:paraId="54952368" w14:textId="77777777" w:rsidR="00004C80" w:rsidRDefault="00E566F8">
      <w:pPr>
        <w:pStyle w:val="TOC1"/>
        <w:tabs>
          <w:tab w:val="right" w:leader="dot" w:pos="8777"/>
        </w:tabs>
        <w:rPr>
          <w:rFonts w:asciiTheme="minorHAnsi" w:eastAsiaTheme="minorEastAsia" w:hAnsiTheme="minorHAnsi" w:cstheme="minorBidi"/>
          <w:noProof/>
          <w:color w:val="auto"/>
          <w:sz w:val="22"/>
          <w:szCs w:val="22"/>
        </w:rPr>
      </w:pPr>
      <w:hyperlink w:anchor="_Toc522797861" w:history="1">
        <w:r w:rsidR="00004C80" w:rsidRPr="00E317FC">
          <w:rPr>
            <w:rStyle w:val="Hyperlink"/>
            <w:noProof/>
          </w:rPr>
          <w:t>2. Description</w:t>
        </w:r>
        <w:r w:rsidR="00004C80">
          <w:rPr>
            <w:noProof/>
            <w:webHidden/>
          </w:rPr>
          <w:tab/>
        </w:r>
        <w:r w:rsidR="00004C80">
          <w:rPr>
            <w:noProof/>
            <w:webHidden/>
          </w:rPr>
          <w:fldChar w:fldCharType="begin"/>
        </w:r>
        <w:r w:rsidR="00004C80">
          <w:rPr>
            <w:noProof/>
            <w:webHidden/>
          </w:rPr>
          <w:instrText xml:space="preserve"> PAGEREF _Toc522797861 \h </w:instrText>
        </w:r>
        <w:r w:rsidR="00004C80">
          <w:rPr>
            <w:noProof/>
            <w:webHidden/>
          </w:rPr>
        </w:r>
        <w:r w:rsidR="00004C80">
          <w:rPr>
            <w:noProof/>
            <w:webHidden/>
          </w:rPr>
          <w:fldChar w:fldCharType="separate"/>
        </w:r>
        <w:r w:rsidR="00004C80">
          <w:rPr>
            <w:noProof/>
            <w:webHidden/>
          </w:rPr>
          <w:t>9</w:t>
        </w:r>
        <w:r w:rsidR="00004C80">
          <w:rPr>
            <w:noProof/>
            <w:webHidden/>
          </w:rPr>
          <w:fldChar w:fldCharType="end"/>
        </w:r>
      </w:hyperlink>
    </w:p>
    <w:p w14:paraId="787C21E6"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62" w:history="1">
        <w:r w:rsidR="00004C80" w:rsidRPr="00E317FC">
          <w:rPr>
            <w:rStyle w:val="Hyperlink"/>
            <w:noProof/>
          </w:rPr>
          <w:t>2.1. Business Scenario</w:t>
        </w:r>
        <w:r w:rsidR="00004C80">
          <w:rPr>
            <w:noProof/>
            <w:webHidden/>
          </w:rPr>
          <w:tab/>
        </w:r>
        <w:r w:rsidR="00004C80">
          <w:rPr>
            <w:noProof/>
            <w:webHidden/>
          </w:rPr>
          <w:fldChar w:fldCharType="begin"/>
        </w:r>
        <w:r w:rsidR="00004C80">
          <w:rPr>
            <w:noProof/>
            <w:webHidden/>
          </w:rPr>
          <w:instrText xml:space="preserve"> PAGEREF _Toc522797862 \h </w:instrText>
        </w:r>
        <w:r w:rsidR="00004C80">
          <w:rPr>
            <w:noProof/>
            <w:webHidden/>
          </w:rPr>
        </w:r>
        <w:r w:rsidR="00004C80">
          <w:rPr>
            <w:noProof/>
            <w:webHidden/>
          </w:rPr>
          <w:fldChar w:fldCharType="separate"/>
        </w:r>
        <w:r w:rsidR="00004C80">
          <w:rPr>
            <w:noProof/>
            <w:webHidden/>
          </w:rPr>
          <w:t>9</w:t>
        </w:r>
        <w:r w:rsidR="00004C80">
          <w:rPr>
            <w:noProof/>
            <w:webHidden/>
          </w:rPr>
          <w:fldChar w:fldCharType="end"/>
        </w:r>
      </w:hyperlink>
    </w:p>
    <w:p w14:paraId="4D2D5B95"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63" w:history="1">
        <w:r w:rsidR="00004C80" w:rsidRPr="00E317FC">
          <w:rPr>
            <w:rStyle w:val="Hyperlink"/>
            <w:noProof/>
          </w:rPr>
          <w:t>2.2. Legal Base</w:t>
        </w:r>
        <w:r w:rsidR="00004C80">
          <w:rPr>
            <w:noProof/>
            <w:webHidden/>
          </w:rPr>
          <w:tab/>
        </w:r>
        <w:r w:rsidR="00004C80">
          <w:rPr>
            <w:noProof/>
            <w:webHidden/>
          </w:rPr>
          <w:fldChar w:fldCharType="begin"/>
        </w:r>
        <w:r w:rsidR="00004C80">
          <w:rPr>
            <w:noProof/>
            <w:webHidden/>
          </w:rPr>
          <w:instrText xml:space="preserve"> PAGEREF _Toc522797863 \h </w:instrText>
        </w:r>
        <w:r w:rsidR="00004C80">
          <w:rPr>
            <w:noProof/>
            <w:webHidden/>
          </w:rPr>
        </w:r>
        <w:r w:rsidR="00004C80">
          <w:rPr>
            <w:noProof/>
            <w:webHidden/>
          </w:rPr>
          <w:fldChar w:fldCharType="separate"/>
        </w:r>
        <w:r w:rsidR="00004C80">
          <w:rPr>
            <w:noProof/>
            <w:webHidden/>
          </w:rPr>
          <w:t>9</w:t>
        </w:r>
        <w:r w:rsidR="00004C80">
          <w:rPr>
            <w:noProof/>
            <w:webHidden/>
          </w:rPr>
          <w:fldChar w:fldCharType="end"/>
        </w:r>
      </w:hyperlink>
    </w:p>
    <w:p w14:paraId="601F33AD" w14:textId="77777777" w:rsidR="00004C80" w:rsidRDefault="00E566F8">
      <w:pPr>
        <w:pStyle w:val="TOC1"/>
        <w:tabs>
          <w:tab w:val="right" w:leader="dot" w:pos="8777"/>
        </w:tabs>
        <w:rPr>
          <w:rFonts w:asciiTheme="minorHAnsi" w:eastAsiaTheme="minorEastAsia" w:hAnsiTheme="minorHAnsi" w:cstheme="minorBidi"/>
          <w:noProof/>
          <w:color w:val="auto"/>
          <w:sz w:val="22"/>
          <w:szCs w:val="22"/>
        </w:rPr>
      </w:pPr>
      <w:hyperlink w:anchor="_Toc522797864" w:history="1">
        <w:r w:rsidR="00004C80" w:rsidRPr="00E317FC">
          <w:rPr>
            <w:rStyle w:val="Hyperlink"/>
            <w:noProof/>
          </w:rPr>
          <w:t>3. Actors &amp; Roles</w:t>
        </w:r>
        <w:r w:rsidR="00004C80">
          <w:rPr>
            <w:noProof/>
            <w:webHidden/>
          </w:rPr>
          <w:tab/>
        </w:r>
        <w:r w:rsidR="00004C80">
          <w:rPr>
            <w:noProof/>
            <w:webHidden/>
          </w:rPr>
          <w:fldChar w:fldCharType="begin"/>
        </w:r>
        <w:r w:rsidR="00004C80">
          <w:rPr>
            <w:noProof/>
            <w:webHidden/>
          </w:rPr>
          <w:instrText xml:space="preserve"> PAGEREF _Toc522797864 \h </w:instrText>
        </w:r>
        <w:r w:rsidR="00004C80">
          <w:rPr>
            <w:noProof/>
            <w:webHidden/>
          </w:rPr>
        </w:r>
        <w:r w:rsidR="00004C80">
          <w:rPr>
            <w:noProof/>
            <w:webHidden/>
          </w:rPr>
          <w:fldChar w:fldCharType="separate"/>
        </w:r>
        <w:r w:rsidR="00004C80">
          <w:rPr>
            <w:noProof/>
            <w:webHidden/>
          </w:rPr>
          <w:t>10</w:t>
        </w:r>
        <w:r w:rsidR="00004C80">
          <w:rPr>
            <w:noProof/>
            <w:webHidden/>
          </w:rPr>
          <w:fldChar w:fldCharType="end"/>
        </w:r>
      </w:hyperlink>
    </w:p>
    <w:p w14:paraId="280E57CE" w14:textId="77777777" w:rsidR="00004C80" w:rsidRDefault="00E566F8">
      <w:pPr>
        <w:pStyle w:val="TOC1"/>
        <w:tabs>
          <w:tab w:val="right" w:leader="dot" w:pos="8777"/>
        </w:tabs>
        <w:rPr>
          <w:rFonts w:asciiTheme="minorHAnsi" w:eastAsiaTheme="minorEastAsia" w:hAnsiTheme="minorHAnsi" w:cstheme="minorBidi"/>
          <w:noProof/>
          <w:color w:val="auto"/>
          <w:sz w:val="22"/>
          <w:szCs w:val="22"/>
        </w:rPr>
      </w:pPr>
      <w:hyperlink w:anchor="_Toc522797865" w:history="1">
        <w:r w:rsidR="00004C80" w:rsidRPr="00E317FC">
          <w:rPr>
            <w:rStyle w:val="Hyperlink"/>
            <w:noProof/>
          </w:rPr>
          <w:t>4. Use Case</w:t>
        </w:r>
        <w:r w:rsidR="00004C80">
          <w:rPr>
            <w:noProof/>
            <w:webHidden/>
          </w:rPr>
          <w:tab/>
        </w:r>
        <w:r w:rsidR="00004C80">
          <w:rPr>
            <w:noProof/>
            <w:webHidden/>
          </w:rPr>
          <w:fldChar w:fldCharType="begin"/>
        </w:r>
        <w:r w:rsidR="00004C80">
          <w:rPr>
            <w:noProof/>
            <w:webHidden/>
          </w:rPr>
          <w:instrText xml:space="preserve"> PAGEREF _Toc522797865 \h </w:instrText>
        </w:r>
        <w:r w:rsidR="00004C80">
          <w:rPr>
            <w:noProof/>
            <w:webHidden/>
          </w:rPr>
        </w:r>
        <w:r w:rsidR="00004C80">
          <w:rPr>
            <w:noProof/>
            <w:webHidden/>
          </w:rPr>
          <w:fldChar w:fldCharType="separate"/>
        </w:r>
        <w:r w:rsidR="00004C80">
          <w:rPr>
            <w:noProof/>
            <w:webHidden/>
          </w:rPr>
          <w:t>11</w:t>
        </w:r>
        <w:r w:rsidR="00004C80">
          <w:rPr>
            <w:noProof/>
            <w:webHidden/>
          </w:rPr>
          <w:fldChar w:fldCharType="end"/>
        </w:r>
      </w:hyperlink>
    </w:p>
    <w:p w14:paraId="494B3926"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66" w:history="1">
        <w:r w:rsidR="00004C80" w:rsidRPr="00E317FC">
          <w:rPr>
            <w:rStyle w:val="Hyperlink"/>
            <w:noProof/>
          </w:rPr>
          <w:t>4.1. RUP Table Representation</w:t>
        </w:r>
        <w:r w:rsidR="00004C80">
          <w:rPr>
            <w:noProof/>
            <w:webHidden/>
          </w:rPr>
          <w:tab/>
        </w:r>
        <w:r w:rsidR="00004C80">
          <w:rPr>
            <w:noProof/>
            <w:webHidden/>
          </w:rPr>
          <w:fldChar w:fldCharType="begin"/>
        </w:r>
        <w:r w:rsidR="00004C80">
          <w:rPr>
            <w:noProof/>
            <w:webHidden/>
          </w:rPr>
          <w:instrText xml:space="preserve"> PAGEREF _Toc522797866 \h </w:instrText>
        </w:r>
        <w:r w:rsidR="00004C80">
          <w:rPr>
            <w:noProof/>
            <w:webHidden/>
          </w:rPr>
        </w:r>
        <w:r w:rsidR="00004C80">
          <w:rPr>
            <w:noProof/>
            <w:webHidden/>
          </w:rPr>
          <w:fldChar w:fldCharType="separate"/>
        </w:r>
        <w:r w:rsidR="00004C80">
          <w:rPr>
            <w:noProof/>
            <w:webHidden/>
          </w:rPr>
          <w:t>11</w:t>
        </w:r>
        <w:r w:rsidR="00004C80">
          <w:rPr>
            <w:noProof/>
            <w:webHidden/>
          </w:rPr>
          <w:fldChar w:fldCharType="end"/>
        </w:r>
      </w:hyperlink>
    </w:p>
    <w:p w14:paraId="65DC534D"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67" w:history="1">
        <w:r w:rsidR="00004C80" w:rsidRPr="00E317FC">
          <w:rPr>
            <w:rStyle w:val="Hyperlink"/>
            <w:noProof/>
          </w:rPr>
          <w:t>4.2. Request – Reply SEDS</w:t>
        </w:r>
        <w:r w:rsidR="00004C80">
          <w:rPr>
            <w:noProof/>
            <w:webHidden/>
          </w:rPr>
          <w:tab/>
        </w:r>
        <w:r w:rsidR="00004C80">
          <w:rPr>
            <w:noProof/>
            <w:webHidden/>
          </w:rPr>
          <w:fldChar w:fldCharType="begin"/>
        </w:r>
        <w:r w:rsidR="00004C80">
          <w:rPr>
            <w:noProof/>
            <w:webHidden/>
          </w:rPr>
          <w:instrText xml:space="preserve"> PAGEREF _Toc522797867 \h </w:instrText>
        </w:r>
        <w:r w:rsidR="00004C80">
          <w:rPr>
            <w:noProof/>
            <w:webHidden/>
          </w:rPr>
        </w:r>
        <w:r w:rsidR="00004C80">
          <w:rPr>
            <w:noProof/>
            <w:webHidden/>
          </w:rPr>
          <w:fldChar w:fldCharType="separate"/>
        </w:r>
        <w:r w:rsidR="00004C80">
          <w:rPr>
            <w:noProof/>
            <w:webHidden/>
          </w:rPr>
          <w:t>16</w:t>
        </w:r>
        <w:r w:rsidR="00004C80">
          <w:rPr>
            <w:noProof/>
            <w:webHidden/>
          </w:rPr>
          <w:fldChar w:fldCharType="end"/>
        </w:r>
      </w:hyperlink>
    </w:p>
    <w:p w14:paraId="50748B69"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68" w:history="1">
        <w:r w:rsidR="00004C80" w:rsidRPr="00E317FC">
          <w:rPr>
            <w:rStyle w:val="Hyperlink"/>
            <w:noProof/>
          </w:rPr>
          <w:t>4.3. Attachments Allowed</w:t>
        </w:r>
        <w:r w:rsidR="00004C80">
          <w:rPr>
            <w:noProof/>
            <w:webHidden/>
          </w:rPr>
          <w:tab/>
        </w:r>
        <w:r w:rsidR="00004C80">
          <w:rPr>
            <w:noProof/>
            <w:webHidden/>
          </w:rPr>
          <w:fldChar w:fldCharType="begin"/>
        </w:r>
        <w:r w:rsidR="00004C80">
          <w:rPr>
            <w:noProof/>
            <w:webHidden/>
          </w:rPr>
          <w:instrText xml:space="preserve"> PAGEREF _Toc522797868 \h </w:instrText>
        </w:r>
        <w:r w:rsidR="00004C80">
          <w:rPr>
            <w:noProof/>
            <w:webHidden/>
          </w:rPr>
        </w:r>
        <w:r w:rsidR="00004C80">
          <w:rPr>
            <w:noProof/>
            <w:webHidden/>
          </w:rPr>
          <w:fldChar w:fldCharType="separate"/>
        </w:r>
        <w:r w:rsidR="00004C80">
          <w:rPr>
            <w:noProof/>
            <w:webHidden/>
          </w:rPr>
          <w:t>16</w:t>
        </w:r>
        <w:r w:rsidR="00004C80">
          <w:rPr>
            <w:noProof/>
            <w:webHidden/>
          </w:rPr>
          <w:fldChar w:fldCharType="end"/>
        </w:r>
      </w:hyperlink>
    </w:p>
    <w:p w14:paraId="22151E34"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69" w:history="1">
        <w:r w:rsidR="00004C80" w:rsidRPr="00E317FC">
          <w:rPr>
            <w:rStyle w:val="Hyperlink"/>
            <w:noProof/>
          </w:rPr>
          <w:t>4.4. Artefacts used</w:t>
        </w:r>
        <w:r w:rsidR="00004C80">
          <w:rPr>
            <w:noProof/>
            <w:webHidden/>
          </w:rPr>
          <w:tab/>
        </w:r>
        <w:r w:rsidR="00004C80">
          <w:rPr>
            <w:noProof/>
            <w:webHidden/>
          </w:rPr>
          <w:fldChar w:fldCharType="begin"/>
        </w:r>
        <w:r w:rsidR="00004C80">
          <w:rPr>
            <w:noProof/>
            <w:webHidden/>
          </w:rPr>
          <w:instrText xml:space="preserve"> PAGEREF _Toc522797869 \h </w:instrText>
        </w:r>
        <w:r w:rsidR="00004C80">
          <w:rPr>
            <w:noProof/>
            <w:webHidden/>
          </w:rPr>
        </w:r>
        <w:r w:rsidR="00004C80">
          <w:rPr>
            <w:noProof/>
            <w:webHidden/>
          </w:rPr>
          <w:fldChar w:fldCharType="separate"/>
        </w:r>
        <w:r w:rsidR="00004C80">
          <w:rPr>
            <w:noProof/>
            <w:webHidden/>
          </w:rPr>
          <w:t>17</w:t>
        </w:r>
        <w:r w:rsidR="00004C80">
          <w:rPr>
            <w:noProof/>
            <w:webHidden/>
          </w:rPr>
          <w:fldChar w:fldCharType="end"/>
        </w:r>
      </w:hyperlink>
    </w:p>
    <w:p w14:paraId="1F346950" w14:textId="77777777" w:rsidR="00004C80" w:rsidRDefault="00E566F8">
      <w:pPr>
        <w:pStyle w:val="TOC1"/>
        <w:tabs>
          <w:tab w:val="right" w:leader="dot" w:pos="8777"/>
        </w:tabs>
        <w:rPr>
          <w:rFonts w:asciiTheme="minorHAnsi" w:eastAsiaTheme="minorEastAsia" w:hAnsiTheme="minorHAnsi" w:cstheme="minorBidi"/>
          <w:noProof/>
          <w:color w:val="auto"/>
          <w:sz w:val="22"/>
          <w:szCs w:val="22"/>
        </w:rPr>
      </w:pPr>
      <w:hyperlink w:anchor="_Toc522797870" w:history="1">
        <w:r w:rsidR="00004C80" w:rsidRPr="00E317FC">
          <w:rPr>
            <w:rStyle w:val="Hyperlink"/>
            <w:noProof/>
          </w:rPr>
          <w:t>5. Business Processes / Cases</w:t>
        </w:r>
        <w:r w:rsidR="00004C80">
          <w:rPr>
            <w:noProof/>
            <w:webHidden/>
          </w:rPr>
          <w:tab/>
        </w:r>
        <w:r w:rsidR="00004C80">
          <w:rPr>
            <w:noProof/>
            <w:webHidden/>
          </w:rPr>
          <w:fldChar w:fldCharType="begin"/>
        </w:r>
        <w:r w:rsidR="00004C80">
          <w:rPr>
            <w:noProof/>
            <w:webHidden/>
          </w:rPr>
          <w:instrText xml:space="preserve"> PAGEREF _Toc522797870 \h </w:instrText>
        </w:r>
        <w:r w:rsidR="00004C80">
          <w:rPr>
            <w:noProof/>
            <w:webHidden/>
          </w:rPr>
        </w:r>
        <w:r w:rsidR="00004C80">
          <w:rPr>
            <w:noProof/>
            <w:webHidden/>
          </w:rPr>
          <w:fldChar w:fldCharType="separate"/>
        </w:r>
        <w:r w:rsidR="00004C80">
          <w:rPr>
            <w:noProof/>
            <w:webHidden/>
          </w:rPr>
          <w:t>18</w:t>
        </w:r>
        <w:r w:rsidR="00004C80">
          <w:rPr>
            <w:noProof/>
            <w:webHidden/>
          </w:rPr>
          <w:fldChar w:fldCharType="end"/>
        </w:r>
      </w:hyperlink>
    </w:p>
    <w:p w14:paraId="38B8F349" w14:textId="77777777" w:rsidR="00004C80" w:rsidRDefault="00E566F8">
      <w:pPr>
        <w:pStyle w:val="TOC1"/>
        <w:tabs>
          <w:tab w:val="right" w:leader="dot" w:pos="8777"/>
        </w:tabs>
        <w:rPr>
          <w:rFonts w:asciiTheme="minorHAnsi" w:eastAsiaTheme="minorEastAsia" w:hAnsiTheme="minorHAnsi" w:cstheme="minorBidi"/>
          <w:noProof/>
          <w:color w:val="auto"/>
          <w:sz w:val="22"/>
          <w:szCs w:val="22"/>
        </w:rPr>
      </w:pPr>
      <w:hyperlink w:anchor="_Toc522797871" w:history="1">
        <w:r w:rsidR="00004C80" w:rsidRPr="00E317FC">
          <w:rPr>
            <w:rStyle w:val="Hyperlink"/>
            <w:noProof/>
          </w:rPr>
          <w:t>5.1. Case Owner and Counterparty</w:t>
        </w:r>
        <w:r w:rsidR="00004C80">
          <w:rPr>
            <w:noProof/>
            <w:webHidden/>
          </w:rPr>
          <w:tab/>
        </w:r>
        <w:r w:rsidR="00004C80">
          <w:rPr>
            <w:noProof/>
            <w:webHidden/>
          </w:rPr>
          <w:fldChar w:fldCharType="begin"/>
        </w:r>
        <w:r w:rsidR="00004C80">
          <w:rPr>
            <w:noProof/>
            <w:webHidden/>
          </w:rPr>
          <w:instrText xml:space="preserve"> PAGEREF _Toc522797871 \h </w:instrText>
        </w:r>
        <w:r w:rsidR="00004C80">
          <w:rPr>
            <w:noProof/>
            <w:webHidden/>
          </w:rPr>
        </w:r>
        <w:r w:rsidR="00004C80">
          <w:rPr>
            <w:noProof/>
            <w:webHidden/>
          </w:rPr>
          <w:fldChar w:fldCharType="separate"/>
        </w:r>
        <w:r w:rsidR="00004C80">
          <w:rPr>
            <w:noProof/>
            <w:webHidden/>
          </w:rPr>
          <w:t>18</w:t>
        </w:r>
        <w:r w:rsidR="00004C80">
          <w:rPr>
            <w:noProof/>
            <w:webHidden/>
          </w:rPr>
          <w:fldChar w:fldCharType="end"/>
        </w:r>
      </w:hyperlink>
    </w:p>
    <w:p w14:paraId="2A5A0D77" w14:textId="77777777" w:rsidR="00004C80" w:rsidRDefault="00E566F8">
      <w:pPr>
        <w:pStyle w:val="TOC1"/>
        <w:tabs>
          <w:tab w:val="right" w:leader="dot" w:pos="8777"/>
        </w:tabs>
        <w:rPr>
          <w:rFonts w:asciiTheme="minorHAnsi" w:eastAsiaTheme="minorEastAsia" w:hAnsiTheme="minorHAnsi" w:cstheme="minorBidi"/>
          <w:noProof/>
          <w:color w:val="auto"/>
          <w:sz w:val="22"/>
          <w:szCs w:val="22"/>
        </w:rPr>
      </w:pPr>
      <w:hyperlink w:anchor="_Toc522797872" w:history="1">
        <w:r w:rsidR="00004C80" w:rsidRPr="00E317FC">
          <w:rPr>
            <w:rStyle w:val="Hyperlink"/>
            <w:noProof/>
          </w:rPr>
          <w:t>5.2. Sub Processes</w:t>
        </w:r>
        <w:r w:rsidR="00004C80">
          <w:rPr>
            <w:noProof/>
            <w:webHidden/>
          </w:rPr>
          <w:tab/>
        </w:r>
        <w:r w:rsidR="00004C80">
          <w:rPr>
            <w:noProof/>
            <w:webHidden/>
          </w:rPr>
          <w:fldChar w:fldCharType="begin"/>
        </w:r>
        <w:r w:rsidR="00004C80">
          <w:rPr>
            <w:noProof/>
            <w:webHidden/>
          </w:rPr>
          <w:instrText xml:space="preserve"> PAGEREF _Toc522797872 \h </w:instrText>
        </w:r>
        <w:r w:rsidR="00004C80">
          <w:rPr>
            <w:noProof/>
            <w:webHidden/>
          </w:rPr>
        </w:r>
        <w:r w:rsidR="00004C80">
          <w:rPr>
            <w:noProof/>
            <w:webHidden/>
          </w:rPr>
          <w:fldChar w:fldCharType="separate"/>
        </w:r>
        <w:r w:rsidR="00004C80">
          <w:rPr>
            <w:noProof/>
            <w:webHidden/>
          </w:rPr>
          <w:t>19</w:t>
        </w:r>
        <w:r w:rsidR="00004C80">
          <w:rPr>
            <w:noProof/>
            <w:webHidden/>
          </w:rPr>
          <w:fldChar w:fldCharType="end"/>
        </w:r>
      </w:hyperlink>
    </w:p>
    <w:p w14:paraId="5BC34ED1" w14:textId="77777777" w:rsidR="00004C80" w:rsidRDefault="00E566F8">
      <w:pPr>
        <w:pStyle w:val="TOC1"/>
        <w:tabs>
          <w:tab w:val="right" w:leader="dot" w:pos="8777"/>
        </w:tabs>
        <w:rPr>
          <w:rFonts w:asciiTheme="minorHAnsi" w:eastAsiaTheme="minorEastAsia" w:hAnsiTheme="minorHAnsi" w:cstheme="minorBidi"/>
          <w:noProof/>
          <w:color w:val="auto"/>
          <w:sz w:val="22"/>
          <w:szCs w:val="22"/>
        </w:rPr>
      </w:pPr>
      <w:hyperlink w:anchor="_Toc522797873" w:history="1">
        <w:r w:rsidR="00004C80" w:rsidRPr="00E317FC">
          <w:rPr>
            <w:rStyle w:val="Hyperlink"/>
            <w:noProof/>
          </w:rPr>
          <w:t>6. Appendices</w:t>
        </w:r>
        <w:r w:rsidR="00004C80">
          <w:rPr>
            <w:noProof/>
            <w:webHidden/>
          </w:rPr>
          <w:tab/>
        </w:r>
        <w:r w:rsidR="00004C80">
          <w:rPr>
            <w:noProof/>
            <w:webHidden/>
          </w:rPr>
          <w:fldChar w:fldCharType="begin"/>
        </w:r>
        <w:r w:rsidR="00004C80">
          <w:rPr>
            <w:noProof/>
            <w:webHidden/>
          </w:rPr>
          <w:instrText xml:space="preserve"> PAGEREF _Toc522797873 \h </w:instrText>
        </w:r>
        <w:r w:rsidR="00004C80">
          <w:rPr>
            <w:noProof/>
            <w:webHidden/>
          </w:rPr>
        </w:r>
        <w:r w:rsidR="00004C80">
          <w:rPr>
            <w:noProof/>
            <w:webHidden/>
          </w:rPr>
          <w:fldChar w:fldCharType="separate"/>
        </w:r>
        <w:r w:rsidR="00004C80">
          <w:rPr>
            <w:noProof/>
            <w:webHidden/>
          </w:rPr>
          <w:t>20</w:t>
        </w:r>
        <w:r w:rsidR="00004C80">
          <w:rPr>
            <w:noProof/>
            <w:webHidden/>
          </w:rPr>
          <w:fldChar w:fldCharType="end"/>
        </w:r>
      </w:hyperlink>
    </w:p>
    <w:p w14:paraId="6EB397CB" w14:textId="77777777" w:rsidR="00004C80" w:rsidRDefault="00E566F8">
      <w:pPr>
        <w:pStyle w:val="TOC2"/>
        <w:tabs>
          <w:tab w:val="right" w:leader="dot" w:pos="8777"/>
        </w:tabs>
        <w:rPr>
          <w:rFonts w:asciiTheme="minorHAnsi" w:eastAsiaTheme="minorEastAsia" w:hAnsiTheme="minorHAnsi" w:cstheme="minorBidi"/>
          <w:noProof/>
          <w:color w:val="auto"/>
          <w:sz w:val="22"/>
          <w:szCs w:val="22"/>
        </w:rPr>
      </w:pPr>
      <w:hyperlink w:anchor="_Toc522797874" w:history="1">
        <w:r w:rsidR="00004C80" w:rsidRPr="00E317FC">
          <w:rPr>
            <w:rStyle w:val="Hyperlink"/>
            <w:noProof/>
          </w:rPr>
          <w:t>6.1. Issues</w:t>
        </w:r>
        <w:r w:rsidR="00004C80">
          <w:rPr>
            <w:noProof/>
            <w:webHidden/>
          </w:rPr>
          <w:tab/>
        </w:r>
        <w:r w:rsidR="00004C80">
          <w:rPr>
            <w:noProof/>
            <w:webHidden/>
          </w:rPr>
          <w:fldChar w:fldCharType="begin"/>
        </w:r>
        <w:r w:rsidR="00004C80">
          <w:rPr>
            <w:noProof/>
            <w:webHidden/>
          </w:rPr>
          <w:instrText xml:space="preserve"> PAGEREF _Toc522797874 \h </w:instrText>
        </w:r>
        <w:r w:rsidR="00004C80">
          <w:rPr>
            <w:noProof/>
            <w:webHidden/>
          </w:rPr>
        </w:r>
        <w:r w:rsidR="00004C80">
          <w:rPr>
            <w:noProof/>
            <w:webHidden/>
          </w:rPr>
          <w:fldChar w:fldCharType="separate"/>
        </w:r>
        <w:r w:rsidR="00004C80">
          <w:rPr>
            <w:noProof/>
            <w:webHidden/>
          </w:rPr>
          <w:t>20</w:t>
        </w:r>
        <w:r w:rsidR="00004C80">
          <w:rPr>
            <w:noProof/>
            <w:webHidden/>
          </w:rPr>
          <w:fldChar w:fldCharType="end"/>
        </w:r>
      </w:hyperlink>
    </w:p>
    <w:p w14:paraId="5CAB3A07" w14:textId="77777777" w:rsidR="00B41BBD" w:rsidRPr="00FC0ECC" w:rsidRDefault="007B4427">
      <w:r w:rsidRPr="00FC0ECC">
        <w:fldChar w:fldCharType="end"/>
      </w:r>
    </w:p>
    <w:p w14:paraId="2FDDFFBA" w14:textId="77777777"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14:paraId="72A84C99" w14:textId="77777777" w:rsidR="002E6ECB" w:rsidRPr="00CF6FBE" w:rsidRDefault="002E6ECB" w:rsidP="002E6ECB">
      <w:pPr>
        <w:spacing w:after="20" w:line="276" w:lineRule="auto"/>
        <w:jc w:val="left"/>
        <w:rPr>
          <w:rFonts w:eastAsia="Calibri" w:cs="Calibri"/>
          <w:b/>
          <w:color w:val="000000"/>
          <w:sz w:val="22"/>
          <w:szCs w:val="22"/>
          <w:lang w:eastAsia="en-US"/>
        </w:rPr>
      </w:pPr>
      <w:r w:rsidRPr="00CF6FBE">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C67BE8" w14:paraId="7A50D6B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CF6FBE" w:rsidRDefault="00413824" w:rsidP="00413824">
            <w:pPr>
              <w:spacing w:line="276" w:lineRule="auto"/>
              <w:jc w:val="left"/>
              <w:rPr>
                <w:rFonts w:eastAsia="PMingLiU" w:cs="Calibri"/>
                <w:b/>
                <w:color w:val="auto"/>
                <w:sz w:val="22"/>
                <w:szCs w:val="22"/>
                <w:lang w:eastAsia="en-US"/>
              </w:rPr>
            </w:pPr>
            <w:r w:rsidRPr="00CF6FBE">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CF6FBE" w:rsidRDefault="00413824" w:rsidP="00413824">
            <w:pPr>
              <w:spacing w:line="276" w:lineRule="auto"/>
              <w:jc w:val="left"/>
              <w:rPr>
                <w:rFonts w:eastAsia="PMingLiU" w:cs="Calibri"/>
                <w:b/>
                <w:color w:val="auto"/>
                <w:sz w:val="22"/>
                <w:szCs w:val="22"/>
                <w:lang w:eastAsia="en-US"/>
              </w:rPr>
            </w:pPr>
            <w:r w:rsidRPr="00CF6FBE">
              <w:rPr>
                <w:rFonts w:cs="Calibri"/>
                <w:b/>
                <w:color w:val="auto"/>
                <w:sz w:val="22"/>
                <w:szCs w:val="22"/>
                <w:lang w:eastAsia="en-US"/>
              </w:rPr>
              <w:t>Value</w:t>
            </w:r>
          </w:p>
        </w:tc>
      </w:tr>
      <w:tr w:rsidR="00413824" w:rsidRPr="00C67BE8" w14:paraId="14854F0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1C76BB" w:rsidRDefault="00413824" w:rsidP="00413824">
            <w:pPr>
              <w:spacing w:line="276" w:lineRule="auto"/>
              <w:jc w:val="left"/>
              <w:rPr>
                <w:rFonts w:cs="Calibri"/>
                <w:b/>
                <w:color w:val="auto"/>
                <w:sz w:val="22"/>
                <w:szCs w:val="22"/>
                <w:lang w:eastAsia="en-US"/>
              </w:rPr>
            </w:pPr>
            <w:r w:rsidRPr="001C76BB">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237EE0F" w14:textId="56B47643" w:rsidR="001C76BB" w:rsidRPr="00CF6FBE" w:rsidRDefault="001C76BB" w:rsidP="003049A8">
            <w:pPr>
              <w:rPr>
                <w:b/>
                <w:color w:val="943634" w:themeColor="accent2" w:themeShade="BF"/>
                <w:sz w:val="22"/>
                <w:szCs w:val="22"/>
              </w:rPr>
            </w:pPr>
            <w:r w:rsidRPr="00CF6FBE">
              <w:rPr>
                <w:b/>
                <w:color w:val="943634" w:themeColor="accent2" w:themeShade="BF"/>
                <w:sz w:val="22"/>
                <w:szCs w:val="22"/>
              </w:rPr>
              <w:t>Business Use Case</w:t>
            </w:r>
          </w:p>
          <w:p w14:paraId="6C6FB525" w14:textId="3445E74D" w:rsidR="00413824" w:rsidRPr="001C76BB" w:rsidRDefault="00BF2C1F" w:rsidP="003049A8">
            <w:pPr>
              <w:rPr>
                <w:rFonts w:cs="Calibri"/>
                <w:b/>
                <w:bCs/>
                <w:color w:val="984806"/>
                <w:sz w:val="22"/>
                <w:szCs w:val="22"/>
                <w:highlight w:val="yellow"/>
                <w:lang w:eastAsia="en-US"/>
              </w:rPr>
            </w:pPr>
            <w:r w:rsidRPr="00CF6FBE">
              <w:rPr>
                <w:b/>
                <w:color w:val="943634" w:themeColor="accent2" w:themeShade="BF"/>
                <w:sz w:val="22"/>
                <w:szCs w:val="22"/>
                <w:highlight w:val="yellow"/>
              </w:rPr>
              <w:fldChar w:fldCharType="begin"/>
            </w:r>
            <w:r w:rsidRPr="001C76BB">
              <w:rPr>
                <w:b/>
                <w:color w:val="943634" w:themeColor="accent2" w:themeShade="BF"/>
                <w:sz w:val="22"/>
                <w:szCs w:val="22"/>
              </w:rPr>
              <w:instrText xml:space="preserve"> TITLE   \* MERGEFORMAT </w:instrText>
            </w:r>
            <w:r w:rsidRPr="00CF6FBE">
              <w:rPr>
                <w:b/>
                <w:color w:val="943634" w:themeColor="accent2" w:themeShade="BF"/>
                <w:sz w:val="22"/>
                <w:szCs w:val="22"/>
                <w:highlight w:val="yellow"/>
              </w:rPr>
              <w:fldChar w:fldCharType="separate"/>
            </w:r>
            <w:r w:rsidR="001C76BB">
              <w:rPr>
                <w:b/>
                <w:color w:val="943634" w:themeColor="accent2" w:themeShade="BF"/>
                <w:sz w:val="22"/>
                <w:szCs w:val="22"/>
              </w:rPr>
              <w:t>AW_BUC_10b - Advance payments in the event of an appeal against rejection of benefits due to occupational disease</w:t>
            </w:r>
            <w:r w:rsidRPr="00CF6FBE">
              <w:rPr>
                <w:b/>
                <w:color w:val="943634" w:themeColor="accent2" w:themeShade="BF"/>
                <w:sz w:val="22"/>
                <w:szCs w:val="22"/>
                <w:highlight w:val="yellow"/>
              </w:rPr>
              <w:fldChar w:fldCharType="end"/>
            </w:r>
            <w:r w:rsidR="007B4427" w:rsidRPr="00CF6FBE">
              <w:rPr>
                <w:rFonts w:cs="Calibri"/>
                <w:b/>
                <w:bCs/>
                <w:color w:val="984806"/>
                <w:sz w:val="22"/>
                <w:szCs w:val="22"/>
                <w:lang w:eastAsia="en-US"/>
              </w:rPr>
              <w:fldChar w:fldCharType="begin"/>
            </w:r>
            <w:r w:rsidR="00413824" w:rsidRPr="001C76BB">
              <w:rPr>
                <w:rFonts w:cs="Calibri"/>
                <w:b/>
                <w:bCs/>
                <w:color w:val="984806"/>
                <w:sz w:val="22"/>
                <w:szCs w:val="22"/>
                <w:lang w:eastAsia="en-US"/>
              </w:rPr>
              <w:instrText xml:space="preserve"> TITLE   \* MERGEFORMAT </w:instrText>
            </w:r>
            <w:r w:rsidR="007B4427" w:rsidRPr="00CF6FBE">
              <w:rPr>
                <w:rFonts w:cs="Calibri"/>
                <w:b/>
                <w:bCs/>
                <w:color w:val="984806"/>
                <w:sz w:val="22"/>
                <w:szCs w:val="22"/>
                <w:lang w:eastAsia="en-US"/>
              </w:rPr>
              <w:fldChar w:fldCharType="end"/>
            </w:r>
          </w:p>
        </w:tc>
      </w:tr>
      <w:tr w:rsidR="00413824" w:rsidRPr="00C67BE8" w14:paraId="207813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CF6FBE" w:rsidRDefault="00413824" w:rsidP="00413824">
            <w:pPr>
              <w:spacing w:line="276" w:lineRule="auto"/>
              <w:jc w:val="left"/>
              <w:rPr>
                <w:rFonts w:cs="Calibri"/>
                <w:b/>
                <w:color w:val="auto"/>
                <w:sz w:val="22"/>
                <w:szCs w:val="22"/>
                <w:lang w:eastAsia="en-US"/>
              </w:rPr>
            </w:pPr>
            <w:r w:rsidRPr="00CF6FBE">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CFEA7CD" w14:textId="77777777" w:rsidR="00413824" w:rsidRPr="00CF6FBE" w:rsidRDefault="00413824" w:rsidP="00413824">
            <w:pPr>
              <w:spacing w:line="276" w:lineRule="auto"/>
              <w:jc w:val="left"/>
              <w:rPr>
                <w:rFonts w:cs="Calibri"/>
                <w:color w:val="984806"/>
                <w:sz w:val="22"/>
                <w:szCs w:val="22"/>
                <w:lang w:eastAsia="en-US"/>
              </w:rPr>
            </w:pPr>
            <w:r w:rsidRPr="00CF6FBE">
              <w:rPr>
                <w:rFonts w:cs="Calibri"/>
                <w:b/>
                <w:bCs/>
                <w:color w:val="984806"/>
                <w:sz w:val="22"/>
                <w:szCs w:val="22"/>
                <w:lang w:eastAsia="en-US"/>
              </w:rPr>
              <w:t>EESSI (Electronic Exchange of Social Security Information) Project</w:t>
            </w:r>
          </w:p>
        </w:tc>
      </w:tr>
      <w:tr w:rsidR="008A78BB" w:rsidRPr="00C67BE8" w14:paraId="73D4DC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985806B" w14:textId="19307F75" w:rsidR="008A78BB" w:rsidRPr="00CF6FBE" w:rsidRDefault="008A78BB" w:rsidP="00413824">
            <w:pPr>
              <w:spacing w:line="276" w:lineRule="auto"/>
              <w:jc w:val="left"/>
              <w:rPr>
                <w:rFonts w:cs="Calibri"/>
                <w:b/>
                <w:color w:val="auto"/>
                <w:sz w:val="22"/>
                <w:szCs w:val="22"/>
                <w:lang w:eastAsia="en-US"/>
              </w:rPr>
            </w:pPr>
            <w:r>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19C4A22" w14:textId="4B362D48" w:rsidR="008A78BB" w:rsidRPr="00CF6FBE" w:rsidRDefault="008A78BB" w:rsidP="00413824">
            <w:pPr>
              <w:spacing w:line="276" w:lineRule="auto"/>
              <w:jc w:val="left"/>
              <w:rPr>
                <w:rFonts w:cs="Calibri"/>
                <w:b/>
                <w:bCs/>
                <w:color w:val="984806"/>
                <w:sz w:val="22"/>
                <w:szCs w:val="22"/>
                <w:lang w:eastAsia="en-US"/>
              </w:rPr>
            </w:pPr>
            <w:r>
              <w:rPr>
                <w:rFonts w:cs="Calibri"/>
                <w:b/>
                <w:bCs/>
                <w:color w:val="984806"/>
                <w:sz w:val="22"/>
                <w:szCs w:val="22"/>
                <w:lang w:eastAsia="en-US"/>
              </w:rPr>
              <w:t>European Commission, DG EMPL F5</w:t>
            </w:r>
          </w:p>
        </w:tc>
      </w:tr>
      <w:tr w:rsidR="008A78BB" w:rsidRPr="00C67BE8" w14:paraId="70670E1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810BFA2" w14:textId="156A0C8D" w:rsidR="008A78BB" w:rsidRPr="00CF6FBE" w:rsidRDefault="008A78BB" w:rsidP="00413824">
            <w:pPr>
              <w:spacing w:line="276" w:lineRule="auto"/>
              <w:jc w:val="left"/>
              <w:rPr>
                <w:rFonts w:cs="Calibri"/>
                <w:b/>
                <w:color w:val="auto"/>
                <w:sz w:val="22"/>
                <w:szCs w:val="22"/>
                <w:lang w:eastAsia="en-US"/>
              </w:rPr>
            </w:pPr>
            <w:r>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59496B9" w14:textId="0E2830C0" w:rsidR="008A78BB" w:rsidRPr="00CF6FBE" w:rsidRDefault="008A78BB" w:rsidP="00706F0F">
            <w:pPr>
              <w:spacing w:line="276" w:lineRule="auto"/>
              <w:jc w:val="left"/>
              <w:rPr>
                <w:rFonts w:cs="Calibri"/>
                <w:b/>
                <w:bCs/>
                <w:color w:val="984806"/>
                <w:sz w:val="22"/>
                <w:szCs w:val="22"/>
                <w:lang w:eastAsia="en-US"/>
              </w:rPr>
            </w:pPr>
            <w:r>
              <w:rPr>
                <w:rFonts w:cs="Calibri"/>
                <w:b/>
                <w:bCs/>
                <w:color w:val="984806"/>
                <w:sz w:val="22"/>
                <w:szCs w:val="22"/>
                <w:lang w:eastAsia="en-US"/>
              </w:rPr>
              <w:t>European Commission, DG EMPL D2</w:t>
            </w:r>
          </w:p>
        </w:tc>
      </w:tr>
      <w:tr w:rsidR="00413824" w:rsidRPr="00C67BE8" w14:paraId="157103C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77777777" w:rsidR="00413824" w:rsidRPr="00CF6FBE" w:rsidRDefault="00413824" w:rsidP="00413824">
            <w:pPr>
              <w:spacing w:line="276" w:lineRule="auto"/>
              <w:jc w:val="left"/>
              <w:rPr>
                <w:rFonts w:cs="Calibri"/>
                <w:b/>
                <w:color w:val="auto"/>
                <w:sz w:val="22"/>
                <w:szCs w:val="22"/>
                <w:lang w:eastAsia="en-US"/>
              </w:rPr>
            </w:pPr>
            <w:r w:rsidRPr="00CF6FBE">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7A153A29" w:rsidR="00413824" w:rsidRPr="00CF6FBE" w:rsidRDefault="0070085A" w:rsidP="00D3114F">
            <w:pPr>
              <w:spacing w:line="276" w:lineRule="auto"/>
              <w:jc w:val="left"/>
              <w:rPr>
                <w:rFonts w:cs="Calibri"/>
                <w:b/>
                <w:bCs/>
                <w:color w:val="984806"/>
                <w:sz w:val="22"/>
                <w:szCs w:val="22"/>
                <w:lang w:eastAsia="en-US"/>
              </w:rPr>
            </w:pPr>
            <w:r>
              <w:rPr>
                <w:rFonts w:cs="Calibri"/>
                <w:b/>
                <w:bCs/>
                <w:color w:val="984806"/>
                <w:sz w:val="22"/>
                <w:szCs w:val="22"/>
                <w:lang w:eastAsia="en-US"/>
              </w:rPr>
              <w:t>V</w:t>
            </w:r>
            <w:r w:rsidR="00D3114F">
              <w:rPr>
                <w:rFonts w:cs="Calibri"/>
                <w:b/>
                <w:bCs/>
                <w:color w:val="984806"/>
                <w:sz w:val="22"/>
                <w:szCs w:val="22"/>
                <w:lang w:eastAsia="en-US"/>
              </w:rPr>
              <w:t>4.1.0</w:t>
            </w:r>
          </w:p>
        </w:tc>
      </w:tr>
      <w:tr w:rsidR="00413824" w:rsidRPr="00C67BE8" w14:paraId="47A84DE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CF6FBE" w:rsidRDefault="00413824" w:rsidP="00413824">
            <w:pPr>
              <w:spacing w:line="276" w:lineRule="auto"/>
              <w:jc w:val="left"/>
              <w:rPr>
                <w:rFonts w:cs="Calibri"/>
                <w:b/>
                <w:color w:val="auto"/>
                <w:sz w:val="22"/>
                <w:szCs w:val="22"/>
                <w:lang w:eastAsia="en-US"/>
              </w:rPr>
            </w:pPr>
            <w:r w:rsidRPr="00CF6FBE">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77777777" w:rsidR="00413824" w:rsidRPr="00CF6FBE" w:rsidRDefault="00413824" w:rsidP="00413824">
            <w:pPr>
              <w:spacing w:line="276" w:lineRule="auto"/>
              <w:jc w:val="left"/>
              <w:rPr>
                <w:rFonts w:cs="Calibri"/>
                <w:b/>
                <w:bCs/>
                <w:color w:val="984806"/>
                <w:sz w:val="22"/>
                <w:szCs w:val="22"/>
                <w:lang w:eastAsia="en-US"/>
              </w:rPr>
            </w:pPr>
            <w:r w:rsidRPr="00CF6FBE">
              <w:rPr>
                <w:rFonts w:cs="Calibri"/>
                <w:b/>
                <w:bCs/>
                <w:color w:val="984806"/>
                <w:sz w:val="22"/>
                <w:szCs w:val="22"/>
                <w:lang w:eastAsia="en-US"/>
              </w:rPr>
              <w:t>Internal</w:t>
            </w:r>
          </w:p>
        </w:tc>
      </w:tr>
      <w:tr w:rsidR="00413824" w:rsidRPr="00C67BE8" w14:paraId="48B4615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77777777" w:rsidR="00413824" w:rsidRPr="00CF6FBE" w:rsidRDefault="00413824" w:rsidP="00413824">
            <w:pPr>
              <w:spacing w:line="276" w:lineRule="auto"/>
              <w:jc w:val="left"/>
              <w:rPr>
                <w:rFonts w:cs="Calibri"/>
                <w:b/>
                <w:color w:val="auto"/>
                <w:sz w:val="22"/>
                <w:szCs w:val="22"/>
                <w:lang w:eastAsia="en-US"/>
              </w:rPr>
            </w:pPr>
            <w:r w:rsidRPr="00CF6FBE">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0C3B5B42" w:rsidR="00413824" w:rsidRPr="00CF6FBE" w:rsidRDefault="000B52F4" w:rsidP="00127118">
            <w:pPr>
              <w:spacing w:line="276" w:lineRule="auto"/>
              <w:jc w:val="left"/>
              <w:rPr>
                <w:rFonts w:cs="Calibri"/>
                <w:b/>
                <w:bCs/>
                <w:color w:val="984806"/>
                <w:sz w:val="22"/>
                <w:szCs w:val="22"/>
                <w:lang w:eastAsia="en-US"/>
              </w:rPr>
            </w:pPr>
            <w:r>
              <w:rPr>
                <w:rFonts w:cs="Calibri"/>
                <w:b/>
                <w:bCs/>
                <w:color w:val="984806"/>
                <w:sz w:val="22"/>
                <w:szCs w:val="22"/>
                <w:lang w:eastAsia="en-US"/>
              </w:rPr>
              <w:t>22/0</w:t>
            </w:r>
            <w:r w:rsidR="00EB70C3">
              <w:rPr>
                <w:rFonts w:cs="Calibri"/>
                <w:b/>
                <w:bCs/>
                <w:color w:val="984806"/>
                <w:sz w:val="22"/>
                <w:szCs w:val="22"/>
                <w:lang w:eastAsia="en-US"/>
              </w:rPr>
              <w:t>8</w:t>
            </w:r>
            <w:r w:rsidR="00713B92">
              <w:rPr>
                <w:rFonts w:cs="Calibri"/>
                <w:b/>
                <w:bCs/>
                <w:color w:val="984806"/>
                <w:sz w:val="22"/>
                <w:szCs w:val="22"/>
                <w:lang w:eastAsia="en-US"/>
              </w:rPr>
              <w:t>/2018</w:t>
            </w:r>
          </w:p>
        </w:tc>
      </w:tr>
    </w:tbl>
    <w:p w14:paraId="4B06CC00" w14:textId="77777777" w:rsidR="00413824" w:rsidRPr="00CF6FBE" w:rsidRDefault="00413824" w:rsidP="002E6ECB">
      <w:pPr>
        <w:spacing w:line="276" w:lineRule="auto"/>
        <w:jc w:val="left"/>
        <w:rPr>
          <w:rFonts w:eastAsia="Calibri" w:cs="Calibri"/>
          <w:b/>
          <w:bCs/>
          <w:color w:val="auto"/>
          <w:sz w:val="22"/>
          <w:szCs w:val="22"/>
          <w:lang w:eastAsia="en-US"/>
        </w:rPr>
      </w:pPr>
    </w:p>
    <w:p w14:paraId="60D24A7B" w14:textId="77777777" w:rsidR="002E6ECB" w:rsidRPr="00CF6FBE" w:rsidRDefault="002E6ECB" w:rsidP="002E6ECB">
      <w:pPr>
        <w:spacing w:line="276" w:lineRule="auto"/>
        <w:jc w:val="left"/>
        <w:rPr>
          <w:rFonts w:eastAsia="Calibri" w:cs="Calibri"/>
          <w:bCs/>
          <w:color w:val="000000"/>
          <w:sz w:val="22"/>
          <w:szCs w:val="22"/>
          <w:lang w:eastAsia="en-US"/>
        </w:rPr>
      </w:pPr>
    </w:p>
    <w:p w14:paraId="3D9F578B" w14:textId="77777777"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14:paraId="7E8044D2" w14:textId="353AC7E8" w:rsidR="002E6ECB" w:rsidRPr="00CF6FBE" w:rsidRDefault="002E6ECB" w:rsidP="002E6ECB">
      <w:pPr>
        <w:spacing w:line="276" w:lineRule="auto"/>
        <w:rPr>
          <w:rFonts w:eastAsia="Calibri" w:cs="Calibri"/>
          <w:b/>
          <w:bCs/>
          <w:color w:val="000000"/>
          <w:sz w:val="22"/>
          <w:szCs w:val="22"/>
          <w:lang w:eastAsia="en-US"/>
        </w:rPr>
      </w:pPr>
      <w:r w:rsidRPr="00CF6FBE">
        <w:rPr>
          <w:rFonts w:eastAsia="Calibri" w:cs="Calibri"/>
          <w:b/>
          <w:bCs/>
          <w:color w:val="000000"/>
          <w:sz w:val="22"/>
          <w:szCs w:val="22"/>
          <w:lang w:eastAsia="en-US"/>
        </w:rPr>
        <w:lastRenderedPageBreak/>
        <w:t xml:space="preserve">Document history: </w:t>
      </w:r>
    </w:p>
    <w:p w14:paraId="19DD1AF6" w14:textId="77777777" w:rsidR="002E6ECB" w:rsidRPr="00CF6FBE" w:rsidRDefault="002E6ECB" w:rsidP="002E6ECB">
      <w:pPr>
        <w:spacing w:line="276" w:lineRule="auto"/>
        <w:rPr>
          <w:rFonts w:cs="Calibri"/>
          <w:color w:val="auto"/>
          <w:sz w:val="22"/>
          <w:szCs w:val="22"/>
          <w:lang w:eastAsia="en-US"/>
        </w:rPr>
      </w:pPr>
      <w:r w:rsidRPr="00CF6FBE">
        <w:rPr>
          <w:rFonts w:cs="Calibri"/>
          <w:color w:val="auto"/>
          <w:sz w:val="22"/>
          <w:szCs w:val="22"/>
          <w:lang w:eastAsia="en-US"/>
        </w:rPr>
        <w:t>The Document Author is authorized to make the following types of changes to the document without requiring that the document be re-approved:</w:t>
      </w:r>
    </w:p>
    <w:p w14:paraId="52600DC8" w14:textId="77777777" w:rsidR="002E6ECB" w:rsidRPr="00CF6FBE"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CF6FBE">
        <w:rPr>
          <w:rFonts w:cs="Calibri"/>
          <w:color w:val="auto"/>
          <w:sz w:val="22"/>
          <w:szCs w:val="22"/>
          <w:lang w:eastAsia="en-US"/>
        </w:rPr>
        <w:t>Editorial, formatting, and spelling</w:t>
      </w:r>
    </w:p>
    <w:p w14:paraId="49FD9742" w14:textId="77777777" w:rsidR="002E6ECB" w:rsidRPr="00CF6FBE"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CF6FBE">
        <w:rPr>
          <w:rFonts w:cs="Calibri"/>
          <w:color w:val="auto"/>
          <w:sz w:val="22"/>
          <w:szCs w:val="22"/>
          <w:lang w:eastAsia="en-US"/>
        </w:rPr>
        <w:t>Clarification</w:t>
      </w:r>
    </w:p>
    <w:p w14:paraId="20A0A482" w14:textId="77777777" w:rsidR="002E6ECB" w:rsidRPr="00CF6FBE" w:rsidRDefault="002E6ECB" w:rsidP="002E6ECB">
      <w:pPr>
        <w:spacing w:line="276" w:lineRule="auto"/>
        <w:rPr>
          <w:rFonts w:cs="Calibri"/>
          <w:i/>
          <w:color w:val="auto"/>
          <w:sz w:val="22"/>
          <w:szCs w:val="22"/>
          <w:lang w:eastAsia="en-US"/>
        </w:rPr>
      </w:pPr>
    </w:p>
    <w:p w14:paraId="4DD3C76C" w14:textId="77777777" w:rsidR="002E6ECB" w:rsidRPr="00CF6FBE" w:rsidRDefault="002E6ECB" w:rsidP="002E6ECB">
      <w:pPr>
        <w:spacing w:line="276" w:lineRule="auto"/>
        <w:jc w:val="left"/>
        <w:rPr>
          <w:rFonts w:cs="Calibri"/>
          <w:color w:val="auto"/>
          <w:sz w:val="22"/>
          <w:szCs w:val="22"/>
          <w:lang w:eastAsia="en-US"/>
        </w:rPr>
      </w:pPr>
      <w:r w:rsidRPr="00CF6FBE">
        <w:rPr>
          <w:rFonts w:cs="Calibri"/>
          <w:color w:val="auto"/>
          <w:sz w:val="22"/>
          <w:szCs w:val="22"/>
          <w:lang w:eastAsia="en-US"/>
        </w:rPr>
        <w:t>To request a change to this document, contact the Document Author or Owner.</w:t>
      </w:r>
    </w:p>
    <w:p w14:paraId="33775F51" w14:textId="77777777" w:rsidR="00FE78BE" w:rsidRPr="00A11DEC"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AD4709" w:rsidRPr="00C67BE8" w14:paraId="345B68EA" w14:textId="77777777" w:rsidTr="006708BA">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14:paraId="22C8DFEB" w14:textId="77777777" w:rsidR="00AD4709" w:rsidRPr="00CF6FBE" w:rsidRDefault="00AD4709" w:rsidP="00413824">
            <w:pPr>
              <w:spacing w:line="276" w:lineRule="auto"/>
              <w:jc w:val="left"/>
              <w:rPr>
                <w:rFonts w:eastAsia="PMingLiU" w:cs="Calibri"/>
                <w:b/>
                <w:bCs/>
                <w:color w:val="000000"/>
                <w:szCs w:val="20"/>
              </w:rPr>
            </w:pPr>
            <w:r w:rsidRPr="00CF6FBE">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14:paraId="0F430587" w14:textId="77777777" w:rsidR="00AD4709" w:rsidRPr="00CF6FBE" w:rsidRDefault="00AD4709" w:rsidP="00413824">
            <w:pPr>
              <w:spacing w:line="276" w:lineRule="auto"/>
              <w:jc w:val="left"/>
              <w:rPr>
                <w:rFonts w:eastAsia="PMingLiU" w:cs="Calibri"/>
                <w:b/>
                <w:bCs/>
                <w:color w:val="000000"/>
                <w:szCs w:val="20"/>
              </w:rPr>
            </w:pPr>
            <w:r w:rsidRPr="00CF6FBE">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14:paraId="1937C6A4" w14:textId="77777777" w:rsidR="00AD4709" w:rsidRPr="00CF6FBE" w:rsidRDefault="00AD4709" w:rsidP="00413824">
            <w:pPr>
              <w:spacing w:line="276" w:lineRule="auto"/>
              <w:jc w:val="left"/>
              <w:rPr>
                <w:rFonts w:eastAsia="PMingLiU" w:cs="Calibri"/>
                <w:b/>
                <w:bCs/>
                <w:color w:val="000000"/>
                <w:szCs w:val="20"/>
              </w:rPr>
            </w:pPr>
            <w:r w:rsidRPr="00CF6FBE">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14:paraId="0BCC36B5" w14:textId="77777777" w:rsidR="00AD4709" w:rsidRPr="00CF6FBE" w:rsidRDefault="00AD4709" w:rsidP="00413824">
            <w:pPr>
              <w:spacing w:line="276" w:lineRule="auto"/>
              <w:jc w:val="left"/>
              <w:rPr>
                <w:rFonts w:eastAsia="PMingLiU" w:cs="Calibri"/>
                <w:b/>
                <w:bCs/>
                <w:color w:val="000000"/>
                <w:szCs w:val="20"/>
              </w:rPr>
            </w:pPr>
            <w:r w:rsidRPr="00CF6FBE">
              <w:rPr>
                <w:rFonts w:eastAsia="Calibri" w:cs="Calibri"/>
                <w:b/>
                <w:bCs/>
                <w:color w:val="000000"/>
                <w:szCs w:val="20"/>
              </w:rPr>
              <w:t>Short Description of Changes</w:t>
            </w:r>
          </w:p>
        </w:tc>
      </w:tr>
      <w:tr w:rsidR="00AD4709" w:rsidRPr="00C67BE8" w14:paraId="09EE1A04"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31D4A476" w14:textId="77777777" w:rsidR="00AD4709" w:rsidRPr="00CF6FBE" w:rsidRDefault="00AD4709" w:rsidP="00D13B39">
            <w:pPr>
              <w:jc w:val="left"/>
              <w:rPr>
                <w:rFonts w:cs="Calibri"/>
                <w:szCs w:val="20"/>
              </w:rPr>
            </w:pPr>
            <w:r w:rsidRPr="00CF6FBE">
              <w:rPr>
                <w:rFonts w:cs="Calibri"/>
                <w:szCs w:val="20"/>
              </w:rPr>
              <w:t>V0.1</w:t>
            </w:r>
          </w:p>
        </w:tc>
        <w:tc>
          <w:tcPr>
            <w:tcW w:w="721" w:type="pct"/>
            <w:tcBorders>
              <w:top w:val="single" w:sz="4" w:space="0" w:color="7F7F7F"/>
              <w:left w:val="single" w:sz="4" w:space="0" w:color="7F7F7F"/>
              <w:bottom w:val="single" w:sz="4" w:space="0" w:color="7F7F7F"/>
              <w:right w:val="single" w:sz="4" w:space="0" w:color="7F7F7F"/>
            </w:tcBorders>
            <w:vAlign w:val="center"/>
          </w:tcPr>
          <w:p w14:paraId="45B61956" w14:textId="77777777" w:rsidR="00AD4709" w:rsidRPr="00CF6FBE" w:rsidRDefault="00AD4709" w:rsidP="00413824">
            <w:pPr>
              <w:spacing w:line="276" w:lineRule="auto"/>
              <w:jc w:val="center"/>
              <w:rPr>
                <w:rFonts w:eastAsia="PMingLiU" w:cs="Calibri"/>
                <w:color w:val="000000"/>
                <w:szCs w:val="20"/>
              </w:rPr>
            </w:pPr>
            <w:r w:rsidRPr="00CF6FBE">
              <w:rPr>
                <w:rFonts w:eastAsia="PMingLiU" w:cs="Calibri"/>
                <w:color w:val="000000"/>
                <w:szCs w:val="20"/>
              </w:rPr>
              <w:t>06/01/2016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75F6C33E" w14:textId="77777777" w:rsidR="00AD4709" w:rsidRPr="00CF6FBE" w:rsidRDefault="00AD4709" w:rsidP="00413824">
            <w:pPr>
              <w:widowControl w:val="0"/>
              <w:spacing w:line="200" w:lineRule="atLeast"/>
              <w:jc w:val="left"/>
              <w:rPr>
                <w:rFonts w:cs="Calibri"/>
                <w:color w:val="000000"/>
                <w:szCs w:val="20"/>
              </w:rPr>
            </w:pPr>
            <w:r w:rsidRPr="00CF6FBE">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16AD1AE9" w14:textId="77777777" w:rsidR="00AD4709" w:rsidRPr="00CF6FBE" w:rsidRDefault="00AD4709" w:rsidP="00413824">
            <w:pPr>
              <w:jc w:val="left"/>
              <w:rPr>
                <w:rFonts w:cs="Calibri"/>
                <w:szCs w:val="20"/>
              </w:rPr>
            </w:pPr>
            <w:r w:rsidRPr="00CF6FBE">
              <w:rPr>
                <w:rFonts w:cs="Calibri"/>
                <w:szCs w:val="20"/>
              </w:rPr>
              <w:t>First draft of the document</w:t>
            </w:r>
          </w:p>
        </w:tc>
      </w:tr>
      <w:tr w:rsidR="00AD4709" w:rsidRPr="00C67BE8" w14:paraId="0B64256F"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0E68B5DE" w14:textId="77777777" w:rsidR="00AD4709" w:rsidRPr="00CF6FBE" w:rsidRDefault="00AD4709" w:rsidP="00D13B39">
            <w:pPr>
              <w:jc w:val="left"/>
              <w:rPr>
                <w:rFonts w:cs="Calibri"/>
                <w:szCs w:val="20"/>
              </w:rPr>
            </w:pPr>
            <w:r w:rsidRPr="00CF6FBE">
              <w:rPr>
                <w:rFonts w:cs="Calibri"/>
                <w:szCs w:val="20"/>
              </w:rPr>
              <w:t>V0.2.0</w:t>
            </w:r>
          </w:p>
        </w:tc>
        <w:tc>
          <w:tcPr>
            <w:tcW w:w="721" w:type="pct"/>
            <w:tcBorders>
              <w:top w:val="single" w:sz="4" w:space="0" w:color="7F7F7F"/>
              <w:left w:val="single" w:sz="4" w:space="0" w:color="7F7F7F"/>
              <w:bottom w:val="single" w:sz="4" w:space="0" w:color="7F7F7F"/>
              <w:right w:val="single" w:sz="4" w:space="0" w:color="7F7F7F"/>
            </w:tcBorders>
            <w:vAlign w:val="center"/>
          </w:tcPr>
          <w:p w14:paraId="6215B1C8" w14:textId="77777777" w:rsidR="00AD4709" w:rsidRPr="00CF6FBE" w:rsidRDefault="00AD4709" w:rsidP="00413824">
            <w:pPr>
              <w:spacing w:line="276" w:lineRule="auto"/>
              <w:jc w:val="center"/>
              <w:rPr>
                <w:rFonts w:eastAsia="PMingLiU" w:cs="Calibri"/>
                <w:color w:val="000000"/>
                <w:szCs w:val="20"/>
              </w:rPr>
            </w:pPr>
            <w:r w:rsidRPr="00CF6FBE">
              <w:rPr>
                <w:rFonts w:eastAsia="PMingLiU" w:cs="Calibri"/>
                <w:color w:val="000000"/>
                <w:szCs w:val="20"/>
              </w:rPr>
              <w:t>19/02/2016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75521EF8" w14:textId="77777777" w:rsidR="00AD4709" w:rsidRPr="00CF6FBE" w:rsidRDefault="00AD4709" w:rsidP="00413824">
            <w:pPr>
              <w:widowControl w:val="0"/>
              <w:spacing w:line="200" w:lineRule="atLeast"/>
              <w:jc w:val="left"/>
              <w:rPr>
                <w:rFonts w:cs="Calibri"/>
                <w:color w:val="000000"/>
                <w:szCs w:val="20"/>
              </w:rPr>
            </w:pPr>
            <w:r w:rsidRPr="00CF6FBE">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6A7AFDB6" w14:textId="77777777" w:rsidR="00AD4709" w:rsidRPr="00CF6FBE" w:rsidRDefault="00AD4709" w:rsidP="00413824">
            <w:pPr>
              <w:jc w:val="left"/>
              <w:rPr>
                <w:rFonts w:cs="Calibri"/>
                <w:szCs w:val="20"/>
              </w:rPr>
            </w:pPr>
            <w:r w:rsidRPr="00CF6FBE">
              <w:rPr>
                <w:rFonts w:cs="Calibri"/>
                <w:szCs w:val="20"/>
              </w:rPr>
              <w:t>AW_BUC_10 has been splitted into 2 new BUCs.</w:t>
            </w:r>
          </w:p>
        </w:tc>
      </w:tr>
      <w:tr w:rsidR="00AD4709" w:rsidRPr="00C67BE8" w14:paraId="269A3E5C"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1BFCBF89" w14:textId="77777777" w:rsidR="00AD4709" w:rsidRPr="00CF6FBE" w:rsidRDefault="00AD4709" w:rsidP="00D13B39">
            <w:pPr>
              <w:jc w:val="left"/>
              <w:rPr>
                <w:rFonts w:cs="Calibri"/>
                <w:szCs w:val="20"/>
              </w:rPr>
            </w:pPr>
            <w:r w:rsidRPr="00CF6FBE">
              <w:rPr>
                <w:rFonts w:cs="Calibri"/>
                <w:szCs w:val="20"/>
              </w:rPr>
              <w:t>V0.3.0</w:t>
            </w:r>
          </w:p>
        </w:tc>
        <w:tc>
          <w:tcPr>
            <w:tcW w:w="721" w:type="pct"/>
            <w:tcBorders>
              <w:top w:val="single" w:sz="4" w:space="0" w:color="7F7F7F"/>
              <w:left w:val="single" w:sz="4" w:space="0" w:color="7F7F7F"/>
              <w:bottom w:val="single" w:sz="4" w:space="0" w:color="7F7F7F"/>
              <w:right w:val="single" w:sz="4" w:space="0" w:color="7F7F7F"/>
            </w:tcBorders>
            <w:vAlign w:val="center"/>
          </w:tcPr>
          <w:p w14:paraId="4A4CA4B0" w14:textId="77777777" w:rsidR="00AD4709" w:rsidRPr="00CF6FBE" w:rsidRDefault="00AD4709" w:rsidP="00413824">
            <w:pPr>
              <w:spacing w:line="276" w:lineRule="auto"/>
              <w:jc w:val="center"/>
              <w:rPr>
                <w:rFonts w:eastAsia="PMingLiU" w:cs="Calibri"/>
                <w:color w:val="000000"/>
                <w:szCs w:val="20"/>
              </w:rPr>
            </w:pPr>
            <w:r w:rsidRPr="00CF6FBE">
              <w:rPr>
                <w:rFonts w:eastAsia="PMingLiU" w:cs="Calibri"/>
                <w:color w:val="000000"/>
                <w:szCs w:val="20"/>
              </w:rPr>
              <w:t>10/05/2016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7956DD6F" w14:textId="77777777" w:rsidR="00AD4709" w:rsidRPr="00CF6FBE" w:rsidRDefault="00AD4709" w:rsidP="00413824">
            <w:pPr>
              <w:widowControl w:val="0"/>
              <w:spacing w:line="200" w:lineRule="atLeast"/>
              <w:jc w:val="left"/>
              <w:rPr>
                <w:rFonts w:cs="Calibri"/>
                <w:color w:val="000000"/>
                <w:szCs w:val="20"/>
              </w:rPr>
            </w:pPr>
            <w:r w:rsidRPr="00CF6FBE">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1479E1F0" w14:textId="77777777" w:rsidR="00AD4709" w:rsidRPr="00CF6FBE" w:rsidRDefault="00AD4709" w:rsidP="00413824">
            <w:pPr>
              <w:jc w:val="left"/>
              <w:rPr>
                <w:rFonts w:cs="Calibri"/>
                <w:szCs w:val="20"/>
              </w:rPr>
            </w:pPr>
            <w:r w:rsidRPr="00CF6FBE">
              <w:rPr>
                <w:rFonts w:cs="Calibri"/>
                <w:szCs w:val="20"/>
              </w:rPr>
              <w:t>Update of the document based on remarks received from AHG members.  The improvements done directly in the documents have been accepted.</w:t>
            </w:r>
          </w:p>
          <w:p w14:paraId="22DD7C58" w14:textId="77777777" w:rsidR="00AD4709" w:rsidRPr="00CF6FBE" w:rsidRDefault="00AD4709" w:rsidP="00413824">
            <w:pPr>
              <w:jc w:val="left"/>
              <w:rPr>
                <w:rFonts w:cs="Calibri"/>
                <w:szCs w:val="20"/>
              </w:rPr>
            </w:pPr>
          </w:p>
          <w:p w14:paraId="25F812BD" w14:textId="77777777" w:rsidR="00AD4709" w:rsidRPr="00CF6FBE" w:rsidRDefault="00AD4709" w:rsidP="00413824">
            <w:pPr>
              <w:jc w:val="left"/>
              <w:rPr>
                <w:rFonts w:cs="Calibri"/>
                <w:szCs w:val="20"/>
              </w:rPr>
            </w:pPr>
            <w:r w:rsidRPr="00CF6FBE">
              <w:rPr>
                <w:rFonts w:cs="Calibri"/>
                <w:szCs w:val="20"/>
              </w:rPr>
              <w:t>Section 2.2 Legal Base</w:t>
            </w:r>
          </w:p>
          <w:p w14:paraId="38F39D2D" w14:textId="77777777" w:rsidR="00AD4709" w:rsidRPr="00CF6FBE" w:rsidRDefault="00AD4709" w:rsidP="00413824">
            <w:pPr>
              <w:jc w:val="left"/>
              <w:rPr>
                <w:rFonts w:cs="Calibri"/>
                <w:szCs w:val="20"/>
              </w:rPr>
            </w:pPr>
            <w:r w:rsidRPr="00CF6FBE">
              <w:rPr>
                <w:rFonts w:cs="Calibri"/>
                <w:szCs w:val="20"/>
              </w:rPr>
              <w:t>Basic regulation column has been removed while not referenced in the SEDs</w:t>
            </w:r>
          </w:p>
          <w:p w14:paraId="74E189E2" w14:textId="77777777" w:rsidR="00AD4709" w:rsidRPr="00CF6FBE" w:rsidRDefault="00AD4709" w:rsidP="00413824">
            <w:pPr>
              <w:jc w:val="left"/>
              <w:rPr>
                <w:rFonts w:cs="Calibri"/>
                <w:szCs w:val="20"/>
              </w:rPr>
            </w:pPr>
          </w:p>
          <w:p w14:paraId="0B738855" w14:textId="77777777" w:rsidR="00AD4709" w:rsidRPr="00CF6FBE" w:rsidRDefault="00AD4709" w:rsidP="00413824">
            <w:pPr>
              <w:jc w:val="left"/>
              <w:rPr>
                <w:rFonts w:cs="Calibri"/>
                <w:szCs w:val="20"/>
              </w:rPr>
            </w:pPr>
            <w:r w:rsidRPr="00CF6FBE">
              <w:rPr>
                <w:rFonts w:cs="Calibri"/>
                <w:szCs w:val="20"/>
              </w:rPr>
              <w:t>Section 4.1 RUP Table Representation</w:t>
            </w:r>
          </w:p>
          <w:p w14:paraId="6A41E7A3" w14:textId="77777777" w:rsidR="00AD4709" w:rsidRPr="00CF6FBE" w:rsidRDefault="00AD4709" w:rsidP="00413824">
            <w:pPr>
              <w:jc w:val="left"/>
              <w:rPr>
                <w:rFonts w:cs="Calibri"/>
                <w:szCs w:val="20"/>
              </w:rPr>
            </w:pPr>
            <w:r w:rsidRPr="00CF6FBE">
              <w:rPr>
                <w:rFonts w:cs="Calibri"/>
                <w:szCs w:val="20"/>
              </w:rPr>
              <w:t>Branch 1 Alternative Scenario has been added, other branches have been renumbered.  This alternative scenario replaces the steps 9 to 11 previously defined.</w:t>
            </w:r>
          </w:p>
          <w:p w14:paraId="7D605258" w14:textId="77777777" w:rsidR="00AD4709" w:rsidRPr="00CF6FBE" w:rsidRDefault="00AD4709" w:rsidP="00413824">
            <w:pPr>
              <w:jc w:val="left"/>
              <w:rPr>
                <w:rFonts w:cs="Calibri"/>
                <w:szCs w:val="20"/>
              </w:rPr>
            </w:pPr>
          </w:p>
          <w:p w14:paraId="7343FD04" w14:textId="77777777" w:rsidR="00AD4709" w:rsidRPr="00CF6FBE" w:rsidRDefault="00AD4709" w:rsidP="00413824">
            <w:pPr>
              <w:jc w:val="left"/>
              <w:rPr>
                <w:rFonts w:cs="Calibri"/>
                <w:szCs w:val="20"/>
              </w:rPr>
            </w:pPr>
            <w:r w:rsidRPr="00CF6FBE">
              <w:rPr>
                <w:rFonts w:cs="Calibri"/>
                <w:szCs w:val="20"/>
              </w:rPr>
              <w:t>Branch 7 : At any step after [step 10] has been replaced by "at any step after [step 2 Branch 1]</w:t>
            </w:r>
          </w:p>
          <w:p w14:paraId="124E76D2" w14:textId="77777777" w:rsidR="00AD4709" w:rsidRPr="00CF6FBE" w:rsidRDefault="00AD4709" w:rsidP="00413824">
            <w:pPr>
              <w:jc w:val="left"/>
              <w:rPr>
                <w:rFonts w:cs="Calibri"/>
                <w:szCs w:val="20"/>
              </w:rPr>
            </w:pPr>
          </w:p>
          <w:p w14:paraId="67310D36" w14:textId="77777777" w:rsidR="00AD4709" w:rsidRPr="00CF6FBE" w:rsidRDefault="00AD4709" w:rsidP="00413824">
            <w:pPr>
              <w:jc w:val="left"/>
              <w:rPr>
                <w:rFonts w:cs="Calibri"/>
                <w:szCs w:val="20"/>
              </w:rPr>
            </w:pPr>
            <w:r w:rsidRPr="00CF6FBE">
              <w:rPr>
                <w:rFonts w:cs="Calibri"/>
                <w:szCs w:val="20"/>
              </w:rPr>
              <w:t>Branch 8 : Between [step 7] and [step 11] has been replaced by "At any step after [step 7]"</w:t>
            </w:r>
          </w:p>
          <w:p w14:paraId="5FD4AFED" w14:textId="77777777" w:rsidR="00AD4709" w:rsidRPr="00CF6FBE" w:rsidRDefault="00AD4709" w:rsidP="00413824">
            <w:pPr>
              <w:jc w:val="left"/>
              <w:rPr>
                <w:rFonts w:cs="Calibri"/>
                <w:szCs w:val="20"/>
              </w:rPr>
            </w:pPr>
          </w:p>
          <w:p w14:paraId="7D6DF2BB" w14:textId="77777777" w:rsidR="00AD4709" w:rsidRPr="00CF6FBE" w:rsidRDefault="00AD4709" w:rsidP="00413824">
            <w:pPr>
              <w:jc w:val="left"/>
              <w:rPr>
                <w:rFonts w:cs="Calibri"/>
                <w:szCs w:val="20"/>
              </w:rPr>
            </w:pPr>
            <w:r w:rsidRPr="00CF6FBE">
              <w:rPr>
                <w:rFonts w:cs="Calibri"/>
                <w:szCs w:val="20"/>
              </w:rPr>
              <w:t>Branch 10 is added : Counterparty rejects the DA053</w:t>
            </w:r>
          </w:p>
          <w:p w14:paraId="7E05F5C1" w14:textId="77777777" w:rsidR="00AD4709" w:rsidRPr="00CF6FBE" w:rsidRDefault="00AD4709" w:rsidP="00413824">
            <w:pPr>
              <w:jc w:val="left"/>
              <w:rPr>
                <w:rFonts w:cs="Calibri"/>
                <w:szCs w:val="20"/>
              </w:rPr>
            </w:pPr>
          </w:p>
          <w:p w14:paraId="45B1D6B0" w14:textId="77777777" w:rsidR="00AD4709" w:rsidRPr="00CF6FBE" w:rsidRDefault="00AD4709" w:rsidP="00413824">
            <w:pPr>
              <w:jc w:val="left"/>
              <w:rPr>
                <w:rFonts w:cs="Calibri"/>
                <w:szCs w:val="20"/>
              </w:rPr>
            </w:pPr>
            <w:r w:rsidRPr="00CF6FBE">
              <w:rPr>
                <w:rFonts w:cs="Calibri"/>
                <w:szCs w:val="20"/>
              </w:rPr>
              <w:t>In all branches : "The participant" has been replaced by "The Case Owner" or "The Counterparty"</w:t>
            </w:r>
          </w:p>
          <w:p w14:paraId="5285F53A" w14:textId="77777777" w:rsidR="00AD4709" w:rsidRPr="00CF6FBE" w:rsidRDefault="00AD4709" w:rsidP="00413824">
            <w:pPr>
              <w:jc w:val="left"/>
              <w:rPr>
                <w:rFonts w:cs="Calibri"/>
                <w:szCs w:val="20"/>
              </w:rPr>
            </w:pPr>
            <w:r w:rsidRPr="00CF6FBE">
              <w:rPr>
                <w:rFonts w:cs="Calibri"/>
                <w:szCs w:val="20"/>
              </w:rPr>
              <w:t>Steps have been added for the "Invalidate" branches.  It does not impact the process itself</w:t>
            </w:r>
          </w:p>
          <w:p w14:paraId="781DA35C" w14:textId="77777777" w:rsidR="00AD4709" w:rsidRPr="00CF6FBE" w:rsidRDefault="00AD4709" w:rsidP="00413824">
            <w:pPr>
              <w:jc w:val="left"/>
              <w:rPr>
                <w:rFonts w:cs="Calibri"/>
                <w:szCs w:val="20"/>
              </w:rPr>
            </w:pPr>
          </w:p>
          <w:p w14:paraId="2410F2D7" w14:textId="77777777" w:rsidR="00AD4709" w:rsidRPr="00CF6FBE" w:rsidRDefault="00AD4709" w:rsidP="00413824">
            <w:pPr>
              <w:jc w:val="left"/>
              <w:rPr>
                <w:rFonts w:cs="Calibri"/>
                <w:szCs w:val="20"/>
              </w:rPr>
            </w:pPr>
            <w:r w:rsidRPr="00CF6FBE">
              <w:rPr>
                <w:rFonts w:cs="Calibri"/>
                <w:szCs w:val="20"/>
              </w:rPr>
              <w:t>Rules about invoking of Branches is updated.</w:t>
            </w:r>
          </w:p>
          <w:p w14:paraId="3940E3AB" w14:textId="77777777" w:rsidR="00AD4709" w:rsidRPr="00CF6FBE" w:rsidRDefault="00AD4709" w:rsidP="00413824">
            <w:pPr>
              <w:jc w:val="left"/>
              <w:rPr>
                <w:rFonts w:cs="Calibri"/>
                <w:szCs w:val="20"/>
              </w:rPr>
            </w:pPr>
          </w:p>
          <w:p w14:paraId="096AEE7E" w14:textId="77777777" w:rsidR="00AD4709" w:rsidRPr="00CF6FBE" w:rsidRDefault="00AD4709" w:rsidP="00413824">
            <w:pPr>
              <w:jc w:val="left"/>
              <w:rPr>
                <w:rFonts w:cs="Calibri"/>
                <w:szCs w:val="20"/>
              </w:rPr>
            </w:pPr>
            <w:r w:rsidRPr="00CF6FBE">
              <w:rPr>
                <w:rFonts w:cs="Calibri"/>
                <w:szCs w:val="20"/>
              </w:rPr>
              <w:t>Section 4.4 RUP UC Diagram Representation is updated.</w:t>
            </w:r>
          </w:p>
          <w:p w14:paraId="664C034E" w14:textId="77777777" w:rsidR="00AD4709" w:rsidRPr="00CF6FBE" w:rsidRDefault="00AD4709" w:rsidP="00413824">
            <w:pPr>
              <w:jc w:val="left"/>
              <w:rPr>
                <w:rFonts w:cs="Calibri"/>
                <w:szCs w:val="20"/>
              </w:rPr>
            </w:pPr>
            <w:r w:rsidRPr="00CF6FBE">
              <w:rPr>
                <w:rFonts w:cs="Calibri"/>
                <w:szCs w:val="20"/>
              </w:rPr>
              <w:lastRenderedPageBreak/>
              <w:t>Section 4.5 SED and Sub-process Versioning is updated.</w:t>
            </w:r>
          </w:p>
          <w:p w14:paraId="0D27B5A2" w14:textId="77777777" w:rsidR="00AD4709" w:rsidRPr="00CF6FBE" w:rsidRDefault="00AD4709" w:rsidP="00413824">
            <w:pPr>
              <w:jc w:val="left"/>
              <w:rPr>
                <w:rFonts w:cs="Calibri"/>
                <w:szCs w:val="20"/>
              </w:rPr>
            </w:pPr>
          </w:p>
          <w:p w14:paraId="476FC9B7" w14:textId="77777777" w:rsidR="00AD4709" w:rsidRPr="00CF6FBE" w:rsidRDefault="00AD4709" w:rsidP="00AD3DE8">
            <w:pPr>
              <w:jc w:val="left"/>
              <w:rPr>
                <w:rFonts w:cs="Calibri"/>
                <w:szCs w:val="20"/>
              </w:rPr>
            </w:pPr>
            <w:r w:rsidRPr="00CF6FBE">
              <w:rPr>
                <w:rFonts w:cs="Calibri"/>
                <w:szCs w:val="20"/>
              </w:rPr>
              <w:t>Section 5 Business Processes has been replaced by the new version</w:t>
            </w:r>
          </w:p>
        </w:tc>
      </w:tr>
      <w:tr w:rsidR="00AD4709" w:rsidRPr="00C67BE8" w14:paraId="00DF4E6A"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0024B11C" w14:textId="34B80D76" w:rsidR="00AD4709" w:rsidRPr="00AD4709" w:rsidRDefault="00AD4709" w:rsidP="00327FEA">
            <w:pPr>
              <w:jc w:val="left"/>
              <w:rPr>
                <w:rFonts w:cs="Calibri"/>
                <w:szCs w:val="20"/>
              </w:rPr>
            </w:pPr>
            <w:r>
              <w:rPr>
                <w:rFonts w:cs="Calibri"/>
                <w:szCs w:val="20"/>
              </w:rPr>
              <w:lastRenderedPageBreak/>
              <w:t>V0.</w:t>
            </w:r>
            <w:r w:rsidR="00327FEA">
              <w:rPr>
                <w:rFonts w:cs="Calibri"/>
                <w:szCs w:val="20"/>
              </w:rPr>
              <w:t>4</w:t>
            </w:r>
            <w:r>
              <w:rPr>
                <w:rFonts w:cs="Calibri"/>
                <w:szCs w:val="20"/>
              </w:rPr>
              <w:t>.0</w:t>
            </w:r>
          </w:p>
        </w:tc>
        <w:tc>
          <w:tcPr>
            <w:tcW w:w="721" w:type="pct"/>
            <w:tcBorders>
              <w:top w:val="single" w:sz="4" w:space="0" w:color="7F7F7F"/>
              <w:left w:val="single" w:sz="4" w:space="0" w:color="7F7F7F"/>
              <w:bottom w:val="single" w:sz="4" w:space="0" w:color="7F7F7F"/>
              <w:right w:val="single" w:sz="4" w:space="0" w:color="7F7F7F"/>
            </w:tcBorders>
            <w:vAlign w:val="center"/>
          </w:tcPr>
          <w:p w14:paraId="1AAB2889" w14:textId="6FD97D03" w:rsidR="00AD4709" w:rsidRPr="00AD4709" w:rsidRDefault="00AD4709" w:rsidP="00413824">
            <w:pPr>
              <w:spacing w:line="276" w:lineRule="auto"/>
              <w:jc w:val="center"/>
              <w:rPr>
                <w:rFonts w:eastAsia="PMingLiU" w:cs="Calibri"/>
                <w:color w:val="000000"/>
                <w:szCs w:val="20"/>
              </w:rPr>
            </w:pPr>
            <w:r>
              <w:rPr>
                <w:rFonts w:eastAsia="PMingLiU" w:cs="Calibri"/>
                <w:color w:val="000000"/>
                <w:szCs w:val="20"/>
              </w:rPr>
              <w:t>27/06/2016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333ED8F0" w14:textId="059DCCAC" w:rsidR="00AD4709" w:rsidRPr="00AD4709" w:rsidRDefault="00AD4709"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13065033" w14:textId="77777777" w:rsidR="00AD4709" w:rsidRDefault="00AD4709" w:rsidP="00413824">
            <w:pPr>
              <w:jc w:val="left"/>
              <w:rPr>
                <w:rFonts w:cs="Calibri"/>
                <w:szCs w:val="20"/>
              </w:rPr>
            </w:pPr>
            <w:r>
              <w:rPr>
                <w:rFonts w:cs="Calibri"/>
                <w:szCs w:val="20"/>
              </w:rPr>
              <w:t>Alignment to the standard description and layout of the BUC.</w:t>
            </w:r>
          </w:p>
          <w:p w14:paraId="743F6C46" w14:textId="77777777" w:rsidR="009434B3" w:rsidRDefault="009434B3" w:rsidP="00413824">
            <w:pPr>
              <w:jc w:val="left"/>
              <w:rPr>
                <w:rFonts w:cs="Calibri"/>
                <w:szCs w:val="20"/>
              </w:rPr>
            </w:pPr>
          </w:p>
          <w:p w14:paraId="244D2342" w14:textId="77777777" w:rsidR="009434B3" w:rsidRDefault="009434B3" w:rsidP="009434B3">
            <w:pPr>
              <w:jc w:val="left"/>
              <w:rPr>
                <w:rFonts w:cs="Calibri"/>
                <w:szCs w:val="20"/>
              </w:rPr>
            </w:pPr>
            <w:r>
              <w:rPr>
                <w:rFonts w:cs="Calibri"/>
                <w:szCs w:val="20"/>
              </w:rPr>
              <w:t>Section 4.1 RUP Table Description</w:t>
            </w:r>
          </w:p>
          <w:p w14:paraId="0D153001" w14:textId="438D3C05" w:rsidR="009434B3" w:rsidRPr="00AD4709" w:rsidRDefault="009434B3" w:rsidP="009C35C8">
            <w:pPr>
              <w:jc w:val="left"/>
              <w:rPr>
                <w:rFonts w:cs="Calibri"/>
                <w:szCs w:val="20"/>
              </w:rPr>
            </w:pPr>
            <w:r>
              <w:rPr>
                <w:rFonts w:cs="Calibri"/>
                <w:szCs w:val="20"/>
              </w:rPr>
              <w:t>Special requirements : detail is added regarding DA05</w:t>
            </w:r>
            <w:r w:rsidR="009C35C8">
              <w:rPr>
                <w:rFonts w:cs="Calibri"/>
                <w:szCs w:val="20"/>
              </w:rPr>
              <w:t>3</w:t>
            </w:r>
            <w:r>
              <w:rPr>
                <w:rFonts w:cs="Calibri"/>
                <w:szCs w:val="20"/>
              </w:rPr>
              <w:t xml:space="preserve"> and DA05</w:t>
            </w:r>
            <w:r w:rsidR="009C35C8">
              <w:rPr>
                <w:rFonts w:cs="Calibri"/>
                <w:szCs w:val="20"/>
              </w:rPr>
              <w:t>6</w:t>
            </w:r>
            <w:r>
              <w:rPr>
                <w:rFonts w:cs="Calibri"/>
                <w:szCs w:val="20"/>
              </w:rPr>
              <w:t xml:space="preserve"> invalidated</w:t>
            </w:r>
          </w:p>
        </w:tc>
      </w:tr>
      <w:tr w:rsidR="00595F82" w:rsidRPr="00C67BE8" w14:paraId="305B28B9"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5824E763" w14:textId="343604CB" w:rsidR="00595F82" w:rsidRDefault="00595F82" w:rsidP="00327FEA">
            <w:pPr>
              <w:jc w:val="left"/>
              <w:rPr>
                <w:rFonts w:cs="Calibri"/>
                <w:szCs w:val="20"/>
              </w:rPr>
            </w:pPr>
            <w:r>
              <w:rPr>
                <w:rFonts w:cs="Calibri"/>
                <w:szCs w:val="20"/>
              </w:rPr>
              <w:t>V0.5.0</w:t>
            </w:r>
          </w:p>
        </w:tc>
        <w:tc>
          <w:tcPr>
            <w:tcW w:w="721" w:type="pct"/>
            <w:tcBorders>
              <w:top w:val="single" w:sz="4" w:space="0" w:color="7F7F7F"/>
              <w:left w:val="single" w:sz="4" w:space="0" w:color="7F7F7F"/>
              <w:bottom w:val="single" w:sz="4" w:space="0" w:color="7F7F7F"/>
              <w:right w:val="single" w:sz="4" w:space="0" w:color="7F7F7F"/>
            </w:tcBorders>
            <w:vAlign w:val="center"/>
          </w:tcPr>
          <w:p w14:paraId="1ACD9D6E" w14:textId="1762B372" w:rsidR="00595F82" w:rsidRDefault="00595F82" w:rsidP="00413824">
            <w:pPr>
              <w:spacing w:line="276" w:lineRule="auto"/>
              <w:jc w:val="center"/>
              <w:rPr>
                <w:rFonts w:eastAsia="PMingLiU" w:cs="Calibri"/>
                <w:color w:val="000000"/>
                <w:szCs w:val="20"/>
              </w:rPr>
            </w:pPr>
            <w:r>
              <w:rPr>
                <w:rFonts w:eastAsia="PMingLiU" w:cs="Calibri"/>
                <w:color w:val="000000"/>
                <w:szCs w:val="20"/>
              </w:rPr>
              <w:t>20/09/2016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5D1D3DFB" w14:textId="408ACBC5" w:rsidR="00595F82" w:rsidRDefault="00595F82"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45DFA8CA" w14:textId="27B8169D" w:rsidR="00595F82" w:rsidRDefault="00595F82" w:rsidP="00413824">
            <w:pPr>
              <w:jc w:val="left"/>
              <w:rPr>
                <w:rFonts w:cs="Calibri"/>
                <w:szCs w:val="20"/>
              </w:rPr>
            </w:pPr>
            <w:r>
              <w:rPr>
                <w:rFonts w:cs="Calibri"/>
                <w:szCs w:val="20"/>
              </w:rPr>
              <w:t>Comments, suggestions and remarks received from AC review have been implemented in the document.</w:t>
            </w:r>
          </w:p>
        </w:tc>
      </w:tr>
      <w:tr w:rsidR="006333E1" w:rsidRPr="00C67BE8" w14:paraId="70DF609E"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208D9884" w14:textId="56A13F37" w:rsidR="006333E1" w:rsidRDefault="006333E1" w:rsidP="00327FEA">
            <w:pPr>
              <w:jc w:val="left"/>
              <w:rPr>
                <w:rFonts w:cs="Calibri"/>
                <w:szCs w:val="20"/>
              </w:rPr>
            </w:pPr>
            <w:r>
              <w:rPr>
                <w:rFonts w:cs="Calibri"/>
                <w:szCs w:val="20"/>
              </w:rPr>
              <w:t>V0.99.0</w:t>
            </w:r>
          </w:p>
        </w:tc>
        <w:tc>
          <w:tcPr>
            <w:tcW w:w="721" w:type="pct"/>
            <w:tcBorders>
              <w:top w:val="single" w:sz="4" w:space="0" w:color="7F7F7F"/>
              <w:left w:val="single" w:sz="4" w:space="0" w:color="7F7F7F"/>
              <w:bottom w:val="single" w:sz="4" w:space="0" w:color="7F7F7F"/>
              <w:right w:val="single" w:sz="4" w:space="0" w:color="7F7F7F"/>
            </w:tcBorders>
            <w:vAlign w:val="center"/>
          </w:tcPr>
          <w:p w14:paraId="7320BAC5" w14:textId="03030C5B" w:rsidR="006333E1" w:rsidRDefault="006333E1" w:rsidP="00413824">
            <w:pPr>
              <w:spacing w:line="276" w:lineRule="auto"/>
              <w:jc w:val="center"/>
              <w:rPr>
                <w:rFonts w:eastAsia="PMingLiU" w:cs="Calibri"/>
                <w:color w:val="000000"/>
                <w:szCs w:val="20"/>
              </w:rPr>
            </w:pPr>
            <w:r>
              <w:rPr>
                <w:rFonts w:eastAsia="PMingLiU" w:cs="Calibri"/>
                <w:color w:val="00000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49AA07F5" w14:textId="26FDBDB3" w:rsidR="006333E1" w:rsidRDefault="006333E1"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6F63502C" w14:textId="77777777" w:rsidR="006333E1" w:rsidRDefault="006333E1" w:rsidP="00413824">
            <w:pPr>
              <w:jc w:val="left"/>
              <w:rPr>
                <w:rFonts w:cs="Calibri"/>
                <w:szCs w:val="20"/>
              </w:rPr>
            </w:pPr>
            <w:r>
              <w:rPr>
                <w:rFonts w:cs="Calibri"/>
                <w:szCs w:val="20"/>
              </w:rPr>
              <w:t>Candidate for AC approval.</w:t>
            </w:r>
          </w:p>
          <w:p w14:paraId="4E64E6DC" w14:textId="77777777" w:rsidR="006333E1" w:rsidRDefault="006333E1" w:rsidP="00413824">
            <w:pPr>
              <w:jc w:val="left"/>
              <w:rPr>
                <w:rFonts w:cs="Calibri"/>
                <w:szCs w:val="20"/>
              </w:rPr>
            </w:pPr>
          </w:p>
          <w:p w14:paraId="0FF965D5" w14:textId="77777777" w:rsidR="006333E1" w:rsidRDefault="006333E1" w:rsidP="00413824">
            <w:pPr>
              <w:jc w:val="left"/>
              <w:rPr>
                <w:rFonts w:cs="Calibri"/>
                <w:szCs w:val="20"/>
              </w:rPr>
            </w:pPr>
            <w:r>
              <w:rPr>
                <w:rFonts w:cs="Calibri"/>
                <w:szCs w:val="20"/>
              </w:rPr>
              <w:t>As comment received from DryRun session, it has been suggested to add "Clarify" option.</w:t>
            </w:r>
          </w:p>
          <w:p w14:paraId="22183520" w14:textId="77777777" w:rsidR="006333E1" w:rsidRDefault="006333E1" w:rsidP="00413824">
            <w:pPr>
              <w:jc w:val="left"/>
              <w:rPr>
                <w:rFonts w:cs="Calibri"/>
                <w:szCs w:val="20"/>
              </w:rPr>
            </w:pPr>
          </w:p>
          <w:p w14:paraId="3EED7158" w14:textId="77777777" w:rsidR="006333E1" w:rsidRDefault="006333E1" w:rsidP="00413824">
            <w:pPr>
              <w:jc w:val="left"/>
              <w:rPr>
                <w:rFonts w:cs="Calibri"/>
                <w:szCs w:val="20"/>
              </w:rPr>
            </w:pPr>
            <w:r>
              <w:rPr>
                <w:rFonts w:cs="Calibri"/>
                <w:szCs w:val="20"/>
              </w:rPr>
              <w:t>AHG members have been informed about this suggestion and agreed on that.  So, "Clarify" has been added in this BUC.</w:t>
            </w:r>
          </w:p>
          <w:p w14:paraId="36221E27" w14:textId="77777777" w:rsidR="006333E1" w:rsidRDefault="006333E1" w:rsidP="00413824">
            <w:pPr>
              <w:jc w:val="left"/>
              <w:rPr>
                <w:rFonts w:cs="Calibri"/>
                <w:szCs w:val="20"/>
              </w:rPr>
            </w:pPr>
          </w:p>
          <w:p w14:paraId="0BE07924" w14:textId="77777777" w:rsidR="006333E1" w:rsidRDefault="006333E1" w:rsidP="00413824">
            <w:pPr>
              <w:jc w:val="left"/>
              <w:rPr>
                <w:rFonts w:cs="Calibri"/>
                <w:szCs w:val="20"/>
              </w:rPr>
            </w:pPr>
            <w:r>
              <w:rPr>
                <w:rFonts w:cs="Calibri"/>
                <w:szCs w:val="20"/>
              </w:rPr>
              <w:t>Section 4.1 RUP Table Description</w:t>
            </w:r>
          </w:p>
          <w:p w14:paraId="6B789CDE" w14:textId="509C4233" w:rsidR="00A00E66" w:rsidRDefault="00A00E66" w:rsidP="00413824">
            <w:pPr>
              <w:jc w:val="left"/>
              <w:rPr>
                <w:rFonts w:cs="Calibri"/>
                <w:szCs w:val="20"/>
              </w:rPr>
            </w:pPr>
            <w:r>
              <w:rPr>
                <w:rFonts w:cs="Calibri"/>
                <w:szCs w:val="20"/>
              </w:rPr>
              <w:t>Branch 11 – Clarify is added for Counterparty regarding DA053</w:t>
            </w:r>
          </w:p>
          <w:p w14:paraId="7D017FBD" w14:textId="77777777" w:rsidR="00A00E66" w:rsidRDefault="00A00E66" w:rsidP="00413824">
            <w:pPr>
              <w:jc w:val="left"/>
              <w:rPr>
                <w:rFonts w:cs="Calibri"/>
                <w:szCs w:val="20"/>
              </w:rPr>
            </w:pPr>
            <w:r>
              <w:rPr>
                <w:rFonts w:cs="Calibri"/>
                <w:szCs w:val="20"/>
              </w:rPr>
              <w:t>Branch 12 – Clarify is added for Case Owner regarding DA054</w:t>
            </w:r>
          </w:p>
          <w:p w14:paraId="4A9073B4" w14:textId="77777777" w:rsidR="00A00E66" w:rsidRDefault="00A00E66" w:rsidP="00413824">
            <w:pPr>
              <w:jc w:val="left"/>
              <w:rPr>
                <w:rFonts w:cs="Calibri"/>
                <w:szCs w:val="20"/>
              </w:rPr>
            </w:pPr>
            <w:r>
              <w:rPr>
                <w:rFonts w:cs="Calibri"/>
                <w:szCs w:val="20"/>
              </w:rPr>
              <w:t>Branch 13 – Clarify is added for Counterparty regarding DA056</w:t>
            </w:r>
          </w:p>
          <w:p w14:paraId="22B3AFBC" w14:textId="77777777" w:rsidR="00A00E66" w:rsidRDefault="00A00E66" w:rsidP="00413824">
            <w:pPr>
              <w:jc w:val="left"/>
              <w:rPr>
                <w:rFonts w:cs="Calibri"/>
                <w:szCs w:val="20"/>
              </w:rPr>
            </w:pPr>
          </w:p>
          <w:p w14:paraId="07663956" w14:textId="77777777" w:rsidR="00A00E66" w:rsidRDefault="00A00E66" w:rsidP="00413824">
            <w:pPr>
              <w:jc w:val="left"/>
              <w:rPr>
                <w:rFonts w:cs="Calibri"/>
                <w:szCs w:val="20"/>
              </w:rPr>
            </w:pPr>
            <w:r>
              <w:rPr>
                <w:rFonts w:cs="Calibri"/>
                <w:szCs w:val="20"/>
              </w:rPr>
              <w:t>Special requirements added for branches 11, 12 and 13</w:t>
            </w:r>
          </w:p>
          <w:p w14:paraId="77B23E27" w14:textId="77777777" w:rsidR="009B3CE9" w:rsidRDefault="009B3CE9" w:rsidP="00413824">
            <w:pPr>
              <w:jc w:val="left"/>
              <w:rPr>
                <w:rFonts w:cs="Calibri"/>
                <w:szCs w:val="20"/>
              </w:rPr>
            </w:pPr>
          </w:p>
          <w:p w14:paraId="1137FA36" w14:textId="77777777" w:rsidR="009B3CE9" w:rsidRDefault="009B3CE9" w:rsidP="00413824">
            <w:pPr>
              <w:jc w:val="left"/>
              <w:rPr>
                <w:rFonts w:cs="Calibri"/>
                <w:szCs w:val="20"/>
              </w:rPr>
            </w:pPr>
            <w:r>
              <w:rPr>
                <w:rFonts w:cs="Calibri"/>
                <w:szCs w:val="20"/>
              </w:rPr>
              <w:t>Section 4.4 RUP UC Diagram Representation is updated</w:t>
            </w:r>
          </w:p>
          <w:p w14:paraId="66E94C04" w14:textId="77777777" w:rsidR="009B3CE9" w:rsidRDefault="009B3CE9" w:rsidP="00413824">
            <w:pPr>
              <w:jc w:val="left"/>
              <w:rPr>
                <w:rFonts w:cs="Calibri"/>
                <w:szCs w:val="20"/>
              </w:rPr>
            </w:pPr>
          </w:p>
          <w:p w14:paraId="1B002D87" w14:textId="3B3F2B53" w:rsidR="009B3CE9" w:rsidRDefault="009B3CE9" w:rsidP="00413824">
            <w:pPr>
              <w:jc w:val="left"/>
              <w:rPr>
                <w:rFonts w:cs="Calibri"/>
                <w:szCs w:val="20"/>
              </w:rPr>
            </w:pPr>
            <w:r>
              <w:rPr>
                <w:rFonts w:cs="Calibri"/>
                <w:szCs w:val="20"/>
              </w:rPr>
              <w:t>Section 4.5 SED and Sub-process Versioning is updated</w:t>
            </w:r>
          </w:p>
        </w:tc>
      </w:tr>
      <w:tr w:rsidR="00022A52" w:rsidRPr="00C67BE8" w14:paraId="132D22C4"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662BD7FA" w14:textId="459B8362" w:rsidR="00022A52" w:rsidRDefault="00022A52" w:rsidP="00327FEA">
            <w:pPr>
              <w:jc w:val="left"/>
              <w:rPr>
                <w:rFonts w:cs="Calibri"/>
                <w:szCs w:val="20"/>
              </w:rPr>
            </w:pPr>
            <w:r>
              <w:rPr>
                <w:rFonts w:cs="Calibri"/>
                <w:szCs w:val="20"/>
              </w:rPr>
              <w:t>V0.99.1</w:t>
            </w:r>
          </w:p>
        </w:tc>
        <w:tc>
          <w:tcPr>
            <w:tcW w:w="721" w:type="pct"/>
            <w:tcBorders>
              <w:top w:val="single" w:sz="4" w:space="0" w:color="7F7F7F"/>
              <w:left w:val="single" w:sz="4" w:space="0" w:color="7F7F7F"/>
              <w:bottom w:val="single" w:sz="4" w:space="0" w:color="7F7F7F"/>
              <w:right w:val="single" w:sz="4" w:space="0" w:color="7F7F7F"/>
            </w:tcBorders>
            <w:vAlign w:val="center"/>
          </w:tcPr>
          <w:p w14:paraId="3B099210" w14:textId="7A0C19B2" w:rsidR="00022A52" w:rsidRDefault="00022A52" w:rsidP="00413824">
            <w:pPr>
              <w:spacing w:line="276" w:lineRule="auto"/>
              <w:jc w:val="center"/>
              <w:rPr>
                <w:rFonts w:eastAsia="PMingLiU" w:cs="Calibri"/>
                <w:color w:val="000000"/>
                <w:szCs w:val="20"/>
              </w:rPr>
            </w:pPr>
            <w:r>
              <w:rPr>
                <w:rFonts w:eastAsia="PMingLiU" w:cs="Calibri"/>
                <w:color w:val="000000"/>
                <w:szCs w:val="20"/>
              </w:rPr>
              <w:t>28/09/2016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793531D2" w14:textId="3D42AC5D" w:rsidR="00022A52" w:rsidRDefault="00022A52"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08C54678" w14:textId="41DB3870" w:rsidR="00022A52" w:rsidRDefault="00022A52" w:rsidP="00413824">
            <w:pPr>
              <w:jc w:val="left"/>
              <w:rPr>
                <w:rFonts w:cs="Calibri"/>
                <w:szCs w:val="20"/>
              </w:rPr>
            </w:pPr>
            <w:r>
              <w:rPr>
                <w:rFonts w:cs="Calibri"/>
                <w:b/>
                <w:szCs w:val="20"/>
              </w:rPr>
              <w:t>Submitted for AC Approval</w:t>
            </w:r>
          </w:p>
        </w:tc>
      </w:tr>
      <w:tr w:rsidR="006E37D1" w:rsidRPr="00C67BE8" w14:paraId="23DE0627"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1EA77453" w14:textId="48FF3E67" w:rsidR="006E37D1" w:rsidRDefault="006E37D1" w:rsidP="00327FEA">
            <w:pPr>
              <w:jc w:val="left"/>
              <w:rPr>
                <w:rFonts w:cs="Calibri"/>
                <w:szCs w:val="20"/>
              </w:rPr>
            </w:pPr>
            <w:r>
              <w:rPr>
                <w:rFonts w:cs="Calibri"/>
                <w:szCs w:val="20"/>
              </w:rPr>
              <w:t>V1.0.0</w:t>
            </w:r>
          </w:p>
        </w:tc>
        <w:tc>
          <w:tcPr>
            <w:tcW w:w="721" w:type="pct"/>
            <w:tcBorders>
              <w:top w:val="single" w:sz="4" w:space="0" w:color="7F7F7F"/>
              <w:left w:val="single" w:sz="4" w:space="0" w:color="7F7F7F"/>
              <w:bottom w:val="single" w:sz="4" w:space="0" w:color="7F7F7F"/>
              <w:right w:val="single" w:sz="4" w:space="0" w:color="7F7F7F"/>
            </w:tcBorders>
            <w:vAlign w:val="center"/>
          </w:tcPr>
          <w:p w14:paraId="1926580A" w14:textId="1A748114" w:rsidR="006E37D1" w:rsidRDefault="006E37D1" w:rsidP="00413824">
            <w:pPr>
              <w:spacing w:line="276" w:lineRule="auto"/>
              <w:jc w:val="center"/>
              <w:rPr>
                <w:rFonts w:eastAsia="PMingLiU" w:cs="Calibri"/>
                <w:color w:val="000000"/>
                <w:szCs w:val="20"/>
              </w:rPr>
            </w:pPr>
            <w:r>
              <w:rPr>
                <w:rFonts w:eastAsia="PMingLiU" w:cs="Calibri"/>
                <w:color w:val="00000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6F0C40D6" w14:textId="1618B4EA" w:rsidR="006E37D1" w:rsidRDefault="006E37D1" w:rsidP="00413824">
            <w:pPr>
              <w:widowControl w:val="0"/>
              <w:spacing w:line="200" w:lineRule="atLeast"/>
              <w:jc w:val="left"/>
              <w:rPr>
                <w:rFonts w:cs="Calibri"/>
                <w:color w:val="000000"/>
                <w:szCs w:val="20"/>
              </w:rPr>
            </w:pPr>
            <w:r>
              <w:rPr>
                <w:rFonts w:cs="Calibri"/>
                <w:color w:val="000000"/>
                <w:szCs w:val="20"/>
              </w:rPr>
              <w:t>Carine Molle</w:t>
            </w:r>
          </w:p>
        </w:tc>
        <w:tc>
          <w:tcPr>
            <w:tcW w:w="2613" w:type="pct"/>
            <w:tcBorders>
              <w:top w:val="single" w:sz="4" w:space="0" w:color="7F7F7F"/>
              <w:left w:val="single" w:sz="4" w:space="0" w:color="7F7F7F"/>
              <w:bottom w:val="single" w:sz="4" w:space="0" w:color="7F7F7F"/>
              <w:right w:val="single" w:sz="4" w:space="0" w:color="7F7F7F"/>
            </w:tcBorders>
            <w:vAlign w:val="center"/>
          </w:tcPr>
          <w:p w14:paraId="44203D57" w14:textId="3EFE3CA1" w:rsidR="006E37D1" w:rsidRDefault="006E37D1" w:rsidP="00413824">
            <w:pPr>
              <w:jc w:val="left"/>
              <w:rPr>
                <w:rFonts w:cs="Calibri"/>
                <w:b/>
                <w:szCs w:val="20"/>
              </w:rPr>
            </w:pPr>
            <w:r>
              <w:rPr>
                <w:rFonts w:cs="Calibri"/>
                <w:b/>
                <w:szCs w:val="20"/>
              </w:rPr>
              <w:t>AC Approved Version</w:t>
            </w:r>
          </w:p>
        </w:tc>
      </w:tr>
      <w:tr w:rsidR="0070085A" w:rsidRPr="0070085A" w14:paraId="1A0ECDAC"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663A3F9F" w14:textId="77777777" w:rsidR="0070085A" w:rsidRPr="0070085A" w:rsidRDefault="0070085A" w:rsidP="0070085A">
            <w:pPr>
              <w:jc w:val="left"/>
              <w:rPr>
                <w:rFonts w:cs="Calibri"/>
                <w:szCs w:val="20"/>
              </w:rPr>
            </w:pPr>
            <w:r w:rsidRPr="0070085A">
              <w:rPr>
                <w:rFonts w:cs="Calibri"/>
                <w:szCs w:val="20"/>
              </w:rPr>
              <w:t>V1.0.1</w:t>
            </w:r>
          </w:p>
        </w:tc>
        <w:tc>
          <w:tcPr>
            <w:tcW w:w="721" w:type="pct"/>
            <w:tcBorders>
              <w:top w:val="single" w:sz="4" w:space="0" w:color="7F7F7F"/>
              <w:left w:val="single" w:sz="4" w:space="0" w:color="7F7F7F"/>
              <w:bottom w:val="single" w:sz="4" w:space="0" w:color="7F7F7F"/>
              <w:right w:val="single" w:sz="4" w:space="0" w:color="7F7F7F"/>
            </w:tcBorders>
            <w:vAlign w:val="center"/>
          </w:tcPr>
          <w:p w14:paraId="63A7A7E7" w14:textId="77777777" w:rsidR="0070085A" w:rsidRPr="0070085A" w:rsidRDefault="0070085A" w:rsidP="0070085A">
            <w:pPr>
              <w:spacing w:line="276" w:lineRule="auto"/>
              <w:jc w:val="center"/>
              <w:rPr>
                <w:rFonts w:eastAsia="PMingLiU" w:cs="Calibri"/>
                <w:color w:val="000000"/>
                <w:szCs w:val="20"/>
              </w:rPr>
            </w:pPr>
            <w:r w:rsidRPr="0070085A">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31E12D66" w14:textId="77777777" w:rsidR="0070085A" w:rsidRPr="0070085A" w:rsidRDefault="0070085A" w:rsidP="0070085A">
            <w:pPr>
              <w:widowControl w:val="0"/>
              <w:spacing w:line="200" w:lineRule="atLeast"/>
              <w:jc w:val="left"/>
              <w:rPr>
                <w:rFonts w:cs="Calibri"/>
                <w:color w:val="000000"/>
                <w:szCs w:val="20"/>
              </w:rPr>
            </w:pPr>
            <w:r w:rsidRPr="0070085A">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14:paraId="26976BC9" w14:textId="77777777" w:rsidR="0070085A" w:rsidRPr="0070085A" w:rsidRDefault="0070085A" w:rsidP="0070085A">
            <w:pPr>
              <w:jc w:val="left"/>
              <w:rPr>
                <w:rFonts w:cs="Calibri"/>
                <w:szCs w:val="20"/>
              </w:rPr>
            </w:pPr>
            <w:r w:rsidRPr="0070085A">
              <w:rPr>
                <w:rFonts w:cs="Calibri"/>
                <w:szCs w:val="20"/>
              </w:rPr>
              <w:t>Included new version of BPMN picture in section 5</w:t>
            </w:r>
          </w:p>
        </w:tc>
      </w:tr>
      <w:tr w:rsidR="00365095" w:rsidRPr="0070085A" w14:paraId="20A82335"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2F442C0E" w14:textId="28F8FC4D" w:rsidR="00365095" w:rsidRPr="0070085A" w:rsidRDefault="00365095" w:rsidP="0070085A">
            <w:pPr>
              <w:jc w:val="left"/>
              <w:rPr>
                <w:rFonts w:cs="Calibri"/>
                <w:szCs w:val="20"/>
              </w:rPr>
            </w:pPr>
            <w:r>
              <w:rPr>
                <w:rFonts w:cs="Calibri"/>
                <w:szCs w:val="20"/>
              </w:rPr>
              <w:t>V1.0.2</w:t>
            </w:r>
          </w:p>
        </w:tc>
        <w:tc>
          <w:tcPr>
            <w:tcW w:w="721" w:type="pct"/>
            <w:tcBorders>
              <w:top w:val="single" w:sz="4" w:space="0" w:color="7F7F7F"/>
              <w:left w:val="single" w:sz="4" w:space="0" w:color="7F7F7F"/>
              <w:bottom w:val="single" w:sz="4" w:space="0" w:color="7F7F7F"/>
              <w:right w:val="single" w:sz="4" w:space="0" w:color="7F7F7F"/>
            </w:tcBorders>
            <w:vAlign w:val="center"/>
          </w:tcPr>
          <w:p w14:paraId="655AD333" w14:textId="6E96CF6A" w:rsidR="00365095" w:rsidRPr="0070085A" w:rsidRDefault="00365095" w:rsidP="0070085A">
            <w:pPr>
              <w:spacing w:line="276" w:lineRule="auto"/>
              <w:jc w:val="center"/>
              <w:rPr>
                <w:rFonts w:eastAsia="PMingLiU" w:cs="Calibri"/>
                <w:color w:val="000000"/>
                <w:szCs w:val="20"/>
              </w:rPr>
            </w:pPr>
            <w:r>
              <w:rPr>
                <w:rFonts w:eastAsia="PMingLiU" w:cs="Calibri"/>
                <w:color w:val="00000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14:paraId="68653B9E" w14:textId="2A9FF977" w:rsidR="00365095" w:rsidRPr="0070085A" w:rsidRDefault="00365095" w:rsidP="0070085A">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14:paraId="256B53B8" w14:textId="2C521A78" w:rsidR="001F55C2" w:rsidRDefault="001F55C2" w:rsidP="0070085A">
            <w:pPr>
              <w:jc w:val="left"/>
              <w:rPr>
                <w:rFonts w:cs="Calibri"/>
                <w:szCs w:val="20"/>
              </w:rPr>
            </w:pPr>
            <w:r>
              <w:rPr>
                <w:rFonts w:cs="Calibri"/>
                <w:szCs w:val="20"/>
              </w:rPr>
              <w:t xml:space="preserve">- Correction in the </w:t>
            </w:r>
            <w:r w:rsidR="004F77FB">
              <w:rPr>
                <w:rFonts w:cs="Calibri"/>
                <w:szCs w:val="20"/>
              </w:rPr>
              <w:t>horizontal sub-process table in section 4.5</w:t>
            </w:r>
          </w:p>
          <w:p w14:paraId="64CA5066" w14:textId="77777777" w:rsidR="006708BA" w:rsidRDefault="001F55C2" w:rsidP="0070085A">
            <w:pPr>
              <w:jc w:val="left"/>
              <w:rPr>
                <w:rFonts w:cs="Calibri"/>
                <w:szCs w:val="20"/>
              </w:rPr>
            </w:pPr>
            <w:r>
              <w:rPr>
                <w:rFonts w:cs="Calibri"/>
                <w:szCs w:val="20"/>
              </w:rPr>
              <w:t xml:space="preserve">- </w:t>
            </w:r>
            <w:r w:rsidR="00365095">
              <w:rPr>
                <w:rFonts w:cs="Calibri"/>
                <w:szCs w:val="20"/>
              </w:rPr>
              <w:t>Included version of the BPMN in section 5.</w:t>
            </w:r>
          </w:p>
          <w:p w14:paraId="5C6C7CCD" w14:textId="77777777" w:rsidR="00175ACF" w:rsidRDefault="00175ACF" w:rsidP="00175ACF">
            <w:pPr>
              <w:jc w:val="left"/>
              <w:rPr>
                <w:rFonts w:cs="Calibri"/>
                <w:szCs w:val="22"/>
              </w:rPr>
            </w:pPr>
            <w:r>
              <w:rPr>
                <w:rFonts w:cs="Calibri"/>
              </w:rPr>
              <w:t>- Align Invalidate branches with standard wording</w:t>
            </w:r>
          </w:p>
          <w:p w14:paraId="0EAD126A" w14:textId="363E9205" w:rsidR="00AE79B8" w:rsidRPr="0070085A" w:rsidRDefault="00AE79B8" w:rsidP="0070085A">
            <w:pPr>
              <w:jc w:val="left"/>
              <w:rPr>
                <w:rFonts w:cs="Calibri"/>
                <w:szCs w:val="20"/>
              </w:rPr>
            </w:pPr>
            <w:r>
              <w:rPr>
                <w:rFonts w:cs="Calibri"/>
                <w:szCs w:val="20"/>
              </w:rPr>
              <w:t>- removed Use Case diagram</w:t>
            </w:r>
          </w:p>
        </w:tc>
      </w:tr>
      <w:tr w:rsidR="00890024" w:rsidRPr="0070085A" w14:paraId="67F2CA04" w14:textId="77777777" w:rsidTr="006708BA">
        <w:tc>
          <w:tcPr>
            <w:tcW w:w="632" w:type="pct"/>
            <w:tcBorders>
              <w:top w:val="single" w:sz="4" w:space="0" w:color="7F7F7F"/>
              <w:left w:val="single" w:sz="4" w:space="0" w:color="7F7F7F"/>
              <w:bottom w:val="single" w:sz="4" w:space="0" w:color="7F7F7F"/>
              <w:right w:val="single" w:sz="4" w:space="0" w:color="7F7F7F"/>
            </w:tcBorders>
            <w:vAlign w:val="center"/>
          </w:tcPr>
          <w:p w14:paraId="15D4184F" w14:textId="4B141A26" w:rsidR="00890024" w:rsidRDefault="00890024" w:rsidP="0070085A">
            <w:pPr>
              <w:jc w:val="left"/>
              <w:rPr>
                <w:rFonts w:cs="Calibri"/>
                <w:szCs w:val="20"/>
              </w:rPr>
            </w:pPr>
            <w:r>
              <w:rPr>
                <w:rFonts w:cs="Calibri"/>
                <w:szCs w:val="20"/>
              </w:rPr>
              <w:t>V</w:t>
            </w:r>
            <w:r w:rsidR="00D3114F">
              <w:rPr>
                <w:rFonts w:cs="Calibri"/>
                <w:szCs w:val="20"/>
              </w:rPr>
              <w:t>4</w:t>
            </w:r>
            <w:r>
              <w:rPr>
                <w:rFonts w:cs="Calibri"/>
                <w:szCs w:val="20"/>
              </w:rPr>
              <w:t>.1.0</w:t>
            </w:r>
          </w:p>
        </w:tc>
        <w:tc>
          <w:tcPr>
            <w:tcW w:w="721" w:type="pct"/>
            <w:tcBorders>
              <w:top w:val="single" w:sz="4" w:space="0" w:color="7F7F7F"/>
              <w:left w:val="single" w:sz="4" w:space="0" w:color="7F7F7F"/>
              <w:bottom w:val="single" w:sz="4" w:space="0" w:color="7F7F7F"/>
              <w:right w:val="single" w:sz="4" w:space="0" w:color="7F7F7F"/>
            </w:tcBorders>
            <w:vAlign w:val="center"/>
          </w:tcPr>
          <w:p w14:paraId="04B54088" w14:textId="6C668F5E" w:rsidR="00890024" w:rsidRDefault="00EB70C3" w:rsidP="0070085A">
            <w:pPr>
              <w:spacing w:line="276" w:lineRule="auto"/>
              <w:jc w:val="center"/>
              <w:rPr>
                <w:rFonts w:eastAsia="PMingLiU" w:cs="Calibri"/>
                <w:color w:val="000000"/>
                <w:szCs w:val="20"/>
              </w:rPr>
            </w:pPr>
            <w:r>
              <w:rPr>
                <w:rFonts w:eastAsia="PMingLiU" w:cs="Calibri"/>
                <w:color w:val="000000"/>
                <w:szCs w:val="20"/>
              </w:rPr>
              <w:t>22/08</w:t>
            </w:r>
            <w:r w:rsidR="00890024">
              <w:rPr>
                <w:rFonts w:eastAsia="PMingLiU" w:cs="Calibri"/>
                <w:color w:val="000000"/>
                <w:szCs w:val="20"/>
              </w:rPr>
              <w:t>/2018</w:t>
            </w:r>
          </w:p>
        </w:tc>
        <w:tc>
          <w:tcPr>
            <w:tcW w:w="1034" w:type="pct"/>
            <w:tcBorders>
              <w:top w:val="single" w:sz="4" w:space="0" w:color="7F7F7F"/>
              <w:left w:val="single" w:sz="4" w:space="0" w:color="7F7F7F"/>
              <w:bottom w:val="single" w:sz="4" w:space="0" w:color="7F7F7F"/>
              <w:right w:val="single" w:sz="4" w:space="0" w:color="7F7F7F"/>
            </w:tcBorders>
            <w:vAlign w:val="center"/>
          </w:tcPr>
          <w:p w14:paraId="38794CDE" w14:textId="0461A1CB" w:rsidR="00890024" w:rsidRDefault="00890024" w:rsidP="0070085A">
            <w:pPr>
              <w:widowControl w:val="0"/>
              <w:spacing w:line="200" w:lineRule="atLeast"/>
              <w:jc w:val="left"/>
              <w:rPr>
                <w:rFonts w:cs="Calibri"/>
                <w:color w:val="000000"/>
                <w:szCs w:val="20"/>
              </w:rPr>
            </w:pPr>
            <w:r>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14:paraId="0B2CA27B" w14:textId="45940402" w:rsidR="00713B92" w:rsidRDefault="00890024" w:rsidP="000C5B97">
            <w:pPr>
              <w:jc w:val="left"/>
              <w:rPr>
                <w:rFonts w:cs="Calibri"/>
                <w:szCs w:val="20"/>
              </w:rPr>
            </w:pPr>
            <w:r>
              <w:rPr>
                <w:rFonts w:cs="Calibri"/>
                <w:szCs w:val="20"/>
              </w:rPr>
              <w:t>Implementation of Change Request EESSI-1831: Remove the use of DA056 and use the BUC R_BUC_03</w:t>
            </w:r>
            <w:r w:rsidR="000B52F4">
              <w:rPr>
                <w:rFonts w:cs="Calibri"/>
                <w:szCs w:val="20"/>
              </w:rPr>
              <w:t xml:space="preserve"> instead</w:t>
            </w:r>
            <w:r w:rsidR="000C5B97">
              <w:rPr>
                <w:rFonts w:cs="Calibri"/>
                <w:szCs w:val="20"/>
              </w:rPr>
              <w:t xml:space="preserve">. </w:t>
            </w:r>
          </w:p>
          <w:p w14:paraId="45B1041E" w14:textId="4A61FAA9" w:rsidR="00890024" w:rsidRDefault="000C5B97" w:rsidP="000C5B97">
            <w:pPr>
              <w:jc w:val="left"/>
              <w:rPr>
                <w:rFonts w:cs="Calibri"/>
                <w:szCs w:val="20"/>
              </w:rPr>
            </w:pPr>
            <w:r>
              <w:rPr>
                <w:rFonts w:cs="Calibri"/>
                <w:szCs w:val="20"/>
              </w:rPr>
              <w:lastRenderedPageBreak/>
              <w:t>Updates:</w:t>
            </w:r>
          </w:p>
          <w:p w14:paraId="69D966D4" w14:textId="77777777" w:rsidR="000C5B97" w:rsidRDefault="000C5B97" w:rsidP="000C5B97">
            <w:pPr>
              <w:jc w:val="left"/>
              <w:rPr>
                <w:rFonts w:cs="Calibri"/>
                <w:szCs w:val="20"/>
              </w:rPr>
            </w:pPr>
            <w:r>
              <w:rPr>
                <w:rFonts w:cs="Calibri"/>
                <w:szCs w:val="20"/>
              </w:rPr>
              <w:t>- List of SEDs : DA056 deleted</w:t>
            </w:r>
          </w:p>
          <w:p w14:paraId="34A3865E" w14:textId="2BDA0528" w:rsidR="000C5B97" w:rsidRDefault="000C5B97" w:rsidP="000C5B97">
            <w:pPr>
              <w:jc w:val="left"/>
              <w:rPr>
                <w:rFonts w:cs="Calibri"/>
                <w:szCs w:val="20"/>
              </w:rPr>
            </w:pPr>
            <w:r>
              <w:rPr>
                <w:rFonts w:cs="Calibri"/>
                <w:szCs w:val="20"/>
              </w:rPr>
              <w:t>- Section 4 Branch 1</w:t>
            </w:r>
            <w:r w:rsidR="00713B92">
              <w:rPr>
                <w:rFonts w:cs="Calibri"/>
                <w:szCs w:val="20"/>
              </w:rPr>
              <w:t xml:space="preserve"> </w:t>
            </w:r>
            <w:r>
              <w:rPr>
                <w:rFonts w:cs="Calibri"/>
                <w:szCs w:val="20"/>
              </w:rPr>
              <w:t>updated</w:t>
            </w:r>
          </w:p>
          <w:p w14:paraId="66048840" w14:textId="56EBEC58" w:rsidR="00713B92" w:rsidRDefault="00713B92" w:rsidP="000C5B97">
            <w:pPr>
              <w:jc w:val="left"/>
              <w:rPr>
                <w:rFonts w:cs="Calibri"/>
                <w:szCs w:val="20"/>
              </w:rPr>
            </w:pPr>
            <w:r>
              <w:rPr>
                <w:rFonts w:cs="Calibri"/>
                <w:szCs w:val="20"/>
              </w:rPr>
              <w:t>- BPMN updated</w:t>
            </w:r>
          </w:p>
          <w:p w14:paraId="2A7E59CE" w14:textId="77777777" w:rsidR="00A564D7" w:rsidRDefault="00A564D7" w:rsidP="000C5B97">
            <w:pPr>
              <w:jc w:val="left"/>
              <w:rPr>
                <w:rFonts w:cs="Calibri"/>
                <w:szCs w:val="20"/>
              </w:rPr>
            </w:pPr>
          </w:p>
          <w:p w14:paraId="4C47F9D2" w14:textId="77777777" w:rsidR="00A564D7" w:rsidRPr="006A78A0" w:rsidRDefault="00A564D7" w:rsidP="00A564D7">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Subprocesses) into 1 Artefact </w:t>
            </w:r>
            <w:r>
              <w:rPr>
                <w:rFonts w:cs="Calibri"/>
                <w:szCs w:val="20"/>
              </w:rPr>
              <w:t>table.</w:t>
            </w:r>
          </w:p>
          <w:p w14:paraId="2086A19D" w14:textId="5D3C0044" w:rsidR="000C5B97" w:rsidRDefault="00A564D7" w:rsidP="00A564D7">
            <w:pPr>
              <w:jc w:val="left"/>
              <w:rPr>
                <w:rFonts w:cs="Calibri"/>
                <w:szCs w:val="20"/>
              </w:rPr>
            </w:pPr>
            <w:r w:rsidRPr="006A78A0">
              <w:rPr>
                <w:rFonts w:cs="Calibri"/>
                <w:szCs w:val="20"/>
              </w:rPr>
              <w:t>- Version adaptations to release 4.1.0.</w:t>
            </w:r>
          </w:p>
        </w:tc>
      </w:tr>
    </w:tbl>
    <w:p w14:paraId="6FBA29BE" w14:textId="006691EE" w:rsidR="006708BA" w:rsidRPr="00BA17CE" w:rsidRDefault="006708BA" w:rsidP="006708BA">
      <w:pPr>
        <w:spacing w:line="276" w:lineRule="auto"/>
        <w:jc w:val="left"/>
        <w:rPr>
          <w:rFonts w:cs="Calibri"/>
          <w:lang w:eastAsia="en-US"/>
        </w:rPr>
      </w:pPr>
    </w:p>
    <w:p w14:paraId="6588C947" w14:textId="77777777" w:rsidR="00FF78BD" w:rsidRPr="00A11DEC" w:rsidRDefault="00FF78BD">
      <w:pPr>
        <w:jc w:val="left"/>
        <w:rPr>
          <w:rFonts w:asciiTheme="minorHAnsi" w:hAnsiTheme="minorHAnsi" w:cs="Arial"/>
          <w:b/>
          <w:bCs/>
          <w:color w:val="263673"/>
          <w:kern w:val="32"/>
          <w:szCs w:val="20"/>
        </w:rPr>
      </w:pPr>
      <w:r w:rsidRPr="00A11DEC">
        <w:rPr>
          <w:rFonts w:asciiTheme="minorHAnsi" w:hAnsiTheme="minorHAnsi"/>
          <w:b/>
          <w:szCs w:val="20"/>
        </w:rPr>
        <w:br w:type="page"/>
      </w:r>
    </w:p>
    <w:p w14:paraId="4B9E9BCF" w14:textId="77777777" w:rsidR="00845F15" w:rsidRPr="00CF6FBE" w:rsidRDefault="00845F15" w:rsidP="00AD4709">
      <w:pPr>
        <w:pStyle w:val="Heading1"/>
        <w:rPr>
          <w:rFonts w:ascii="Verdana" w:hAnsi="Verdana"/>
        </w:rPr>
      </w:pPr>
      <w:bookmarkStart w:id="2" w:name="_Toc380415205"/>
      <w:bookmarkStart w:id="3" w:name="_Toc381002664"/>
      <w:bookmarkStart w:id="4" w:name="_Toc522797855"/>
      <w:bookmarkStart w:id="5" w:name="_Toc380600161"/>
      <w:bookmarkStart w:id="6" w:name="_Toc366491246"/>
      <w:r w:rsidRPr="00CF6FBE">
        <w:rPr>
          <w:rFonts w:ascii="Verdana" w:hAnsi="Verdana"/>
        </w:rPr>
        <w:lastRenderedPageBreak/>
        <w:t>Introduction</w:t>
      </w:r>
      <w:bookmarkEnd w:id="2"/>
      <w:bookmarkEnd w:id="3"/>
      <w:bookmarkEnd w:id="4"/>
    </w:p>
    <w:p w14:paraId="69FD6305" w14:textId="77777777" w:rsidR="00A11DEC" w:rsidRPr="00AD4709" w:rsidRDefault="00A11DEC">
      <w:pPr>
        <w:pStyle w:val="Heading2"/>
      </w:pPr>
      <w:bookmarkStart w:id="7" w:name="_Toc380600162"/>
      <w:bookmarkStart w:id="8" w:name="_Toc424804769"/>
      <w:bookmarkStart w:id="9" w:name="_Toc522797856"/>
      <w:bookmarkStart w:id="10" w:name="techSectionBreak1"/>
      <w:bookmarkEnd w:id="5"/>
      <w:r w:rsidRPr="00CF6FBE">
        <w:t>Purpose</w:t>
      </w:r>
      <w:bookmarkEnd w:id="7"/>
      <w:bookmarkEnd w:id="8"/>
      <w:bookmarkEnd w:id="9"/>
    </w:p>
    <w:p w14:paraId="38CCB944" w14:textId="26996575" w:rsidR="00A11DEC" w:rsidRPr="00CF6FBE" w:rsidRDefault="00A11DEC" w:rsidP="00A11DEC">
      <w:pPr>
        <w:pStyle w:val="ListBullet4"/>
        <w:keepNext/>
        <w:numPr>
          <w:ilvl w:val="0"/>
          <w:numId w:val="0"/>
        </w:numPr>
        <w:rPr>
          <w:sz w:val="22"/>
          <w:szCs w:val="22"/>
          <w:lang w:eastAsia="en-US"/>
        </w:rPr>
      </w:pPr>
      <w:r w:rsidRPr="00CF6FBE">
        <w:rPr>
          <w:sz w:val="22"/>
          <w:szCs w:val="22"/>
          <w:lang w:eastAsia="en-US"/>
        </w:rPr>
        <w:t>The purpose of this document is to construct an external view of the 'EESSI business system' as described in EC Regulations 883/2004 and 987/2009. The ‘EESSI Business System’ describes the business and expected business processes without consideration a</w:t>
      </w:r>
      <w:r w:rsidR="00A95D78" w:rsidRPr="00CF6FBE">
        <w:rPr>
          <w:sz w:val="22"/>
          <w:szCs w:val="22"/>
          <w:lang w:eastAsia="en-US"/>
        </w:rPr>
        <w:t>s to which part(s) may be realis</w:t>
      </w:r>
      <w:r w:rsidRPr="00CF6FBE">
        <w:rPr>
          <w:sz w:val="22"/>
          <w:szCs w:val="22"/>
          <w:lang w:eastAsia="en-US"/>
        </w:rPr>
        <w:t xml:space="preserve">ed by an IT System (i.e. the proposed EESSI IT System). </w:t>
      </w:r>
    </w:p>
    <w:p w14:paraId="20EC489C" w14:textId="77777777" w:rsidR="00A11DEC" w:rsidRPr="00CF6FBE" w:rsidRDefault="00A11DEC" w:rsidP="00A11DEC">
      <w:pPr>
        <w:pStyle w:val="ListBullet4"/>
        <w:keepNext/>
        <w:numPr>
          <w:ilvl w:val="0"/>
          <w:numId w:val="0"/>
        </w:numPr>
        <w:rPr>
          <w:sz w:val="22"/>
          <w:szCs w:val="22"/>
          <w:lang w:eastAsia="en-US"/>
        </w:rPr>
      </w:pPr>
    </w:p>
    <w:p w14:paraId="23AA5986" w14:textId="77777777" w:rsidR="00A11DEC" w:rsidRPr="00CF6FBE" w:rsidRDefault="00A11DEC" w:rsidP="00A11DEC">
      <w:pPr>
        <w:pStyle w:val="ListBullet4"/>
        <w:numPr>
          <w:ilvl w:val="0"/>
          <w:numId w:val="0"/>
        </w:numPr>
        <w:rPr>
          <w:sz w:val="22"/>
          <w:szCs w:val="22"/>
          <w:lang w:eastAsia="en-US"/>
        </w:rPr>
      </w:pPr>
      <w:r w:rsidRPr="00CF6FBE">
        <w:rPr>
          <w:sz w:val="22"/>
          <w:szCs w:val="22"/>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CF6FBE" w:rsidRDefault="00A11DEC" w:rsidP="00A11DEC">
      <w:pPr>
        <w:pStyle w:val="ListBullet4"/>
        <w:numPr>
          <w:ilvl w:val="0"/>
          <w:numId w:val="0"/>
        </w:numPr>
        <w:rPr>
          <w:sz w:val="22"/>
          <w:szCs w:val="22"/>
          <w:lang w:eastAsia="en-US"/>
        </w:rPr>
      </w:pPr>
    </w:p>
    <w:p w14:paraId="7F11F9D9" w14:textId="0E09BE56" w:rsidR="00A11DEC" w:rsidRPr="00CF6FBE" w:rsidRDefault="00A11DEC" w:rsidP="00A11DEC">
      <w:pPr>
        <w:pStyle w:val="Text2"/>
        <w:rPr>
          <w:rFonts w:ascii="Verdana" w:hAnsi="Verdana"/>
          <w:sz w:val="22"/>
          <w:szCs w:val="22"/>
        </w:rPr>
      </w:pPr>
      <w:r w:rsidRPr="00CF6FBE">
        <w:rPr>
          <w:rFonts w:ascii="Verdana" w:hAnsi="Verdana"/>
          <w:sz w:val="22"/>
          <w:szCs w:val="22"/>
        </w:rPr>
        <w:t>A business use case is described from an actor's perspective; it describes the interaction between an actor and the business system, meaning it describes the behaviours of the business system that t</w:t>
      </w:r>
      <w:r w:rsidR="00A95D78" w:rsidRPr="00CF6FBE">
        <w:rPr>
          <w:rFonts w:ascii="Verdana" w:hAnsi="Verdana"/>
          <w:sz w:val="22"/>
          <w:szCs w:val="22"/>
        </w:rPr>
        <w:t>he actor utilis</w:t>
      </w:r>
      <w:r w:rsidRPr="00CF6FBE">
        <w:rPr>
          <w:rFonts w:ascii="Verdana" w:hAnsi="Verdana"/>
          <w:sz w:val="22"/>
          <w:szCs w:val="22"/>
        </w:rPr>
        <w:t>es. The Business Use Case includes Use Case Diagrams and Business Process Models.</w:t>
      </w:r>
    </w:p>
    <w:p w14:paraId="6FAAE7D3" w14:textId="2F7231D8" w:rsidR="00A11DEC" w:rsidRPr="00CF6FBE" w:rsidRDefault="00A11DEC" w:rsidP="00A11DEC">
      <w:pPr>
        <w:pStyle w:val="ListBullet4"/>
        <w:numPr>
          <w:ilvl w:val="0"/>
          <w:numId w:val="0"/>
        </w:numPr>
        <w:rPr>
          <w:sz w:val="22"/>
          <w:szCs w:val="22"/>
          <w:lang w:eastAsia="en-US"/>
        </w:rPr>
      </w:pPr>
      <w:r w:rsidRPr="00CF6FBE">
        <w:rPr>
          <w:sz w:val="22"/>
          <w:szCs w:val="22"/>
          <w:lang w:eastAsia="en-US"/>
        </w:rPr>
        <w:t xml:space="preserve">Use case diagrams show actors, business use cases, and their relationships. Use case diagrams do not describe procedures. Alternative scenarios also remain hidden. These diagrams give a </w:t>
      </w:r>
      <w:r w:rsidR="008179E6" w:rsidRPr="00CF6FBE">
        <w:rPr>
          <w:sz w:val="22"/>
          <w:szCs w:val="22"/>
          <w:lang w:eastAsia="en-US"/>
        </w:rPr>
        <w:t xml:space="preserve">good overview of the behaviours </w:t>
      </w:r>
      <w:r w:rsidRPr="00CF6FBE">
        <w:rPr>
          <w:sz w:val="22"/>
          <w:szCs w:val="22"/>
          <w:lang w:eastAsia="en-US"/>
        </w:rPr>
        <w:t>of the EESSI business system which will direct and govern part of the expected behaviours and functionality delivered by the EESSI IT System.</w:t>
      </w:r>
    </w:p>
    <w:p w14:paraId="0A8C7C5F" w14:textId="77777777" w:rsidR="00A11DEC" w:rsidRPr="000039AB" w:rsidRDefault="00A11DEC" w:rsidP="00A11DEC">
      <w:pPr>
        <w:pStyle w:val="Text2"/>
        <w:rPr>
          <w:lang w:val="en-US"/>
        </w:rPr>
      </w:pPr>
    </w:p>
    <w:p w14:paraId="4A8BFF95" w14:textId="77777777" w:rsidR="00A11DEC" w:rsidRDefault="00A11DEC">
      <w:pPr>
        <w:pStyle w:val="Heading2"/>
      </w:pPr>
      <w:bookmarkStart w:id="11" w:name="_Toc380600163"/>
      <w:bookmarkStart w:id="12" w:name="_Toc424804770"/>
      <w:bookmarkStart w:id="13" w:name="_Toc522797857"/>
      <w:bookmarkEnd w:id="10"/>
      <w:r w:rsidRPr="00A11DEC">
        <w:t>Scope</w:t>
      </w:r>
      <w:bookmarkEnd w:id="11"/>
      <w:bookmarkEnd w:id="12"/>
      <w:bookmarkEnd w:id="13"/>
    </w:p>
    <w:p w14:paraId="28A23B01" w14:textId="77777777" w:rsidR="00AD4709" w:rsidRDefault="00A11DEC" w:rsidP="00A11DEC">
      <w:pPr>
        <w:pStyle w:val="Text2"/>
        <w:rPr>
          <w:rFonts w:ascii="Verdana" w:hAnsi="Verdana" w:cs="Calibri"/>
          <w:sz w:val="22"/>
          <w:szCs w:val="22"/>
        </w:rPr>
      </w:pPr>
      <w:r w:rsidRPr="00CF6FBE">
        <w:rPr>
          <w:rFonts w:ascii="Verdana" w:hAnsi="Verdana" w:cs="Calibri"/>
          <w:sz w:val="22"/>
          <w:szCs w:val="22"/>
        </w:rPr>
        <w:t>This document is limited to the external view o</w:t>
      </w:r>
      <w:r w:rsidR="008179E6" w:rsidRPr="00CF6FBE">
        <w:rPr>
          <w:rFonts w:ascii="Verdana" w:hAnsi="Verdana" w:cs="Calibri"/>
          <w:sz w:val="22"/>
          <w:szCs w:val="22"/>
        </w:rPr>
        <w:t>f</w:t>
      </w:r>
      <w:r w:rsidRPr="00CF6FBE">
        <w:rPr>
          <w:rFonts w:ascii="Verdana" w:hAnsi="Verdana" w:cs="Calibri"/>
          <w:sz w:val="22"/>
          <w:szCs w:val="22"/>
        </w:rPr>
        <w:t xml:space="preserve"> the </w:t>
      </w:r>
      <w:r w:rsidR="00D83873" w:rsidRPr="00CF6FBE">
        <w:rPr>
          <w:rFonts w:ascii="Verdana" w:hAnsi="Verdana" w:cs="Calibri"/>
          <w:sz w:val="22"/>
          <w:szCs w:val="22"/>
        </w:rPr>
        <w:t>AWODs</w:t>
      </w:r>
      <w:r w:rsidRPr="00CF6FBE">
        <w:rPr>
          <w:rFonts w:ascii="Verdana" w:hAnsi="Verdana" w:cs="Calibri"/>
          <w:sz w:val="22"/>
          <w:szCs w:val="22"/>
        </w:rPr>
        <w:t>´</w:t>
      </w:r>
      <w:r w:rsidR="008179E6" w:rsidRPr="00CF6FBE">
        <w:rPr>
          <w:rFonts w:ascii="Verdana" w:hAnsi="Verdana" w:cs="Calibri"/>
          <w:sz w:val="22"/>
          <w:szCs w:val="22"/>
        </w:rPr>
        <w:t xml:space="preserve"> </w:t>
      </w:r>
      <w:r w:rsidR="00753335" w:rsidRPr="00CF6FBE">
        <w:rPr>
          <w:rFonts w:ascii="Verdana" w:hAnsi="Verdana" w:cs="Calibri"/>
          <w:sz w:val="22"/>
          <w:szCs w:val="22"/>
        </w:rPr>
        <w:t xml:space="preserve">sector process about </w:t>
      </w:r>
      <w:r w:rsidR="0092343F" w:rsidRPr="00CF6FBE">
        <w:rPr>
          <w:rFonts w:ascii="Verdana" w:hAnsi="Verdana" w:cs="Calibri"/>
          <w:sz w:val="22"/>
          <w:szCs w:val="22"/>
        </w:rPr>
        <w:t xml:space="preserve">the </w:t>
      </w:r>
      <w:r w:rsidR="002741F1" w:rsidRPr="00CF6FBE">
        <w:rPr>
          <w:rFonts w:ascii="Verdana" w:hAnsi="Verdana" w:cs="Calibri"/>
          <w:sz w:val="22"/>
          <w:szCs w:val="22"/>
        </w:rPr>
        <w:t xml:space="preserve">Advance </w:t>
      </w:r>
      <w:r w:rsidR="0043252A" w:rsidRPr="00CF6FBE">
        <w:rPr>
          <w:rFonts w:ascii="Verdana" w:hAnsi="Verdana" w:cs="Calibri"/>
          <w:sz w:val="22"/>
          <w:szCs w:val="22"/>
        </w:rPr>
        <w:t xml:space="preserve">payments in the event of an appeal against rejection </w:t>
      </w:r>
      <w:r w:rsidR="002741F1" w:rsidRPr="00CF6FBE">
        <w:rPr>
          <w:rFonts w:ascii="Verdana" w:hAnsi="Verdana" w:cs="Calibri"/>
          <w:sz w:val="22"/>
          <w:szCs w:val="22"/>
        </w:rPr>
        <w:t>of benefits due to occupational disease</w:t>
      </w:r>
      <w:r w:rsidRPr="00CF6FBE">
        <w:rPr>
          <w:rFonts w:ascii="Verdana" w:hAnsi="Verdana" w:cs="Calibri"/>
          <w:sz w:val="22"/>
          <w:szCs w:val="22"/>
        </w:rPr>
        <w:t xml:space="preserve">.  </w:t>
      </w:r>
    </w:p>
    <w:p w14:paraId="56BE0A45" w14:textId="72BE67DB" w:rsidR="00A11DEC" w:rsidRPr="00CF6FBE" w:rsidRDefault="00A11DEC" w:rsidP="00A11DEC">
      <w:pPr>
        <w:pStyle w:val="Text2"/>
        <w:rPr>
          <w:rFonts w:ascii="Verdana" w:hAnsi="Verdana" w:cs="Calibri"/>
          <w:sz w:val="22"/>
          <w:szCs w:val="22"/>
        </w:rPr>
      </w:pPr>
      <w:r w:rsidRPr="00CF6FBE">
        <w:rPr>
          <w:rFonts w:ascii="Verdana" w:hAnsi="Verdana" w:cs="Calibri"/>
          <w:sz w:val="22"/>
          <w:szCs w:val="22"/>
        </w:rPr>
        <w:t>The different elements like use case description, business actors, and business process as well as supporting UML diagrams and BPMN models pertaining to</w:t>
      </w:r>
      <w:r w:rsidR="00D83873" w:rsidRPr="00CF6FBE">
        <w:rPr>
          <w:rFonts w:ascii="Verdana" w:hAnsi="Verdana" w:cs="Calibri"/>
          <w:sz w:val="22"/>
          <w:szCs w:val="22"/>
        </w:rPr>
        <w:t xml:space="preserve"> </w:t>
      </w:r>
      <w:r w:rsidR="005F43CD" w:rsidRPr="00CF6FBE">
        <w:rPr>
          <w:rFonts w:ascii="Verdana" w:hAnsi="Verdana" w:cs="Calibri"/>
          <w:sz w:val="22"/>
          <w:szCs w:val="22"/>
        </w:rPr>
        <w:t xml:space="preserve">the </w:t>
      </w:r>
      <w:r w:rsidR="0043252A" w:rsidRPr="00CF6FBE">
        <w:rPr>
          <w:rFonts w:ascii="Verdana" w:hAnsi="Verdana" w:cs="Calibri"/>
          <w:sz w:val="22"/>
          <w:szCs w:val="22"/>
        </w:rPr>
        <w:t xml:space="preserve">Exchange of information between institutions </w:t>
      </w:r>
      <w:r w:rsidR="009415FE" w:rsidRPr="00CF6FBE">
        <w:rPr>
          <w:rFonts w:ascii="Verdana" w:hAnsi="Verdana" w:cs="Calibri"/>
          <w:sz w:val="22"/>
          <w:szCs w:val="22"/>
        </w:rPr>
        <w:t xml:space="preserve">about an </w:t>
      </w:r>
      <w:r w:rsidR="0043252A" w:rsidRPr="00CF6FBE">
        <w:rPr>
          <w:rFonts w:ascii="Verdana" w:hAnsi="Verdana" w:cs="Calibri"/>
          <w:sz w:val="22"/>
          <w:szCs w:val="22"/>
        </w:rPr>
        <w:t>advance payments in the event of an appeal against rejection.</w:t>
      </w:r>
    </w:p>
    <w:p w14:paraId="539CD959" w14:textId="77777777" w:rsidR="00A11DEC" w:rsidRPr="00A11DEC" w:rsidRDefault="00A11DEC">
      <w:pPr>
        <w:pStyle w:val="Heading2"/>
      </w:pPr>
      <w:bookmarkStart w:id="14" w:name="_Toc380600164"/>
      <w:bookmarkStart w:id="15" w:name="_Toc424804771"/>
      <w:bookmarkStart w:id="16" w:name="_Toc522797858"/>
      <w:r w:rsidRPr="00A11DEC">
        <w:t>Definitions, Acronyms and Abbreviations</w:t>
      </w:r>
      <w:bookmarkEnd w:id="14"/>
      <w:bookmarkEnd w:id="15"/>
      <w:bookmarkEnd w:id="16"/>
    </w:p>
    <w:p w14:paraId="21D3B7AD" w14:textId="77777777" w:rsidR="00AD4709" w:rsidRPr="00CF6FBE" w:rsidRDefault="00AD4709" w:rsidP="00AD4709">
      <w:pPr>
        <w:pStyle w:val="Text2"/>
        <w:rPr>
          <w:rFonts w:ascii="Verdana" w:hAnsi="Verdana"/>
          <w:sz w:val="22"/>
          <w:szCs w:val="22"/>
        </w:rPr>
      </w:pPr>
      <w:r w:rsidRPr="00CF6FBE">
        <w:rPr>
          <w:rFonts w:ascii="Verdana" w:hAnsi="Verdana"/>
          <w:sz w:val="22"/>
          <w:szCs w:val="22"/>
        </w:rPr>
        <w:t xml:space="preserve">Please see the EESSI Project Glossary </w:t>
      </w:r>
      <w:hyperlink r:id="rId16" w:history="1">
        <w:r w:rsidRPr="00CF6FBE">
          <w:rPr>
            <w:rStyle w:val="Hyperlink"/>
            <w:sz w:val="22"/>
            <w:szCs w:val="22"/>
          </w:rPr>
          <w:t>here</w:t>
        </w:r>
      </w:hyperlink>
      <w:r w:rsidRPr="00CF6FBE">
        <w:rPr>
          <w:rFonts w:ascii="Verdana" w:hAnsi="Verdana"/>
          <w:sz w:val="22"/>
          <w:szCs w:val="22"/>
        </w:rPr>
        <w:t xml:space="preserve"> </w:t>
      </w:r>
    </w:p>
    <w:p w14:paraId="0C5E5572" w14:textId="77777777" w:rsidR="00DB3CD9" w:rsidRPr="00A11DEC" w:rsidRDefault="00DB3CD9">
      <w:pPr>
        <w:pStyle w:val="Heading2"/>
      </w:pPr>
      <w:bookmarkStart w:id="17" w:name="_Toc454782154"/>
      <w:bookmarkStart w:id="18" w:name="_Toc455148613"/>
      <w:bookmarkStart w:id="19" w:name="_Toc455148639"/>
      <w:bookmarkEnd w:id="17"/>
      <w:bookmarkEnd w:id="18"/>
      <w:bookmarkEnd w:id="19"/>
      <w:r w:rsidRPr="00A11DEC">
        <w:br w:type="page"/>
      </w:r>
      <w:bookmarkStart w:id="20" w:name="_Toc383523600"/>
      <w:bookmarkStart w:id="21" w:name="_Toc522797859"/>
      <w:r w:rsidRPr="00A11DEC">
        <w:lastRenderedPageBreak/>
        <w:t>References</w:t>
      </w:r>
      <w:bookmarkEnd w:id="20"/>
      <w:bookmarkEnd w:id="2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AD4709" w14:paraId="4FD4889C" w14:textId="77777777" w:rsidTr="00D16BCE">
        <w:tc>
          <w:tcPr>
            <w:tcW w:w="534" w:type="dxa"/>
            <w:shd w:val="clear" w:color="auto" w:fill="C6D9F1"/>
            <w:vAlign w:val="center"/>
          </w:tcPr>
          <w:p w14:paraId="1A00AE2A" w14:textId="77777777" w:rsidR="00DB3CD9" w:rsidRPr="00CF6FBE" w:rsidRDefault="00DB3CD9" w:rsidP="00D16BCE">
            <w:pPr>
              <w:pStyle w:val="Text2"/>
              <w:jc w:val="left"/>
              <w:rPr>
                <w:rFonts w:ascii="Verdana" w:hAnsi="Verdana"/>
                <w:b/>
                <w:sz w:val="20"/>
              </w:rPr>
            </w:pPr>
            <w:r w:rsidRPr="00CF6FBE">
              <w:rPr>
                <w:rFonts w:ascii="Verdana" w:hAnsi="Verdana"/>
                <w:b/>
                <w:sz w:val="20"/>
              </w:rPr>
              <w:t>#</w:t>
            </w:r>
          </w:p>
        </w:tc>
        <w:tc>
          <w:tcPr>
            <w:tcW w:w="3402" w:type="dxa"/>
            <w:shd w:val="clear" w:color="auto" w:fill="C6D9F1"/>
            <w:vAlign w:val="center"/>
          </w:tcPr>
          <w:p w14:paraId="27263A21" w14:textId="77777777" w:rsidR="00DB3CD9" w:rsidRPr="00CF6FBE" w:rsidRDefault="00DB3CD9" w:rsidP="00D16BCE">
            <w:pPr>
              <w:pStyle w:val="Text2"/>
              <w:jc w:val="left"/>
              <w:rPr>
                <w:rFonts w:ascii="Verdana" w:hAnsi="Verdana"/>
                <w:b/>
                <w:sz w:val="20"/>
              </w:rPr>
            </w:pPr>
            <w:r w:rsidRPr="00CF6FBE">
              <w:rPr>
                <w:rFonts w:ascii="Verdana" w:hAnsi="Verdana"/>
                <w:b/>
                <w:sz w:val="20"/>
              </w:rPr>
              <w:t>Description</w:t>
            </w:r>
          </w:p>
        </w:tc>
        <w:tc>
          <w:tcPr>
            <w:tcW w:w="5528" w:type="dxa"/>
            <w:shd w:val="clear" w:color="auto" w:fill="C6D9F1"/>
          </w:tcPr>
          <w:p w14:paraId="0090D8A9" w14:textId="77777777" w:rsidR="00DB3CD9" w:rsidRPr="00CF6FBE" w:rsidRDefault="00DB3CD9" w:rsidP="00D16BCE">
            <w:pPr>
              <w:pStyle w:val="Text2"/>
              <w:jc w:val="left"/>
              <w:rPr>
                <w:rFonts w:ascii="Verdana" w:hAnsi="Verdana"/>
                <w:b/>
                <w:sz w:val="20"/>
              </w:rPr>
            </w:pPr>
          </w:p>
        </w:tc>
      </w:tr>
      <w:tr w:rsidR="00DB3CD9" w:rsidRPr="00AD4709" w14:paraId="44FE42FF" w14:textId="77777777" w:rsidTr="00D16BCE">
        <w:tc>
          <w:tcPr>
            <w:tcW w:w="534" w:type="dxa"/>
            <w:shd w:val="clear" w:color="auto" w:fill="auto"/>
            <w:vAlign w:val="center"/>
          </w:tcPr>
          <w:p w14:paraId="2789B1E0" w14:textId="77777777" w:rsidR="00DB3CD9" w:rsidRPr="00CF6FBE" w:rsidRDefault="00DB3CD9" w:rsidP="00D16BCE">
            <w:pPr>
              <w:pStyle w:val="Text2"/>
              <w:jc w:val="left"/>
              <w:rPr>
                <w:rFonts w:ascii="Verdana" w:hAnsi="Verdana"/>
                <w:sz w:val="20"/>
              </w:rPr>
            </w:pPr>
            <w:r w:rsidRPr="00CF6FBE">
              <w:rPr>
                <w:rFonts w:ascii="Verdana" w:hAnsi="Verdana"/>
                <w:sz w:val="20"/>
              </w:rPr>
              <w:t>1</w:t>
            </w:r>
          </w:p>
        </w:tc>
        <w:tc>
          <w:tcPr>
            <w:tcW w:w="3402" w:type="dxa"/>
            <w:shd w:val="clear" w:color="auto" w:fill="auto"/>
            <w:vAlign w:val="center"/>
          </w:tcPr>
          <w:p w14:paraId="68799E36" w14:textId="77777777" w:rsidR="00DB3CD9" w:rsidRPr="00CF6FBE" w:rsidRDefault="00DB3CD9" w:rsidP="00D16BCE">
            <w:pPr>
              <w:pStyle w:val="Text2"/>
              <w:jc w:val="left"/>
              <w:rPr>
                <w:rFonts w:ascii="Verdana" w:hAnsi="Verdana"/>
                <w:sz w:val="20"/>
              </w:rPr>
            </w:pPr>
            <w:r w:rsidRPr="00CF6FBE">
              <w:rPr>
                <w:rFonts w:ascii="Verdana" w:hAnsi="Verdana"/>
                <w:sz w:val="20"/>
              </w:rPr>
              <w:t>EC Regulation 883/2004</w:t>
            </w:r>
          </w:p>
        </w:tc>
        <w:tc>
          <w:tcPr>
            <w:tcW w:w="5528" w:type="dxa"/>
            <w:shd w:val="clear" w:color="auto" w:fill="auto"/>
          </w:tcPr>
          <w:p w14:paraId="1CB77488" w14:textId="77777777" w:rsidR="00DB3CD9" w:rsidRPr="00CF6FBE" w:rsidRDefault="00E566F8" w:rsidP="00D16BCE">
            <w:pPr>
              <w:pStyle w:val="Text2"/>
              <w:jc w:val="left"/>
              <w:rPr>
                <w:rFonts w:ascii="Verdana" w:hAnsi="Verdana"/>
                <w:sz w:val="20"/>
              </w:rPr>
            </w:pPr>
            <w:hyperlink r:id="rId17" w:tooltip="Regulation EC No 883- 2004.pdf" w:history="1">
              <w:r w:rsidR="00DB3CD9" w:rsidRPr="00CF6FBE">
                <w:rPr>
                  <w:rStyle w:val="Hyperlink"/>
                </w:rPr>
                <w:t>Regulation EC No 883- 2004.pdf</w:t>
              </w:r>
            </w:hyperlink>
          </w:p>
        </w:tc>
      </w:tr>
      <w:tr w:rsidR="00DB3CD9" w:rsidRPr="00AD4709" w14:paraId="78D54004" w14:textId="77777777" w:rsidTr="00D16BCE">
        <w:tc>
          <w:tcPr>
            <w:tcW w:w="534" w:type="dxa"/>
            <w:shd w:val="clear" w:color="auto" w:fill="auto"/>
            <w:vAlign w:val="center"/>
          </w:tcPr>
          <w:p w14:paraId="695D1650" w14:textId="77777777" w:rsidR="00DB3CD9" w:rsidRPr="00CF6FBE" w:rsidRDefault="00DB3CD9" w:rsidP="00D16BCE">
            <w:pPr>
              <w:pStyle w:val="Text2"/>
              <w:jc w:val="left"/>
              <w:rPr>
                <w:rFonts w:ascii="Verdana" w:hAnsi="Verdana"/>
                <w:sz w:val="20"/>
              </w:rPr>
            </w:pPr>
            <w:r w:rsidRPr="00CF6FBE">
              <w:rPr>
                <w:rFonts w:ascii="Verdana" w:hAnsi="Verdana"/>
                <w:sz w:val="20"/>
              </w:rPr>
              <w:t>2</w:t>
            </w:r>
          </w:p>
        </w:tc>
        <w:tc>
          <w:tcPr>
            <w:tcW w:w="3402" w:type="dxa"/>
            <w:shd w:val="clear" w:color="auto" w:fill="auto"/>
            <w:vAlign w:val="center"/>
          </w:tcPr>
          <w:p w14:paraId="332DE78F" w14:textId="77777777" w:rsidR="00DB3CD9" w:rsidRPr="00CF6FBE" w:rsidRDefault="00DB3CD9" w:rsidP="00D16BCE">
            <w:pPr>
              <w:pStyle w:val="Text2"/>
              <w:jc w:val="left"/>
              <w:rPr>
                <w:rFonts w:ascii="Verdana" w:hAnsi="Verdana"/>
                <w:sz w:val="20"/>
              </w:rPr>
            </w:pPr>
            <w:r w:rsidRPr="00CF6FBE">
              <w:rPr>
                <w:rFonts w:ascii="Verdana" w:hAnsi="Verdana"/>
                <w:sz w:val="20"/>
              </w:rPr>
              <w:t>EC Regulation 987/2009</w:t>
            </w:r>
          </w:p>
        </w:tc>
        <w:tc>
          <w:tcPr>
            <w:tcW w:w="5528" w:type="dxa"/>
            <w:shd w:val="clear" w:color="auto" w:fill="auto"/>
          </w:tcPr>
          <w:p w14:paraId="03193364" w14:textId="77777777" w:rsidR="00DB3CD9" w:rsidRPr="00CF6FBE" w:rsidRDefault="00E566F8" w:rsidP="00D16BCE">
            <w:pPr>
              <w:pStyle w:val="Text2"/>
              <w:jc w:val="left"/>
              <w:rPr>
                <w:rFonts w:ascii="Verdana" w:hAnsi="Verdana"/>
                <w:sz w:val="20"/>
              </w:rPr>
            </w:pPr>
            <w:hyperlink r:id="rId18" w:tooltip="Regulation EC No 987-2009.pdf" w:history="1">
              <w:r w:rsidR="00DB3CD9" w:rsidRPr="00CF6FBE">
                <w:rPr>
                  <w:rStyle w:val="Hyperlink"/>
                </w:rPr>
                <w:t>Regulation EC No 987-2009.pdf</w:t>
              </w:r>
            </w:hyperlink>
          </w:p>
        </w:tc>
      </w:tr>
      <w:tr w:rsidR="00DB3CD9" w:rsidRPr="00AD4709" w14:paraId="0DEB65B3" w14:textId="77777777" w:rsidTr="00D16BCE">
        <w:tc>
          <w:tcPr>
            <w:tcW w:w="534" w:type="dxa"/>
            <w:shd w:val="clear" w:color="auto" w:fill="auto"/>
            <w:vAlign w:val="center"/>
          </w:tcPr>
          <w:p w14:paraId="2805DE9B" w14:textId="77777777" w:rsidR="00DB3CD9" w:rsidRPr="00CF6FBE" w:rsidRDefault="00DB3CD9" w:rsidP="00D16BCE">
            <w:pPr>
              <w:pStyle w:val="Text2"/>
              <w:jc w:val="left"/>
              <w:rPr>
                <w:rFonts w:ascii="Verdana" w:hAnsi="Verdana"/>
                <w:sz w:val="20"/>
              </w:rPr>
            </w:pPr>
            <w:r w:rsidRPr="00CF6FBE">
              <w:rPr>
                <w:rFonts w:ascii="Verdana" w:hAnsi="Verdana"/>
                <w:sz w:val="20"/>
              </w:rPr>
              <w:t>3</w:t>
            </w:r>
          </w:p>
        </w:tc>
        <w:tc>
          <w:tcPr>
            <w:tcW w:w="3402" w:type="dxa"/>
            <w:shd w:val="clear" w:color="auto" w:fill="auto"/>
            <w:vAlign w:val="center"/>
          </w:tcPr>
          <w:p w14:paraId="0439A22D" w14:textId="77777777" w:rsidR="00DB3CD9" w:rsidRPr="00CF6FBE" w:rsidRDefault="00DB3CD9" w:rsidP="00D16BCE">
            <w:pPr>
              <w:pStyle w:val="Text2"/>
              <w:jc w:val="left"/>
              <w:rPr>
                <w:rFonts w:ascii="Verdana" w:hAnsi="Verdana"/>
                <w:sz w:val="20"/>
              </w:rPr>
            </w:pPr>
            <w:r w:rsidRPr="00CF6FBE">
              <w:rPr>
                <w:rFonts w:ascii="Verdana" w:hAnsi="Verdana"/>
                <w:sz w:val="20"/>
              </w:rPr>
              <w:t>UML 2.x</w:t>
            </w:r>
          </w:p>
        </w:tc>
        <w:tc>
          <w:tcPr>
            <w:tcW w:w="5528" w:type="dxa"/>
            <w:shd w:val="clear" w:color="auto" w:fill="auto"/>
          </w:tcPr>
          <w:p w14:paraId="320F3EDD" w14:textId="77777777" w:rsidR="00DB3CD9" w:rsidRPr="00CF6FBE" w:rsidRDefault="00E566F8" w:rsidP="00D16BCE">
            <w:pPr>
              <w:pStyle w:val="Text2"/>
              <w:jc w:val="left"/>
              <w:rPr>
                <w:rFonts w:ascii="Verdana" w:hAnsi="Verdana"/>
                <w:sz w:val="20"/>
              </w:rPr>
            </w:pPr>
            <w:hyperlink r:id="rId19" w:history="1">
              <w:r w:rsidR="00DB3CD9" w:rsidRPr="00CF6FBE">
                <w:rPr>
                  <w:rStyle w:val="Hyperlink"/>
                </w:rPr>
                <w:t>http://www.omg.org/spec/UML/</w:t>
              </w:r>
            </w:hyperlink>
          </w:p>
        </w:tc>
      </w:tr>
      <w:tr w:rsidR="00DB3CD9" w:rsidRPr="00AD4709" w14:paraId="2082E4AF" w14:textId="77777777" w:rsidTr="00D16BCE">
        <w:tc>
          <w:tcPr>
            <w:tcW w:w="534" w:type="dxa"/>
            <w:shd w:val="clear" w:color="auto" w:fill="auto"/>
            <w:vAlign w:val="center"/>
          </w:tcPr>
          <w:p w14:paraId="1AA94D76" w14:textId="77777777" w:rsidR="00DB3CD9" w:rsidRPr="00CF6FBE" w:rsidRDefault="00DB3CD9" w:rsidP="00D16BCE">
            <w:pPr>
              <w:pStyle w:val="Text2"/>
              <w:jc w:val="left"/>
              <w:rPr>
                <w:rFonts w:ascii="Verdana" w:hAnsi="Verdana"/>
                <w:sz w:val="20"/>
              </w:rPr>
            </w:pPr>
            <w:r w:rsidRPr="00CF6FBE">
              <w:rPr>
                <w:rFonts w:ascii="Verdana" w:hAnsi="Verdana"/>
                <w:sz w:val="20"/>
              </w:rPr>
              <w:t>4</w:t>
            </w:r>
          </w:p>
        </w:tc>
        <w:tc>
          <w:tcPr>
            <w:tcW w:w="3402" w:type="dxa"/>
            <w:shd w:val="clear" w:color="auto" w:fill="auto"/>
            <w:vAlign w:val="center"/>
          </w:tcPr>
          <w:p w14:paraId="6C0D5BA4" w14:textId="77777777" w:rsidR="00DB3CD9" w:rsidRPr="00CF6FBE" w:rsidRDefault="00DB3CD9" w:rsidP="00D16BCE">
            <w:pPr>
              <w:pStyle w:val="Text2"/>
              <w:jc w:val="left"/>
              <w:rPr>
                <w:rFonts w:ascii="Verdana" w:hAnsi="Verdana"/>
                <w:sz w:val="20"/>
              </w:rPr>
            </w:pPr>
            <w:r w:rsidRPr="00CF6FBE">
              <w:rPr>
                <w:rFonts w:ascii="Verdana" w:hAnsi="Verdana"/>
                <w:sz w:val="20"/>
              </w:rPr>
              <w:t>BPMN 2.0</w:t>
            </w:r>
          </w:p>
        </w:tc>
        <w:tc>
          <w:tcPr>
            <w:tcW w:w="5528" w:type="dxa"/>
            <w:shd w:val="clear" w:color="auto" w:fill="auto"/>
          </w:tcPr>
          <w:p w14:paraId="5781901F" w14:textId="77777777" w:rsidR="00DB3CD9" w:rsidRPr="00CF6FBE" w:rsidRDefault="00E566F8" w:rsidP="00D16BCE">
            <w:pPr>
              <w:pStyle w:val="Text2"/>
              <w:jc w:val="left"/>
              <w:rPr>
                <w:rFonts w:ascii="Verdana" w:hAnsi="Verdana"/>
                <w:sz w:val="20"/>
              </w:rPr>
            </w:pPr>
            <w:hyperlink r:id="rId20" w:history="1">
              <w:r w:rsidR="00DB3CD9" w:rsidRPr="00CF6FBE">
                <w:rPr>
                  <w:rStyle w:val="Hyperlink"/>
                </w:rPr>
                <w:t>http://www.omg.org/spec/BPMN/index.htm</w:t>
              </w:r>
            </w:hyperlink>
          </w:p>
        </w:tc>
      </w:tr>
      <w:tr w:rsidR="00DB3CD9" w:rsidRPr="006A3FF5" w14:paraId="21A52333" w14:textId="77777777" w:rsidTr="00D16BCE">
        <w:tc>
          <w:tcPr>
            <w:tcW w:w="534" w:type="dxa"/>
            <w:shd w:val="clear" w:color="auto" w:fill="auto"/>
            <w:vAlign w:val="center"/>
          </w:tcPr>
          <w:p w14:paraId="588BC4DF" w14:textId="77777777" w:rsidR="00DB3CD9" w:rsidRPr="00CF6FBE" w:rsidRDefault="00DB3CD9" w:rsidP="00D16BCE">
            <w:pPr>
              <w:pStyle w:val="Text2"/>
              <w:jc w:val="left"/>
              <w:rPr>
                <w:rFonts w:ascii="Verdana" w:hAnsi="Verdana"/>
                <w:sz w:val="20"/>
              </w:rPr>
            </w:pPr>
            <w:r w:rsidRPr="00CF6FBE">
              <w:rPr>
                <w:rFonts w:ascii="Verdana" w:hAnsi="Verdana"/>
                <w:sz w:val="20"/>
              </w:rPr>
              <w:t>5</w:t>
            </w:r>
          </w:p>
        </w:tc>
        <w:tc>
          <w:tcPr>
            <w:tcW w:w="3402" w:type="dxa"/>
            <w:shd w:val="clear" w:color="auto" w:fill="auto"/>
            <w:vAlign w:val="center"/>
          </w:tcPr>
          <w:p w14:paraId="050C7ACE" w14:textId="77777777" w:rsidR="00DB3CD9" w:rsidRPr="00CF6FBE" w:rsidRDefault="00DB3CD9" w:rsidP="00D16BCE">
            <w:pPr>
              <w:pStyle w:val="Text2"/>
              <w:jc w:val="left"/>
              <w:rPr>
                <w:rFonts w:ascii="Verdana" w:hAnsi="Verdana"/>
                <w:sz w:val="20"/>
              </w:rPr>
            </w:pPr>
            <w:r w:rsidRPr="00CF6FBE">
              <w:rPr>
                <w:rFonts w:ascii="Verdana" w:hAnsi="Verdana"/>
                <w:sz w:val="20"/>
              </w:rPr>
              <w:t>UML 2.0 In Action</w:t>
            </w:r>
          </w:p>
        </w:tc>
        <w:tc>
          <w:tcPr>
            <w:tcW w:w="5528" w:type="dxa"/>
            <w:shd w:val="clear" w:color="auto" w:fill="auto"/>
          </w:tcPr>
          <w:p w14:paraId="4ACFD181" w14:textId="77777777" w:rsidR="00DB3CD9" w:rsidRPr="00D3114F" w:rsidRDefault="00DB3CD9" w:rsidP="00D16BCE">
            <w:pPr>
              <w:pStyle w:val="Text2"/>
              <w:jc w:val="left"/>
              <w:rPr>
                <w:rFonts w:ascii="Verdana" w:hAnsi="Verdana"/>
                <w:sz w:val="20"/>
              </w:rPr>
            </w:pPr>
            <w:r w:rsidRPr="00D3114F">
              <w:rPr>
                <w:rFonts w:ascii="Verdana" w:hAnsi="Verdana"/>
                <w:sz w:val="20"/>
              </w:rPr>
              <w:t>Henriette Baumann, Patrick Grassle &amp; Philippe Baumann, 2005, ISBN 1904811558</w:t>
            </w:r>
          </w:p>
        </w:tc>
      </w:tr>
      <w:tr w:rsidR="00DB3CD9" w:rsidRPr="00AD4709" w14:paraId="4D99798D" w14:textId="77777777" w:rsidTr="00D16BCE">
        <w:tc>
          <w:tcPr>
            <w:tcW w:w="534" w:type="dxa"/>
            <w:shd w:val="clear" w:color="auto" w:fill="auto"/>
            <w:vAlign w:val="center"/>
          </w:tcPr>
          <w:p w14:paraId="57440D21" w14:textId="77777777" w:rsidR="00DB3CD9" w:rsidRPr="00CF6FBE" w:rsidRDefault="00DB3CD9" w:rsidP="00D16BCE">
            <w:pPr>
              <w:pStyle w:val="Text2"/>
              <w:jc w:val="left"/>
              <w:rPr>
                <w:rFonts w:ascii="Verdana" w:hAnsi="Verdana"/>
                <w:sz w:val="20"/>
              </w:rPr>
            </w:pPr>
            <w:r w:rsidRPr="00CF6FBE">
              <w:rPr>
                <w:rFonts w:ascii="Verdana" w:hAnsi="Verdana"/>
                <w:sz w:val="20"/>
              </w:rPr>
              <w:t>6</w:t>
            </w:r>
          </w:p>
        </w:tc>
        <w:tc>
          <w:tcPr>
            <w:tcW w:w="3402" w:type="dxa"/>
            <w:shd w:val="clear" w:color="auto" w:fill="auto"/>
            <w:vAlign w:val="center"/>
          </w:tcPr>
          <w:p w14:paraId="68B88E44" w14:textId="77777777" w:rsidR="00DB3CD9" w:rsidRPr="00CF6FBE" w:rsidRDefault="00DB3CD9" w:rsidP="00D16BCE">
            <w:pPr>
              <w:pStyle w:val="Text2"/>
              <w:jc w:val="left"/>
              <w:rPr>
                <w:rFonts w:ascii="Verdana" w:hAnsi="Verdana"/>
                <w:sz w:val="20"/>
              </w:rPr>
            </w:pPr>
            <w:r w:rsidRPr="00CF6FBE">
              <w:rPr>
                <w:rFonts w:ascii="Verdana" w:hAnsi="Verdana"/>
                <w:sz w:val="20"/>
              </w:rPr>
              <w:t>RUP@EC standard 5.0</w:t>
            </w:r>
          </w:p>
        </w:tc>
        <w:tc>
          <w:tcPr>
            <w:tcW w:w="5528" w:type="dxa"/>
            <w:shd w:val="clear" w:color="auto" w:fill="auto"/>
          </w:tcPr>
          <w:p w14:paraId="0B36BA65" w14:textId="77777777" w:rsidR="00DB3CD9" w:rsidRPr="00CF6FBE" w:rsidRDefault="00E566F8" w:rsidP="00D16BCE">
            <w:pPr>
              <w:pStyle w:val="Text2"/>
              <w:jc w:val="left"/>
              <w:rPr>
                <w:rFonts w:ascii="Verdana" w:hAnsi="Verdana"/>
                <w:sz w:val="20"/>
              </w:rPr>
            </w:pPr>
            <w:hyperlink r:id="rId21" w:history="1">
              <w:r w:rsidR="00DB3CD9" w:rsidRPr="00CF6FBE">
                <w:rPr>
                  <w:rStyle w:val="Hyperlink"/>
                </w:rPr>
                <w:t>http://www.cc.cec/RUPatEC_Standard/</w:t>
              </w:r>
            </w:hyperlink>
          </w:p>
        </w:tc>
      </w:tr>
      <w:tr w:rsidR="00DB3CD9" w:rsidRPr="00AD4709" w14:paraId="581ED469" w14:textId="77777777" w:rsidTr="00D16BCE">
        <w:tc>
          <w:tcPr>
            <w:tcW w:w="534" w:type="dxa"/>
            <w:shd w:val="clear" w:color="auto" w:fill="auto"/>
            <w:vAlign w:val="center"/>
          </w:tcPr>
          <w:p w14:paraId="13D8ED4B" w14:textId="77777777" w:rsidR="00DB3CD9" w:rsidRPr="00CF6FBE" w:rsidRDefault="00DB3CD9" w:rsidP="00D16BCE">
            <w:pPr>
              <w:pStyle w:val="Text2"/>
              <w:jc w:val="left"/>
              <w:rPr>
                <w:rFonts w:ascii="Verdana" w:hAnsi="Verdana"/>
                <w:sz w:val="20"/>
              </w:rPr>
            </w:pPr>
            <w:r w:rsidRPr="00CF6FBE">
              <w:rPr>
                <w:rFonts w:ascii="Verdana" w:hAnsi="Verdana"/>
                <w:sz w:val="20"/>
              </w:rPr>
              <w:t>7</w:t>
            </w:r>
          </w:p>
        </w:tc>
        <w:tc>
          <w:tcPr>
            <w:tcW w:w="3402" w:type="dxa"/>
            <w:shd w:val="clear" w:color="auto" w:fill="auto"/>
            <w:vAlign w:val="center"/>
          </w:tcPr>
          <w:p w14:paraId="04140C46" w14:textId="77777777" w:rsidR="00DB3CD9" w:rsidRPr="00CF6FBE" w:rsidRDefault="00DB3CD9" w:rsidP="00D16BCE">
            <w:pPr>
              <w:pStyle w:val="Text2"/>
              <w:jc w:val="left"/>
              <w:rPr>
                <w:rFonts w:ascii="Verdana" w:hAnsi="Verdana"/>
                <w:sz w:val="20"/>
              </w:rPr>
            </w:pPr>
            <w:r w:rsidRPr="00CF6FBE">
              <w:rPr>
                <w:rFonts w:ascii="Verdana" w:hAnsi="Verdana"/>
                <w:sz w:val="20"/>
              </w:rPr>
              <w:t>RUP op maat</w:t>
            </w:r>
          </w:p>
        </w:tc>
        <w:tc>
          <w:tcPr>
            <w:tcW w:w="5528" w:type="dxa"/>
            <w:shd w:val="clear" w:color="auto" w:fill="auto"/>
          </w:tcPr>
          <w:p w14:paraId="10278B7C" w14:textId="77777777" w:rsidR="00DB3CD9" w:rsidRPr="00CF6FBE" w:rsidRDefault="00E566F8" w:rsidP="00D16BCE">
            <w:pPr>
              <w:pStyle w:val="Text2"/>
              <w:jc w:val="left"/>
              <w:rPr>
                <w:rFonts w:ascii="Verdana" w:hAnsi="Verdana"/>
                <w:sz w:val="20"/>
              </w:rPr>
            </w:pPr>
            <w:hyperlink r:id="rId22" w:history="1">
              <w:r w:rsidR="00DB3CD9" w:rsidRPr="00CF6FBE">
                <w:rPr>
                  <w:rStyle w:val="Hyperlink"/>
                </w:rPr>
                <w:t>http://www.rupopmaat.nl/</w:t>
              </w:r>
            </w:hyperlink>
          </w:p>
        </w:tc>
      </w:tr>
    </w:tbl>
    <w:p w14:paraId="31C79B1C" w14:textId="77777777" w:rsidR="00DB3CD9" w:rsidRPr="00A11DEC" w:rsidRDefault="00DB3CD9" w:rsidP="00DB3CD9">
      <w:pPr>
        <w:pStyle w:val="Text2"/>
        <w:rPr>
          <w:rFonts w:asciiTheme="minorHAnsi" w:hAnsiTheme="minorHAnsi"/>
          <w:sz w:val="20"/>
        </w:rPr>
      </w:pPr>
    </w:p>
    <w:p w14:paraId="51964847" w14:textId="77777777" w:rsidR="00DB3CD9" w:rsidRPr="00A11DEC" w:rsidRDefault="00DB3CD9">
      <w:pPr>
        <w:pStyle w:val="Heading2"/>
      </w:pPr>
      <w:bookmarkStart w:id="22" w:name="_Toc383523601"/>
      <w:bookmarkStart w:id="23" w:name="_Toc522797860"/>
      <w:r w:rsidRPr="00A11DEC">
        <w:t>Overview</w:t>
      </w:r>
      <w:bookmarkEnd w:id="22"/>
      <w:bookmarkEnd w:id="23"/>
    </w:p>
    <w:p w14:paraId="0D5FB419" w14:textId="75240B9E" w:rsidR="00A86875" w:rsidRPr="00CF6FBE" w:rsidRDefault="00A86875" w:rsidP="00A86875">
      <w:pPr>
        <w:spacing w:before="120" w:after="120"/>
        <w:rPr>
          <w:sz w:val="22"/>
          <w:szCs w:val="22"/>
        </w:rPr>
      </w:pPr>
      <w:r w:rsidRPr="00CF6FBE">
        <w:rPr>
          <w:sz w:val="22"/>
          <w:szCs w:val="22"/>
        </w:rPr>
        <w:t>Chapter</w:t>
      </w:r>
      <w:r w:rsidR="00EC0993" w:rsidRPr="00CF6FBE">
        <w:rPr>
          <w:sz w:val="22"/>
          <w:szCs w:val="22"/>
        </w:rPr>
        <w:t xml:space="preserve"> </w:t>
      </w:r>
      <w:r w:rsidRPr="00CF6FBE">
        <w:rPr>
          <w:sz w:val="22"/>
          <w:szCs w:val="22"/>
        </w:rPr>
        <w:t>1 introduces the external view on the business system under review and lists the elements of this specification.</w:t>
      </w:r>
    </w:p>
    <w:p w14:paraId="2B8CD091" w14:textId="0AB58E64" w:rsidR="00A86875" w:rsidRPr="00CF6FBE" w:rsidRDefault="00A86875" w:rsidP="00A86875">
      <w:pPr>
        <w:spacing w:before="120" w:after="120"/>
        <w:rPr>
          <w:sz w:val="22"/>
          <w:szCs w:val="22"/>
        </w:rPr>
      </w:pPr>
      <w:r w:rsidRPr="00CF6FBE">
        <w:rPr>
          <w:sz w:val="22"/>
          <w:szCs w:val="22"/>
        </w:rPr>
        <w:t xml:space="preserve">Chapter 2 introduces the </w:t>
      </w:r>
      <w:r w:rsidR="002741F1" w:rsidRPr="00CF6FBE">
        <w:rPr>
          <w:rFonts w:cs="Calibri"/>
          <w:sz w:val="22"/>
          <w:szCs w:val="22"/>
        </w:rPr>
        <w:t xml:space="preserve">Advance </w:t>
      </w:r>
      <w:r w:rsidR="003A105B" w:rsidRPr="00CF6FBE">
        <w:rPr>
          <w:rFonts w:cs="Calibri"/>
          <w:sz w:val="22"/>
          <w:szCs w:val="22"/>
        </w:rPr>
        <w:t>payments in the event of an appeal against rejection</w:t>
      </w:r>
      <w:r w:rsidR="002741F1" w:rsidRPr="00CF6FBE">
        <w:rPr>
          <w:rFonts w:cs="Calibri"/>
          <w:sz w:val="22"/>
          <w:szCs w:val="22"/>
        </w:rPr>
        <w:t xml:space="preserve"> of benefits due to occupational disease</w:t>
      </w:r>
      <w:r w:rsidR="002844DE" w:rsidRPr="00CF6FBE">
        <w:rPr>
          <w:rFonts w:cs="Calibri"/>
          <w:sz w:val="22"/>
          <w:szCs w:val="22"/>
        </w:rPr>
        <w:t xml:space="preserve"> </w:t>
      </w:r>
      <w:r w:rsidRPr="00CF6FBE">
        <w:rPr>
          <w:sz w:val="22"/>
          <w:szCs w:val="22"/>
        </w:rPr>
        <w:t>business process. Th</w:t>
      </w:r>
      <w:r w:rsidR="008179E6" w:rsidRPr="00CF6FBE">
        <w:rPr>
          <w:sz w:val="22"/>
          <w:szCs w:val="22"/>
        </w:rPr>
        <w:t>is</w:t>
      </w:r>
      <w:r w:rsidRPr="00CF6FBE">
        <w:rPr>
          <w:sz w:val="22"/>
          <w:szCs w:val="22"/>
        </w:rPr>
        <w:t xml:space="preserve"> chapter gives a short and detailed description as well as a reference to </w:t>
      </w:r>
      <w:r w:rsidR="008179E6" w:rsidRPr="00CF6FBE">
        <w:rPr>
          <w:sz w:val="22"/>
          <w:szCs w:val="22"/>
        </w:rPr>
        <w:t xml:space="preserve">the </w:t>
      </w:r>
      <w:r w:rsidRPr="00CF6FBE">
        <w:rPr>
          <w:sz w:val="22"/>
          <w:szCs w:val="22"/>
        </w:rPr>
        <w:t>business process´ legal base.</w:t>
      </w:r>
    </w:p>
    <w:p w14:paraId="542A07F7" w14:textId="72243FCF" w:rsidR="00A86875" w:rsidRPr="00CF6FBE" w:rsidRDefault="00A86875" w:rsidP="00A86875">
      <w:pPr>
        <w:spacing w:before="120" w:after="120"/>
        <w:rPr>
          <w:sz w:val="22"/>
          <w:szCs w:val="22"/>
        </w:rPr>
      </w:pPr>
      <w:r w:rsidRPr="00CF6FBE">
        <w:rPr>
          <w:sz w:val="22"/>
          <w:szCs w:val="22"/>
        </w:rPr>
        <w:t xml:space="preserve">Chapter 3 lists the actors involved in the </w:t>
      </w:r>
      <w:r w:rsidR="002741F1" w:rsidRPr="00CF6FBE">
        <w:rPr>
          <w:rFonts w:cs="Calibri"/>
          <w:sz w:val="22"/>
          <w:szCs w:val="22"/>
        </w:rPr>
        <w:t xml:space="preserve">Advance </w:t>
      </w:r>
      <w:r w:rsidR="003A105B" w:rsidRPr="00CF6FBE">
        <w:rPr>
          <w:rFonts w:cs="Calibri"/>
          <w:sz w:val="22"/>
          <w:szCs w:val="22"/>
        </w:rPr>
        <w:t>payments in the event of an appeal against rejection</w:t>
      </w:r>
      <w:r w:rsidR="002844DE" w:rsidRPr="00CF6FBE">
        <w:rPr>
          <w:rFonts w:cs="Calibri"/>
          <w:sz w:val="22"/>
          <w:szCs w:val="22"/>
        </w:rPr>
        <w:t xml:space="preserve"> </w:t>
      </w:r>
      <w:r w:rsidR="002741F1" w:rsidRPr="00CF6FBE">
        <w:rPr>
          <w:rFonts w:cs="Calibri"/>
          <w:sz w:val="22"/>
          <w:szCs w:val="22"/>
        </w:rPr>
        <w:t xml:space="preserve">of benefits due to occupational disease </w:t>
      </w:r>
      <w:r w:rsidRPr="00CF6FBE">
        <w:rPr>
          <w:sz w:val="22"/>
          <w:szCs w:val="22"/>
        </w:rPr>
        <w:t>business process.</w:t>
      </w:r>
    </w:p>
    <w:p w14:paraId="6B807EE5" w14:textId="6A0B0D65" w:rsidR="00A86875" w:rsidRPr="00CF6FBE" w:rsidRDefault="00A86875" w:rsidP="00A86875">
      <w:pPr>
        <w:spacing w:before="120" w:after="120"/>
        <w:rPr>
          <w:sz w:val="22"/>
          <w:szCs w:val="22"/>
        </w:rPr>
      </w:pPr>
      <w:r w:rsidRPr="00CF6FBE">
        <w:rPr>
          <w:sz w:val="22"/>
          <w:szCs w:val="22"/>
        </w:rPr>
        <w:t xml:space="preserve">Chapter 4 describes in detail the </w:t>
      </w:r>
      <w:r w:rsidR="002741F1" w:rsidRPr="00CF6FBE">
        <w:rPr>
          <w:rFonts w:cs="Calibri"/>
          <w:sz w:val="22"/>
          <w:szCs w:val="22"/>
        </w:rPr>
        <w:t xml:space="preserve">Advance </w:t>
      </w:r>
      <w:r w:rsidR="003A105B" w:rsidRPr="00CF6FBE">
        <w:rPr>
          <w:rFonts w:cs="Calibri"/>
          <w:sz w:val="22"/>
          <w:szCs w:val="22"/>
        </w:rPr>
        <w:t>payments in the event of an appeal against rejection</w:t>
      </w:r>
      <w:r w:rsidR="002844DE" w:rsidRPr="00CF6FBE">
        <w:rPr>
          <w:rFonts w:cs="Calibri"/>
          <w:sz w:val="22"/>
          <w:szCs w:val="22"/>
        </w:rPr>
        <w:t xml:space="preserve"> </w:t>
      </w:r>
      <w:r w:rsidR="002741F1" w:rsidRPr="00CF6FBE">
        <w:rPr>
          <w:rFonts w:cs="Calibri"/>
          <w:sz w:val="22"/>
          <w:szCs w:val="22"/>
        </w:rPr>
        <w:t xml:space="preserve">of benefits due to occupational disease </w:t>
      </w:r>
      <w:r w:rsidR="008F04BE" w:rsidRPr="00CF6FBE">
        <w:rPr>
          <w:rFonts w:cs="Calibri"/>
          <w:sz w:val="22"/>
          <w:szCs w:val="22"/>
        </w:rPr>
        <w:t>business</w:t>
      </w:r>
      <w:r w:rsidRPr="00CF6FBE">
        <w:rPr>
          <w:sz w:val="22"/>
          <w:szCs w:val="22"/>
        </w:rPr>
        <w:t xml:space="preserve"> process based on the RUP use case template, as well as the relationship to other use cases.</w:t>
      </w:r>
    </w:p>
    <w:p w14:paraId="3B91142C" w14:textId="73B0CBDA" w:rsidR="00A86875" w:rsidRPr="00CF6FBE" w:rsidRDefault="00A86875" w:rsidP="00A86875">
      <w:pPr>
        <w:spacing w:before="120" w:after="120"/>
        <w:rPr>
          <w:sz w:val="22"/>
          <w:szCs w:val="22"/>
        </w:rPr>
      </w:pPr>
      <w:r w:rsidRPr="00CF6FBE">
        <w:rPr>
          <w:sz w:val="22"/>
          <w:szCs w:val="22"/>
        </w:rPr>
        <w:t xml:space="preserve">Chapter 5 describes the </w:t>
      </w:r>
      <w:r w:rsidR="002741F1" w:rsidRPr="00CF6FBE">
        <w:rPr>
          <w:rFonts w:cs="Calibri"/>
          <w:sz w:val="22"/>
          <w:szCs w:val="22"/>
        </w:rPr>
        <w:t xml:space="preserve">Advance </w:t>
      </w:r>
      <w:r w:rsidR="003A105B" w:rsidRPr="00CF6FBE">
        <w:rPr>
          <w:rFonts w:cs="Calibri"/>
          <w:sz w:val="22"/>
          <w:szCs w:val="22"/>
        </w:rPr>
        <w:t>payments in the event of an appeal against rejection</w:t>
      </w:r>
      <w:r w:rsidR="002844DE" w:rsidRPr="00CF6FBE">
        <w:rPr>
          <w:rFonts w:cs="Calibri"/>
          <w:sz w:val="22"/>
          <w:szCs w:val="22"/>
        </w:rPr>
        <w:t xml:space="preserve"> </w:t>
      </w:r>
      <w:r w:rsidR="002741F1" w:rsidRPr="00CF6FBE">
        <w:rPr>
          <w:rFonts w:cs="Calibri"/>
          <w:sz w:val="22"/>
          <w:szCs w:val="22"/>
        </w:rPr>
        <w:t xml:space="preserve">of benefits due to occupational disease </w:t>
      </w:r>
      <w:r w:rsidRPr="00CF6FBE">
        <w:rPr>
          <w:sz w:val="22"/>
          <w:szCs w:val="22"/>
        </w:rPr>
        <w:t>business process using business process modelling notation (BPMN).</w:t>
      </w:r>
    </w:p>
    <w:p w14:paraId="47BFB4ED" w14:textId="77777777" w:rsidR="00845F15" w:rsidRPr="00A11DEC" w:rsidRDefault="00FF78BD">
      <w:pPr>
        <w:pStyle w:val="Heading2"/>
      </w:pPr>
      <w:r w:rsidRPr="00A11DEC">
        <w:br w:type="page"/>
      </w:r>
      <w:bookmarkEnd w:id="6"/>
    </w:p>
    <w:p w14:paraId="208CB2E1" w14:textId="77777777" w:rsidR="00E24F9F" w:rsidRPr="00CF6FBE" w:rsidRDefault="00E24F9F" w:rsidP="00E24F9F">
      <w:pPr>
        <w:pStyle w:val="Heading1"/>
        <w:rPr>
          <w:rFonts w:ascii="Verdana" w:hAnsi="Verdana"/>
        </w:rPr>
      </w:pPr>
      <w:bookmarkStart w:id="24" w:name="_Toc381002670"/>
      <w:bookmarkStart w:id="25" w:name="_Toc522797861"/>
      <w:r w:rsidRPr="00CF6FBE">
        <w:rPr>
          <w:rFonts w:ascii="Verdana" w:hAnsi="Verdana"/>
        </w:rPr>
        <w:lastRenderedPageBreak/>
        <w:t>Description</w:t>
      </w:r>
      <w:bookmarkEnd w:id="24"/>
      <w:bookmarkEnd w:id="25"/>
    </w:p>
    <w:p w14:paraId="35FAD842" w14:textId="53CC871C" w:rsidR="004C3ECC" w:rsidRPr="004C3ECC" w:rsidRDefault="00DD4137">
      <w:pPr>
        <w:pStyle w:val="Heading2"/>
      </w:pPr>
      <w:bookmarkStart w:id="26" w:name="_Toc522797862"/>
      <w:bookmarkStart w:id="27" w:name="_Toc366491249"/>
      <w:bookmarkStart w:id="28" w:name="_Toc383523604"/>
      <w:bookmarkStart w:id="29" w:name="_Toc367366380"/>
      <w:bookmarkStart w:id="30" w:name="_Toc368569930"/>
      <w:bookmarkStart w:id="31" w:name="_Toc371682141"/>
      <w:bookmarkStart w:id="32" w:name="_Toc381002673"/>
      <w:r>
        <w:t>Business Scenario</w:t>
      </w:r>
      <w:bookmarkEnd w:id="26"/>
    </w:p>
    <w:p w14:paraId="4FE09D2A" w14:textId="61E31016" w:rsidR="00976265" w:rsidRPr="00CF6FBE" w:rsidRDefault="00976265" w:rsidP="00976265">
      <w:pPr>
        <w:pStyle w:val="ListParagraph"/>
        <w:tabs>
          <w:tab w:val="left" w:pos="0"/>
        </w:tabs>
        <w:spacing w:before="120"/>
        <w:ind w:left="0"/>
        <w:rPr>
          <w:rFonts w:ascii="Verdana" w:hAnsi="Verdana"/>
          <w:sz w:val="22"/>
          <w:szCs w:val="22"/>
        </w:rPr>
      </w:pPr>
      <w:r w:rsidRPr="00CF6FBE">
        <w:rPr>
          <w:rFonts w:ascii="Verdana" w:hAnsi="Verdana"/>
          <w:sz w:val="22"/>
          <w:szCs w:val="22"/>
        </w:rPr>
        <w:t>In case when a person concerned lodged an appeal against a decision to refuse benefits due to occupational disease taken by the institution of one Member States under the legislation of which the person concerned pursued an activity likely to cause the occupational disease in question, the institution which took the refusal decision is obliged to send information about an appeal which was lodged against this decision to the institution in Member State to which the declaration or not</w:t>
      </w:r>
      <w:r w:rsidR="000C5B97">
        <w:rPr>
          <w:rFonts w:ascii="Verdana" w:hAnsi="Verdana"/>
          <w:sz w:val="22"/>
          <w:szCs w:val="22"/>
        </w:rPr>
        <w:t xml:space="preserve">ification about not fulfilling </w:t>
      </w:r>
      <w:r w:rsidRPr="00CF6FBE">
        <w:rPr>
          <w:rFonts w:ascii="Verdana" w:hAnsi="Verdana"/>
          <w:sz w:val="22"/>
          <w:szCs w:val="22"/>
        </w:rPr>
        <w:t xml:space="preserve">the requirements of its legislation was sent in accordance to Article 36(2) of Regulation No 987/2009 (described in AW_BUC_9b). Furthermore the said institution informs when a final decision is reached. </w:t>
      </w:r>
    </w:p>
    <w:p w14:paraId="3B367E63" w14:textId="417D82E0" w:rsidR="000F0F64" w:rsidRPr="00CF6FBE" w:rsidRDefault="000F0F64" w:rsidP="00A86875">
      <w:pPr>
        <w:spacing w:before="120" w:after="120"/>
        <w:rPr>
          <w:sz w:val="22"/>
          <w:szCs w:val="22"/>
        </w:rPr>
      </w:pPr>
      <w:r w:rsidRPr="00CF6FBE">
        <w:rPr>
          <w:sz w:val="22"/>
          <w:szCs w:val="22"/>
        </w:rPr>
        <w:t>If a person is entitled to benefits under the legislation applied by the institution to which the said declaration or notification about not fulfilling  the requirements was sent, this institution shall make advance payments. The amount of the advance payments is determined, where appropriate</w:t>
      </w:r>
      <w:r w:rsidR="00C62C96" w:rsidRPr="00CF6FBE">
        <w:rPr>
          <w:sz w:val="22"/>
          <w:szCs w:val="22"/>
        </w:rPr>
        <w:t>,</w:t>
      </w:r>
      <w:r w:rsidRPr="00CF6FBE">
        <w:rPr>
          <w:sz w:val="22"/>
          <w:szCs w:val="22"/>
        </w:rPr>
        <w:t xml:space="preserve"> after consulting with institution which made a decision against which the appeal was lodged to avoid overpayment. The latter institution shall reimburse the advance payments in case when as a result of appeal it is obliged to provide the benefits.</w:t>
      </w:r>
    </w:p>
    <w:p w14:paraId="2CD9C77A" w14:textId="48793752" w:rsidR="00E04741" w:rsidRPr="00CF6FBE" w:rsidRDefault="008C1922" w:rsidP="00A86875">
      <w:pPr>
        <w:spacing w:before="120" w:after="120"/>
        <w:rPr>
          <w:sz w:val="22"/>
          <w:szCs w:val="22"/>
        </w:rPr>
      </w:pPr>
      <w:r w:rsidRPr="00CF6FBE">
        <w:rPr>
          <w:sz w:val="22"/>
          <w:szCs w:val="22"/>
        </w:rPr>
        <w:t>This</w:t>
      </w:r>
      <w:r w:rsidR="004F64F4" w:rsidRPr="00CF6FBE">
        <w:rPr>
          <w:sz w:val="22"/>
          <w:szCs w:val="22"/>
        </w:rPr>
        <w:t xml:space="preserve"> business use case </w:t>
      </w:r>
      <w:r w:rsidR="00713B92">
        <w:rPr>
          <w:sz w:val="22"/>
          <w:szCs w:val="22"/>
        </w:rPr>
        <w:t xml:space="preserve">allows to exchange an </w:t>
      </w:r>
      <w:r w:rsidR="004F64F4" w:rsidRPr="00CF6FBE">
        <w:rPr>
          <w:sz w:val="22"/>
          <w:szCs w:val="22"/>
        </w:rPr>
        <w:t>information needed to determine the amounts for the purpose of advance payments</w:t>
      </w:r>
      <w:r w:rsidR="00A20CFC" w:rsidRPr="00CF6FBE">
        <w:rPr>
          <w:sz w:val="22"/>
          <w:szCs w:val="22"/>
        </w:rPr>
        <w:t xml:space="preserve"> upon request. </w:t>
      </w:r>
      <w:r w:rsidR="00E04741" w:rsidRPr="00CF6FBE">
        <w:rPr>
          <w:sz w:val="22"/>
          <w:szCs w:val="22"/>
        </w:rPr>
        <w:t xml:space="preserve">Prior exchange of information both about the logged appeal and final decision is covered by AW_BUC_10 a. </w:t>
      </w:r>
    </w:p>
    <w:p w14:paraId="4D7CF54C" w14:textId="1BA6E577" w:rsidR="000F0F64" w:rsidRDefault="000F0F64" w:rsidP="00A86875">
      <w:pPr>
        <w:spacing w:before="120" w:after="120"/>
        <w:rPr>
          <w:sz w:val="22"/>
          <w:szCs w:val="22"/>
        </w:rPr>
      </w:pPr>
      <w:r w:rsidRPr="00CF6FBE">
        <w:rPr>
          <w:sz w:val="22"/>
          <w:szCs w:val="22"/>
        </w:rPr>
        <w:t>Th</w:t>
      </w:r>
      <w:r w:rsidR="003E53E1" w:rsidRPr="00CF6FBE">
        <w:rPr>
          <w:sz w:val="22"/>
          <w:szCs w:val="22"/>
        </w:rPr>
        <w:t xml:space="preserve">e advance payments will be deducted from the benefits </w:t>
      </w:r>
      <w:r w:rsidR="00C62C96" w:rsidRPr="00CF6FBE">
        <w:rPr>
          <w:sz w:val="22"/>
          <w:szCs w:val="22"/>
        </w:rPr>
        <w:t xml:space="preserve">due to the person concerned </w:t>
      </w:r>
      <w:r w:rsidR="003E53E1" w:rsidRPr="00CF6FBE">
        <w:rPr>
          <w:sz w:val="22"/>
          <w:szCs w:val="22"/>
        </w:rPr>
        <w:t xml:space="preserve">in accordance with the provisions of Articles 72 and 73 of Regulation </w:t>
      </w:r>
      <w:r w:rsidR="008C1922" w:rsidRPr="00CF6FBE">
        <w:rPr>
          <w:sz w:val="22"/>
          <w:szCs w:val="22"/>
        </w:rPr>
        <w:t xml:space="preserve">No 987/2009 via </w:t>
      </w:r>
      <w:r w:rsidR="003E53E1" w:rsidRPr="00CF6FBE">
        <w:rPr>
          <w:sz w:val="22"/>
          <w:szCs w:val="22"/>
        </w:rPr>
        <w:t>separate R_BUC</w:t>
      </w:r>
      <w:r w:rsidR="00713B92">
        <w:rPr>
          <w:sz w:val="22"/>
          <w:szCs w:val="22"/>
        </w:rPr>
        <w:t xml:space="preserve">s </w:t>
      </w:r>
      <w:r w:rsidR="008C1922" w:rsidRPr="00CF6FBE">
        <w:rPr>
          <w:sz w:val="22"/>
          <w:szCs w:val="22"/>
        </w:rPr>
        <w:t>(R</w:t>
      </w:r>
      <w:r w:rsidR="00C62C96" w:rsidRPr="00CF6FBE">
        <w:rPr>
          <w:sz w:val="22"/>
          <w:szCs w:val="22"/>
        </w:rPr>
        <w:t xml:space="preserve">_BUC_01 </w:t>
      </w:r>
      <w:r w:rsidR="008C1922" w:rsidRPr="00CF6FBE">
        <w:rPr>
          <w:sz w:val="22"/>
          <w:szCs w:val="22"/>
        </w:rPr>
        <w:t xml:space="preserve">or R_BUC_03). </w:t>
      </w:r>
      <w:r w:rsidR="004F64F4" w:rsidRPr="00CF6FBE">
        <w:rPr>
          <w:sz w:val="22"/>
          <w:szCs w:val="22"/>
        </w:rPr>
        <w:t>These steps are therefore outside AW_BUC_10</w:t>
      </w:r>
      <w:r w:rsidR="00976265" w:rsidRPr="00CF6FBE">
        <w:rPr>
          <w:sz w:val="22"/>
          <w:szCs w:val="22"/>
        </w:rPr>
        <w:t>b</w:t>
      </w:r>
      <w:r w:rsidR="004F64F4" w:rsidRPr="00CF6FBE">
        <w:rPr>
          <w:sz w:val="22"/>
          <w:szCs w:val="22"/>
        </w:rPr>
        <w:t>.</w:t>
      </w:r>
    </w:p>
    <w:p w14:paraId="778C9023" w14:textId="77777777" w:rsidR="00713B92" w:rsidRPr="00004C80" w:rsidRDefault="00713B92" w:rsidP="00A86875">
      <w:pPr>
        <w:spacing w:before="120" w:after="120"/>
        <w:rPr>
          <w:sz w:val="22"/>
        </w:rPr>
      </w:pPr>
    </w:p>
    <w:p w14:paraId="1A1A3A7A" w14:textId="7D0DF6D6" w:rsidR="00DB3CD9" w:rsidRPr="00A11DEC" w:rsidRDefault="00DB3CD9">
      <w:pPr>
        <w:pStyle w:val="Heading2"/>
      </w:pPr>
      <w:bookmarkStart w:id="33" w:name="_Toc522797863"/>
      <w:r w:rsidRPr="00A11DEC">
        <w:t xml:space="preserve">Legal </w:t>
      </w:r>
      <w:r w:rsidR="00DD4137">
        <w:t>Base</w:t>
      </w:r>
      <w:bookmarkEnd w:id="27"/>
      <w:bookmarkEnd w:id="28"/>
      <w:bookmarkEnd w:id="33"/>
    </w:p>
    <w:p w14:paraId="7B422CE3" w14:textId="12399DE6" w:rsidR="00A86875" w:rsidRPr="00CF6FBE" w:rsidRDefault="000D19E9" w:rsidP="00A86875">
      <w:pPr>
        <w:spacing w:before="120" w:after="120"/>
        <w:rPr>
          <w:sz w:val="22"/>
          <w:szCs w:val="22"/>
        </w:rPr>
      </w:pPr>
      <w:r w:rsidRPr="00CF6FBE">
        <w:rPr>
          <w:sz w:val="22"/>
          <w:szCs w:val="22"/>
        </w:rPr>
        <w:t>This Business Use Case document's legal base is described in the following Regulations</w:t>
      </w:r>
    </w:p>
    <w:p w14:paraId="7941F4CB" w14:textId="60895A5C" w:rsidR="008104B3" w:rsidRPr="00CF6FBE" w:rsidRDefault="008104B3" w:rsidP="00A86875">
      <w:pPr>
        <w:pStyle w:val="ListBullet4"/>
        <w:numPr>
          <w:ilvl w:val="0"/>
          <w:numId w:val="24"/>
        </w:numPr>
        <w:spacing w:after="120"/>
        <w:contextualSpacing w:val="0"/>
        <w:rPr>
          <w:rFonts w:cs="Calibri"/>
          <w:sz w:val="22"/>
          <w:szCs w:val="22"/>
        </w:rPr>
      </w:pPr>
      <w:r w:rsidRPr="00CF6FBE">
        <w:rPr>
          <w:rFonts w:cs="Calibri"/>
          <w:sz w:val="22"/>
          <w:szCs w:val="22"/>
        </w:rPr>
        <w:t>Basic Regulation (EC) No 883/2004</w:t>
      </w:r>
    </w:p>
    <w:p w14:paraId="6C3AA6BE" w14:textId="105C787B" w:rsidR="00A86875" w:rsidRPr="00CF6FBE" w:rsidRDefault="00A86875" w:rsidP="00A86875">
      <w:pPr>
        <w:pStyle w:val="ListBullet4"/>
        <w:numPr>
          <w:ilvl w:val="0"/>
          <w:numId w:val="24"/>
        </w:numPr>
        <w:spacing w:after="120"/>
        <w:contextualSpacing w:val="0"/>
        <w:rPr>
          <w:rFonts w:cs="Calibri"/>
          <w:sz w:val="22"/>
          <w:szCs w:val="22"/>
        </w:rPr>
      </w:pPr>
      <w:r w:rsidRPr="00CF6FBE">
        <w:rPr>
          <w:rFonts w:cs="Calibri"/>
          <w:sz w:val="22"/>
          <w:szCs w:val="22"/>
        </w:rPr>
        <w:t>implementing Regula</w:t>
      </w:r>
      <w:r w:rsidR="004F3DCC" w:rsidRPr="00CF6FBE">
        <w:rPr>
          <w:rFonts w:cs="Calibri"/>
          <w:sz w:val="22"/>
          <w:szCs w:val="22"/>
        </w:rPr>
        <w:t>tion (EC) No 987/2009</w:t>
      </w:r>
    </w:p>
    <w:p w14:paraId="28BC78A3" w14:textId="34E1BF31" w:rsidR="000B06B5" w:rsidRDefault="000D19E9" w:rsidP="000D19E9">
      <w:pPr>
        <w:spacing w:before="120" w:after="120"/>
        <w:rPr>
          <w:sz w:val="22"/>
          <w:szCs w:val="22"/>
        </w:rPr>
      </w:pPr>
      <w:r w:rsidRPr="00CF6FBE">
        <w:rPr>
          <w:sz w:val="22"/>
          <w:szCs w:val="22"/>
        </w:rPr>
        <w:t>The following matrix specifies the SEDs that are used in this Business Use Case and documents the articles that provide the legal basis for each SED.</w:t>
      </w:r>
    </w:p>
    <w:tbl>
      <w:tblPr>
        <w:tblW w:w="4314" w:type="dxa"/>
        <w:jc w:val="center"/>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2711"/>
      </w:tblGrid>
      <w:tr w:rsidR="00AD4709" w:rsidRPr="00AD4709" w14:paraId="478DC6DB" w14:textId="1B2A2849" w:rsidTr="00CF6FBE">
        <w:trPr>
          <w:trHeight w:val="359"/>
          <w:jc w:val="center"/>
        </w:trPr>
        <w:tc>
          <w:tcPr>
            <w:tcW w:w="1603" w:type="dxa"/>
            <w:vMerge w:val="restart"/>
            <w:shd w:val="clear" w:color="auto" w:fill="auto"/>
            <w:vAlign w:val="bottom"/>
          </w:tcPr>
          <w:p w14:paraId="616CD922" w14:textId="64E0959A" w:rsidR="00AD4709" w:rsidRPr="00CF6FBE" w:rsidRDefault="00AD4709" w:rsidP="00AD4709">
            <w:pPr>
              <w:pStyle w:val="ListBullet4"/>
              <w:ind w:left="0"/>
              <w:jc w:val="center"/>
              <w:rPr>
                <w:rFonts w:cs="Calibri"/>
                <w:b/>
                <w:color w:val="FFFFFF"/>
                <w:szCs w:val="20"/>
              </w:rPr>
            </w:pPr>
            <w:r w:rsidRPr="00CF6FBE">
              <w:rPr>
                <w:rFonts w:cs="Calibri"/>
                <w:b/>
                <w:szCs w:val="20"/>
              </w:rPr>
              <w:t>SED</w:t>
            </w:r>
          </w:p>
        </w:tc>
        <w:tc>
          <w:tcPr>
            <w:tcW w:w="2711" w:type="dxa"/>
            <w:shd w:val="clear" w:color="auto" w:fill="1F497D"/>
          </w:tcPr>
          <w:p w14:paraId="3B58471F" w14:textId="3A895E17" w:rsidR="00AD4709" w:rsidRPr="00CF6FBE" w:rsidRDefault="00AD4709" w:rsidP="00AD4709">
            <w:pPr>
              <w:pStyle w:val="ListBullet4"/>
              <w:numPr>
                <w:ilvl w:val="0"/>
                <w:numId w:val="0"/>
              </w:numPr>
              <w:jc w:val="center"/>
              <w:rPr>
                <w:rFonts w:cs="Calibri"/>
                <w:b/>
                <w:color w:val="FFFFFF"/>
                <w:szCs w:val="20"/>
              </w:rPr>
            </w:pPr>
            <w:r>
              <w:rPr>
                <w:rFonts w:cs="Calibri"/>
                <w:b/>
                <w:color w:val="FFFFFF"/>
                <w:szCs w:val="20"/>
              </w:rPr>
              <w:t>I</w:t>
            </w:r>
            <w:r w:rsidRPr="00CF6FBE">
              <w:rPr>
                <w:rFonts w:cs="Calibri"/>
                <w:b/>
                <w:color w:val="FFFFFF"/>
                <w:szCs w:val="20"/>
              </w:rPr>
              <w:t>mplementing Reg</w:t>
            </w:r>
            <w:r>
              <w:rPr>
                <w:rFonts w:cs="Calibri"/>
                <w:b/>
                <w:color w:val="FFFFFF"/>
                <w:szCs w:val="20"/>
              </w:rPr>
              <w:t xml:space="preserve"> (987/2009)</w:t>
            </w:r>
          </w:p>
        </w:tc>
      </w:tr>
      <w:tr w:rsidR="00AD4709" w:rsidRPr="00AD4709" w14:paraId="037C9A19" w14:textId="44AD387E" w:rsidTr="009434B3">
        <w:trPr>
          <w:trHeight w:val="359"/>
          <w:jc w:val="center"/>
        </w:trPr>
        <w:tc>
          <w:tcPr>
            <w:tcW w:w="1603" w:type="dxa"/>
            <w:vMerge/>
            <w:shd w:val="clear" w:color="auto" w:fill="auto"/>
          </w:tcPr>
          <w:p w14:paraId="251294FB" w14:textId="5300E867" w:rsidR="00AD4709" w:rsidRPr="00CF6FBE" w:rsidRDefault="00AD4709" w:rsidP="004F3DCC">
            <w:pPr>
              <w:pStyle w:val="ListBullet4"/>
              <w:numPr>
                <w:ilvl w:val="0"/>
                <w:numId w:val="0"/>
              </w:numPr>
              <w:jc w:val="center"/>
              <w:rPr>
                <w:rFonts w:cs="Calibri"/>
                <w:b/>
                <w:szCs w:val="20"/>
              </w:rPr>
            </w:pPr>
          </w:p>
        </w:tc>
        <w:tc>
          <w:tcPr>
            <w:tcW w:w="2711" w:type="dxa"/>
            <w:tcBorders>
              <w:bottom w:val="single" w:sz="4" w:space="0" w:color="auto"/>
            </w:tcBorders>
            <w:shd w:val="clear" w:color="auto" w:fill="1F497D"/>
            <w:vAlign w:val="center"/>
          </w:tcPr>
          <w:p w14:paraId="445D1782" w14:textId="29AB5452" w:rsidR="00AD4709" w:rsidRPr="00CF6FBE" w:rsidRDefault="00AD4709" w:rsidP="005C1455">
            <w:pPr>
              <w:pStyle w:val="ListBullet4"/>
              <w:numPr>
                <w:ilvl w:val="0"/>
                <w:numId w:val="0"/>
              </w:numPr>
              <w:jc w:val="center"/>
              <w:rPr>
                <w:rFonts w:cs="Calibri"/>
                <w:b/>
                <w:color w:val="FFFFFF"/>
                <w:szCs w:val="20"/>
              </w:rPr>
            </w:pPr>
            <w:r w:rsidRPr="00CF6FBE">
              <w:rPr>
                <w:rFonts w:cs="Calibri"/>
                <w:b/>
                <w:color w:val="FFFFFF"/>
                <w:szCs w:val="20"/>
              </w:rPr>
              <w:t>37(2)</w:t>
            </w:r>
          </w:p>
        </w:tc>
      </w:tr>
      <w:tr w:rsidR="003049A8" w:rsidRPr="00AD4709" w14:paraId="083380CA" w14:textId="77777777" w:rsidTr="00CF6FBE">
        <w:trPr>
          <w:jc w:val="center"/>
        </w:trPr>
        <w:tc>
          <w:tcPr>
            <w:tcW w:w="1603" w:type="dxa"/>
            <w:shd w:val="clear" w:color="auto" w:fill="auto"/>
          </w:tcPr>
          <w:p w14:paraId="49129772" w14:textId="3AE0823A" w:rsidR="003049A8" w:rsidRPr="00CF6FBE" w:rsidRDefault="003049A8" w:rsidP="004F3DCC">
            <w:pPr>
              <w:pStyle w:val="ListBullet4"/>
              <w:numPr>
                <w:ilvl w:val="0"/>
                <w:numId w:val="0"/>
              </w:numPr>
              <w:jc w:val="center"/>
              <w:rPr>
                <w:rFonts w:cs="Calibri"/>
                <w:szCs w:val="20"/>
              </w:rPr>
            </w:pPr>
            <w:r w:rsidRPr="00CF6FBE">
              <w:rPr>
                <w:rFonts w:cs="Calibri"/>
                <w:szCs w:val="20"/>
              </w:rPr>
              <w:t>DA053</w:t>
            </w:r>
          </w:p>
        </w:tc>
        <w:tc>
          <w:tcPr>
            <w:tcW w:w="2711" w:type="dxa"/>
            <w:shd w:val="clear" w:color="auto" w:fill="FFFFFF" w:themeFill="background1"/>
          </w:tcPr>
          <w:p w14:paraId="2924EA0B" w14:textId="4FEBBD20" w:rsidR="003049A8" w:rsidRPr="00CF6FBE" w:rsidRDefault="003049A8" w:rsidP="004C3ECC">
            <w:pPr>
              <w:pStyle w:val="ListBullet4"/>
              <w:numPr>
                <w:ilvl w:val="0"/>
                <w:numId w:val="0"/>
              </w:numPr>
              <w:jc w:val="center"/>
              <w:rPr>
                <w:rFonts w:cs="Calibri"/>
                <w:b/>
                <w:color w:val="4F6228"/>
                <w:szCs w:val="20"/>
                <w:lang w:val="en-US"/>
              </w:rPr>
            </w:pPr>
            <w:r w:rsidRPr="00CF6FBE">
              <w:rPr>
                <w:rFonts w:cs="Calibri"/>
                <w:b/>
                <w:color w:val="4F6228"/>
                <w:szCs w:val="20"/>
                <w:lang w:val="en-US"/>
              </w:rPr>
              <w:sym w:font="Wingdings" w:char="F0FC"/>
            </w:r>
          </w:p>
        </w:tc>
      </w:tr>
      <w:tr w:rsidR="003049A8" w:rsidRPr="00AD4709" w14:paraId="7C55C3F6" w14:textId="77777777" w:rsidTr="00CF6FBE">
        <w:trPr>
          <w:jc w:val="center"/>
        </w:trPr>
        <w:tc>
          <w:tcPr>
            <w:tcW w:w="1603" w:type="dxa"/>
            <w:shd w:val="clear" w:color="auto" w:fill="auto"/>
          </w:tcPr>
          <w:p w14:paraId="3C11964D" w14:textId="51F0B16D" w:rsidR="003049A8" w:rsidRPr="00CF6FBE" w:rsidRDefault="003049A8" w:rsidP="004F3DCC">
            <w:pPr>
              <w:pStyle w:val="ListBullet4"/>
              <w:numPr>
                <w:ilvl w:val="0"/>
                <w:numId w:val="0"/>
              </w:numPr>
              <w:jc w:val="center"/>
              <w:rPr>
                <w:rFonts w:cs="Calibri"/>
                <w:szCs w:val="20"/>
              </w:rPr>
            </w:pPr>
            <w:r w:rsidRPr="00CF6FBE">
              <w:rPr>
                <w:rFonts w:cs="Calibri"/>
                <w:szCs w:val="20"/>
              </w:rPr>
              <w:t>DA054</w:t>
            </w:r>
          </w:p>
        </w:tc>
        <w:tc>
          <w:tcPr>
            <w:tcW w:w="2711" w:type="dxa"/>
            <w:shd w:val="clear" w:color="auto" w:fill="FFFFFF" w:themeFill="background1"/>
          </w:tcPr>
          <w:p w14:paraId="20948241" w14:textId="21C365B2" w:rsidR="003049A8" w:rsidRPr="00CF6FBE" w:rsidRDefault="003049A8" w:rsidP="004C3ECC">
            <w:pPr>
              <w:pStyle w:val="ListBullet4"/>
              <w:numPr>
                <w:ilvl w:val="0"/>
                <w:numId w:val="0"/>
              </w:numPr>
              <w:jc w:val="center"/>
              <w:rPr>
                <w:rFonts w:cs="Calibri"/>
                <w:b/>
                <w:color w:val="4F6228"/>
                <w:szCs w:val="20"/>
                <w:lang w:val="en-US"/>
              </w:rPr>
            </w:pPr>
            <w:r w:rsidRPr="00CF6FBE">
              <w:rPr>
                <w:rFonts w:cs="Calibri"/>
                <w:b/>
                <w:color w:val="4F6228"/>
                <w:szCs w:val="20"/>
                <w:lang w:val="en-US"/>
              </w:rPr>
              <w:sym w:font="Wingdings" w:char="F0FC"/>
            </w:r>
          </w:p>
        </w:tc>
      </w:tr>
    </w:tbl>
    <w:p w14:paraId="3552961E" w14:textId="77777777" w:rsidR="00A70A40" w:rsidRPr="00AD4709" w:rsidRDefault="00A70A40" w:rsidP="0070085A">
      <w:pPr>
        <w:pStyle w:val="Caption"/>
      </w:pPr>
      <w:r w:rsidRPr="00AD4709">
        <w:t xml:space="preserve">Table </w:t>
      </w:r>
      <w:r w:rsidR="007B4427" w:rsidRPr="0071736D">
        <w:fldChar w:fldCharType="begin"/>
      </w:r>
      <w:r w:rsidRPr="00AD4709">
        <w:instrText xml:space="preserve"> SEQ Table \* ARABIC </w:instrText>
      </w:r>
      <w:r w:rsidR="007B4427" w:rsidRPr="0071736D">
        <w:fldChar w:fldCharType="separate"/>
      </w:r>
      <w:r w:rsidR="00886A92">
        <w:rPr>
          <w:noProof/>
        </w:rPr>
        <w:t>1</w:t>
      </w:r>
      <w:r w:rsidR="007B4427" w:rsidRPr="0071736D">
        <w:fldChar w:fldCharType="end"/>
      </w:r>
      <w:r w:rsidRPr="00AD4709">
        <w:t>: SED – Legal base relationship matrix</w:t>
      </w:r>
    </w:p>
    <w:p w14:paraId="3C55C894" w14:textId="77777777" w:rsidR="00E24F9F" w:rsidRPr="00CF6FBE" w:rsidRDefault="00DB3CD9" w:rsidP="00DB3CD9">
      <w:pPr>
        <w:pStyle w:val="Heading1"/>
        <w:rPr>
          <w:rFonts w:ascii="Verdana" w:hAnsi="Verdana"/>
        </w:rPr>
      </w:pPr>
      <w:r w:rsidRPr="00A11DEC">
        <w:br w:type="page"/>
      </w:r>
      <w:bookmarkStart w:id="34" w:name="_Toc522797864"/>
      <w:r w:rsidR="00E24F9F" w:rsidRPr="00CF6FBE">
        <w:rPr>
          <w:rFonts w:ascii="Verdana" w:hAnsi="Verdana"/>
        </w:rPr>
        <w:lastRenderedPageBreak/>
        <w:t>Actors &amp; Roles</w:t>
      </w:r>
      <w:bookmarkEnd w:id="29"/>
      <w:bookmarkEnd w:id="30"/>
      <w:bookmarkEnd w:id="31"/>
      <w:bookmarkEnd w:id="32"/>
      <w:bookmarkEnd w:id="34"/>
    </w:p>
    <w:p w14:paraId="41FC9AC6" w14:textId="42EB7D36" w:rsidR="00D54656" w:rsidRPr="00CF6FBE" w:rsidRDefault="00D54656" w:rsidP="00D54656">
      <w:pPr>
        <w:pStyle w:val="Text1"/>
        <w:rPr>
          <w:rFonts w:ascii="Verdana" w:hAnsi="Verdana" w:cs="Calibri"/>
          <w:sz w:val="22"/>
          <w:szCs w:val="22"/>
        </w:rPr>
      </w:pPr>
      <w:r w:rsidRPr="00CF6FBE">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14:paraId="12CA82F0" w14:textId="77777777" w:rsidR="00D54656" w:rsidRPr="00CF6FBE" w:rsidRDefault="00D54656" w:rsidP="00D54656">
      <w:pPr>
        <w:pStyle w:val="Text1"/>
        <w:rPr>
          <w:rFonts w:ascii="Verdana" w:hAnsi="Verdana" w:cs="Calibri"/>
          <w:sz w:val="22"/>
          <w:szCs w:val="22"/>
        </w:rPr>
      </w:pPr>
      <w:r w:rsidRPr="00CF6FBE">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AD4709" w14:paraId="407D28CF" w14:textId="77777777" w:rsidTr="00855A3D">
        <w:tc>
          <w:tcPr>
            <w:tcW w:w="3122" w:type="dxa"/>
            <w:shd w:val="clear" w:color="auto" w:fill="C6D9F1"/>
          </w:tcPr>
          <w:p w14:paraId="7E0DDEF7" w14:textId="77777777" w:rsidR="00855A3D" w:rsidRPr="00CF6FBE" w:rsidRDefault="00855A3D" w:rsidP="000A1067">
            <w:pPr>
              <w:rPr>
                <w:rFonts w:cs="Calibri"/>
                <w:b/>
                <w:szCs w:val="20"/>
              </w:rPr>
            </w:pPr>
            <w:r w:rsidRPr="00CF6FBE">
              <w:rPr>
                <w:rFonts w:cs="Calibri"/>
                <w:b/>
                <w:szCs w:val="20"/>
              </w:rPr>
              <w:t>Actor name</w:t>
            </w:r>
          </w:p>
        </w:tc>
        <w:tc>
          <w:tcPr>
            <w:tcW w:w="5881" w:type="dxa"/>
            <w:shd w:val="clear" w:color="auto" w:fill="C6D9F1"/>
          </w:tcPr>
          <w:p w14:paraId="752FA941" w14:textId="77777777" w:rsidR="00855A3D" w:rsidRPr="00CF6FBE" w:rsidRDefault="00855A3D" w:rsidP="000A1067">
            <w:pPr>
              <w:rPr>
                <w:rFonts w:cs="Calibri"/>
                <w:b/>
                <w:szCs w:val="20"/>
              </w:rPr>
            </w:pPr>
            <w:r w:rsidRPr="00CF6FBE">
              <w:rPr>
                <w:rFonts w:cs="Calibri"/>
                <w:b/>
                <w:szCs w:val="20"/>
              </w:rPr>
              <w:t>Description</w:t>
            </w:r>
          </w:p>
        </w:tc>
      </w:tr>
      <w:tr w:rsidR="00855A3D" w:rsidRPr="00AD4709" w14:paraId="5034ABCB" w14:textId="77777777" w:rsidTr="00502F5E">
        <w:trPr>
          <w:trHeight w:val="780"/>
        </w:trPr>
        <w:tc>
          <w:tcPr>
            <w:tcW w:w="3122" w:type="dxa"/>
            <w:shd w:val="clear" w:color="auto" w:fill="auto"/>
          </w:tcPr>
          <w:p w14:paraId="1C937354" w14:textId="77777777" w:rsidR="00855A3D" w:rsidRPr="00CF6FBE" w:rsidRDefault="00C906A1" w:rsidP="00C906A1">
            <w:pPr>
              <w:rPr>
                <w:rFonts w:cs="Calibri"/>
                <w:b/>
                <w:i/>
                <w:szCs w:val="20"/>
              </w:rPr>
            </w:pPr>
            <w:r w:rsidRPr="00CF6FBE">
              <w:rPr>
                <w:rFonts w:cs="Calibri"/>
                <w:b/>
                <w:i/>
                <w:szCs w:val="20"/>
              </w:rPr>
              <w:t xml:space="preserve">Case </w:t>
            </w:r>
            <w:r w:rsidR="00855A3D" w:rsidRPr="00CF6FBE">
              <w:rPr>
                <w:rFonts w:cs="Calibri"/>
                <w:b/>
                <w:i/>
                <w:szCs w:val="20"/>
              </w:rPr>
              <w:t>Owner</w:t>
            </w:r>
          </w:p>
        </w:tc>
        <w:tc>
          <w:tcPr>
            <w:tcW w:w="5881" w:type="dxa"/>
            <w:shd w:val="clear" w:color="auto" w:fill="auto"/>
          </w:tcPr>
          <w:p w14:paraId="4E69F78D" w14:textId="52052F14" w:rsidR="00915748" w:rsidRDefault="00B35404" w:rsidP="00713B92">
            <w:pPr>
              <w:rPr>
                <w:rFonts w:cs="Calibri"/>
                <w:szCs w:val="20"/>
              </w:rPr>
            </w:pPr>
            <w:r w:rsidRPr="00CF6FBE">
              <w:rPr>
                <w:rFonts w:cs="Calibri"/>
                <w:szCs w:val="20"/>
              </w:rPr>
              <w:t xml:space="preserve">In this BUC the Case Owner is </w:t>
            </w:r>
            <w:r w:rsidR="002A3ED2" w:rsidRPr="00CF6FBE">
              <w:rPr>
                <w:rFonts w:cs="Calibri"/>
                <w:szCs w:val="20"/>
              </w:rPr>
              <w:t xml:space="preserve">the </w:t>
            </w:r>
            <w:r w:rsidR="00A06A2E" w:rsidRPr="00CF6FBE">
              <w:rPr>
                <w:rFonts w:cs="Calibri"/>
                <w:szCs w:val="20"/>
              </w:rPr>
              <w:t xml:space="preserve">institution in a </w:t>
            </w:r>
            <w:r w:rsidR="002A3ED2" w:rsidRPr="00CF6FBE">
              <w:rPr>
                <w:rFonts w:cs="Calibri"/>
                <w:szCs w:val="20"/>
              </w:rPr>
              <w:t>Member State to which the declaration or notification</w:t>
            </w:r>
            <w:r w:rsidR="00A06A2E" w:rsidRPr="00CF6FBE">
              <w:rPr>
                <w:rFonts w:cs="Calibri"/>
                <w:szCs w:val="20"/>
              </w:rPr>
              <w:t xml:space="preserve"> about not fulfilling the requirements of its legislation</w:t>
            </w:r>
            <w:r w:rsidR="002A3ED2" w:rsidRPr="00CF6FBE">
              <w:rPr>
                <w:rFonts w:cs="Calibri"/>
                <w:szCs w:val="20"/>
              </w:rPr>
              <w:t xml:space="preserve"> was </w:t>
            </w:r>
            <w:r w:rsidR="00A06A2E" w:rsidRPr="00CF6FBE">
              <w:rPr>
                <w:rFonts w:cs="Calibri"/>
                <w:szCs w:val="20"/>
              </w:rPr>
              <w:t xml:space="preserve">sent in accordance to Article 36(2) of Regulation No 987/2009 and to which information about an appeal and a final decision were sent. If a person is entitled to benefits under the legislation of this institution, </w:t>
            </w:r>
            <w:r w:rsidR="00025E30" w:rsidRPr="00CF6FBE">
              <w:rPr>
                <w:rFonts w:cs="Calibri"/>
                <w:szCs w:val="20"/>
              </w:rPr>
              <w:t>the Case Owner</w:t>
            </w:r>
            <w:r w:rsidR="00A06A2E" w:rsidRPr="00CF6FBE">
              <w:rPr>
                <w:rFonts w:cs="Calibri"/>
                <w:szCs w:val="20"/>
              </w:rPr>
              <w:t xml:space="preserve"> shall make advance payments in amount determined after consulting with the Counterparty. In addition, </w:t>
            </w:r>
            <w:r w:rsidR="00713B92">
              <w:rPr>
                <w:rFonts w:cs="Calibri"/>
                <w:szCs w:val="20"/>
              </w:rPr>
              <w:t xml:space="preserve">if </w:t>
            </w:r>
            <w:r w:rsidR="00A06A2E" w:rsidRPr="00CF6FBE">
              <w:rPr>
                <w:rFonts w:cs="Calibri"/>
                <w:szCs w:val="20"/>
              </w:rPr>
              <w:t xml:space="preserve">as a result of </w:t>
            </w:r>
            <w:r w:rsidR="00713B92">
              <w:rPr>
                <w:rFonts w:cs="Calibri"/>
                <w:szCs w:val="20"/>
              </w:rPr>
              <w:t xml:space="preserve">the </w:t>
            </w:r>
            <w:r w:rsidR="00A06A2E" w:rsidRPr="00CF6FBE">
              <w:rPr>
                <w:rFonts w:cs="Calibri"/>
                <w:szCs w:val="20"/>
              </w:rPr>
              <w:t xml:space="preserve">appeal the Counterparty </w:t>
            </w:r>
            <w:r w:rsidR="00713B92">
              <w:rPr>
                <w:rFonts w:cs="Calibri"/>
                <w:szCs w:val="20"/>
              </w:rPr>
              <w:t>has</w:t>
            </w:r>
            <w:r w:rsidR="00A06A2E" w:rsidRPr="00CF6FBE">
              <w:rPr>
                <w:rFonts w:cs="Calibri"/>
                <w:szCs w:val="20"/>
              </w:rPr>
              <w:t xml:space="preserve"> to provide the benefits, the Case Owner requests for reimbursement of the advance payments. </w:t>
            </w:r>
          </w:p>
          <w:p w14:paraId="5FBC2718" w14:textId="0B5B249B" w:rsidR="00713B92" w:rsidRPr="00CF6FBE" w:rsidRDefault="00713B92" w:rsidP="00713B92">
            <w:pPr>
              <w:rPr>
                <w:rFonts w:cs="Calibri"/>
                <w:szCs w:val="20"/>
              </w:rPr>
            </w:pPr>
          </w:p>
        </w:tc>
      </w:tr>
      <w:tr w:rsidR="00855A3D" w:rsidRPr="00AD4709" w14:paraId="05CC8DEC" w14:textId="77777777" w:rsidTr="00CA5CF5">
        <w:trPr>
          <w:trHeight w:val="699"/>
        </w:trPr>
        <w:tc>
          <w:tcPr>
            <w:tcW w:w="3122" w:type="dxa"/>
            <w:shd w:val="clear" w:color="auto" w:fill="auto"/>
          </w:tcPr>
          <w:p w14:paraId="0FAF700D" w14:textId="77777777" w:rsidR="00855A3D" w:rsidRPr="00CF6FBE" w:rsidRDefault="00855A3D" w:rsidP="000A1067">
            <w:pPr>
              <w:rPr>
                <w:rFonts w:cs="Calibri"/>
                <w:b/>
                <w:i/>
                <w:szCs w:val="20"/>
              </w:rPr>
            </w:pPr>
            <w:r w:rsidRPr="00CF6FBE">
              <w:rPr>
                <w:rFonts w:cs="Calibri"/>
                <w:b/>
                <w:i/>
                <w:szCs w:val="20"/>
              </w:rPr>
              <w:t>Counterparty</w:t>
            </w:r>
          </w:p>
        </w:tc>
        <w:tc>
          <w:tcPr>
            <w:tcW w:w="5881" w:type="dxa"/>
            <w:shd w:val="clear" w:color="auto" w:fill="auto"/>
          </w:tcPr>
          <w:p w14:paraId="1E659569" w14:textId="33DD31F2" w:rsidR="002A3ED2" w:rsidRPr="00CF6FBE" w:rsidRDefault="00330AAF" w:rsidP="00915748">
            <w:pPr>
              <w:rPr>
                <w:rFonts w:cs="Calibri"/>
                <w:szCs w:val="20"/>
              </w:rPr>
            </w:pPr>
            <w:r w:rsidRPr="00CF6FBE">
              <w:rPr>
                <w:rFonts w:cs="Calibri"/>
                <w:szCs w:val="20"/>
              </w:rPr>
              <w:t>In this BUC the Counterparty is</w:t>
            </w:r>
            <w:r w:rsidR="00915748" w:rsidRPr="00CF6FBE">
              <w:rPr>
                <w:rFonts w:cs="Calibri"/>
                <w:szCs w:val="20"/>
              </w:rPr>
              <w:t xml:space="preserve"> </w:t>
            </w:r>
            <w:r w:rsidR="002A3ED2" w:rsidRPr="00CF6FBE">
              <w:rPr>
                <w:rFonts w:cs="Calibri"/>
                <w:szCs w:val="20"/>
              </w:rPr>
              <w:t xml:space="preserve">the institution in the Member State against which decision to refuse benefits an appeal was lodged.  </w:t>
            </w:r>
            <w:r w:rsidR="00025E30" w:rsidRPr="00CF6FBE">
              <w:rPr>
                <w:rFonts w:cs="Calibri"/>
                <w:szCs w:val="20"/>
              </w:rPr>
              <w:t>At the request of the Case Owner, t</w:t>
            </w:r>
            <w:r w:rsidR="002A3ED2" w:rsidRPr="00CF6FBE">
              <w:rPr>
                <w:rFonts w:cs="Calibri"/>
                <w:szCs w:val="20"/>
              </w:rPr>
              <w:t>he Counterparty inform</w:t>
            </w:r>
            <w:r w:rsidR="00025E30" w:rsidRPr="00CF6FBE">
              <w:rPr>
                <w:rFonts w:cs="Calibri"/>
                <w:szCs w:val="20"/>
              </w:rPr>
              <w:t>s</w:t>
            </w:r>
            <w:r w:rsidR="002A3ED2" w:rsidRPr="00CF6FBE">
              <w:rPr>
                <w:rFonts w:cs="Calibri"/>
                <w:szCs w:val="20"/>
              </w:rPr>
              <w:t xml:space="preserve"> about the amount</w:t>
            </w:r>
            <w:r w:rsidR="00025E30" w:rsidRPr="00CF6FBE">
              <w:rPr>
                <w:rFonts w:cs="Calibri"/>
                <w:szCs w:val="20"/>
              </w:rPr>
              <w:t>s</w:t>
            </w:r>
            <w:r w:rsidR="002A3ED2" w:rsidRPr="00CF6FBE">
              <w:rPr>
                <w:rFonts w:cs="Calibri"/>
                <w:szCs w:val="20"/>
              </w:rPr>
              <w:t xml:space="preserve"> for the purpose of </w:t>
            </w:r>
            <w:r w:rsidR="00025E30" w:rsidRPr="00CF6FBE">
              <w:rPr>
                <w:rFonts w:cs="Calibri"/>
                <w:szCs w:val="20"/>
              </w:rPr>
              <w:t xml:space="preserve">determining </w:t>
            </w:r>
            <w:r w:rsidR="002A3ED2" w:rsidRPr="00CF6FBE">
              <w:rPr>
                <w:rFonts w:cs="Calibri"/>
                <w:szCs w:val="20"/>
              </w:rPr>
              <w:t>the advance payments.</w:t>
            </w:r>
            <w:r w:rsidR="00025E30" w:rsidRPr="00CF6FBE">
              <w:rPr>
                <w:rFonts w:cs="Calibri"/>
                <w:szCs w:val="20"/>
              </w:rPr>
              <w:t xml:space="preserve"> In addition</w:t>
            </w:r>
            <w:r w:rsidR="00BE7488">
              <w:rPr>
                <w:rFonts w:cs="Calibri"/>
                <w:szCs w:val="20"/>
              </w:rPr>
              <w:t xml:space="preserve"> if</w:t>
            </w:r>
            <w:r w:rsidR="00025E30" w:rsidRPr="00CF6FBE">
              <w:rPr>
                <w:rFonts w:cs="Calibri"/>
                <w:szCs w:val="20"/>
              </w:rPr>
              <w:t>, as a result of appeal</w:t>
            </w:r>
            <w:r w:rsidR="00BE7488">
              <w:rPr>
                <w:rFonts w:cs="Calibri"/>
                <w:szCs w:val="20"/>
              </w:rPr>
              <w:t>,</w:t>
            </w:r>
            <w:r w:rsidR="00025E30" w:rsidRPr="00CF6FBE">
              <w:rPr>
                <w:rFonts w:cs="Calibri"/>
                <w:szCs w:val="20"/>
              </w:rPr>
              <w:t xml:space="preserve"> the </w:t>
            </w:r>
            <w:r w:rsidR="00C76E03" w:rsidRPr="00CF6FBE">
              <w:rPr>
                <w:rFonts w:cs="Calibri"/>
                <w:szCs w:val="20"/>
              </w:rPr>
              <w:t>Counterparty</w:t>
            </w:r>
            <w:r w:rsidR="00025E30" w:rsidRPr="00CF6FBE">
              <w:rPr>
                <w:rFonts w:cs="Calibri"/>
                <w:szCs w:val="20"/>
              </w:rPr>
              <w:t xml:space="preserve"> </w:t>
            </w:r>
            <w:r w:rsidR="00713B92">
              <w:rPr>
                <w:rFonts w:cs="Calibri"/>
                <w:szCs w:val="20"/>
              </w:rPr>
              <w:t>has</w:t>
            </w:r>
            <w:r w:rsidR="00025E30" w:rsidRPr="00CF6FBE">
              <w:rPr>
                <w:rFonts w:cs="Calibri"/>
                <w:szCs w:val="20"/>
              </w:rPr>
              <w:t xml:space="preserve"> to provide the benefits, </w:t>
            </w:r>
            <w:r w:rsidR="006D282C" w:rsidRPr="00CF6FBE">
              <w:rPr>
                <w:rFonts w:cs="Calibri"/>
                <w:szCs w:val="20"/>
              </w:rPr>
              <w:t>the Counterparty is requested to reimburse the advance payments made by the Case Owner.</w:t>
            </w:r>
          </w:p>
          <w:p w14:paraId="586A6C60" w14:textId="236B1B48" w:rsidR="00330AAF" w:rsidRPr="00CF6FBE" w:rsidRDefault="00330AAF" w:rsidP="00915748">
            <w:pPr>
              <w:rPr>
                <w:rFonts w:cs="Calibri"/>
                <w:szCs w:val="20"/>
              </w:rPr>
            </w:pPr>
          </w:p>
        </w:tc>
      </w:tr>
    </w:tbl>
    <w:p w14:paraId="0F029287" w14:textId="77777777" w:rsidR="00855A3D" w:rsidRPr="00A11DEC" w:rsidRDefault="00855A3D" w:rsidP="00D54656">
      <w:pPr>
        <w:pStyle w:val="Text1"/>
        <w:rPr>
          <w:rFonts w:asciiTheme="minorHAnsi" w:hAnsiTheme="minorHAnsi" w:cs="Calibri"/>
          <w:sz w:val="20"/>
        </w:rPr>
      </w:pPr>
    </w:p>
    <w:p w14:paraId="70BC10F1" w14:textId="77777777" w:rsidR="00E24F9F" w:rsidRPr="00CF6FBE" w:rsidRDefault="00E24F9F" w:rsidP="00D54656">
      <w:pPr>
        <w:pStyle w:val="Heading1"/>
        <w:rPr>
          <w:rFonts w:ascii="Verdana" w:hAnsi="Verdana"/>
        </w:rPr>
      </w:pPr>
      <w:r w:rsidRPr="00A11DEC">
        <w:br w:type="page"/>
      </w:r>
      <w:bookmarkStart w:id="35" w:name="_Toc367366381"/>
      <w:bookmarkStart w:id="36" w:name="_Toc368569931"/>
      <w:bookmarkStart w:id="37" w:name="_Toc371682142"/>
      <w:bookmarkStart w:id="38" w:name="_Toc381002674"/>
      <w:bookmarkStart w:id="39" w:name="_Toc522797865"/>
      <w:r w:rsidRPr="00CF6FBE">
        <w:rPr>
          <w:rFonts w:ascii="Verdana" w:hAnsi="Verdana"/>
        </w:rPr>
        <w:lastRenderedPageBreak/>
        <w:t>Use Case</w:t>
      </w:r>
      <w:bookmarkEnd w:id="35"/>
      <w:bookmarkEnd w:id="36"/>
      <w:bookmarkEnd w:id="37"/>
      <w:bookmarkEnd w:id="38"/>
      <w:bookmarkEnd w:id="39"/>
      <w:r w:rsidRPr="00CF6FBE">
        <w:rPr>
          <w:rFonts w:ascii="Verdana" w:hAnsi="Verdana"/>
        </w:rPr>
        <w:t xml:space="preserve"> </w:t>
      </w:r>
    </w:p>
    <w:p w14:paraId="79E2EDD3" w14:textId="77777777" w:rsidR="00E24F9F" w:rsidRPr="00D66EB6" w:rsidRDefault="00E24F9F">
      <w:pPr>
        <w:pStyle w:val="Heading2"/>
      </w:pPr>
      <w:bookmarkStart w:id="40" w:name="_Toc367366382"/>
      <w:bookmarkStart w:id="41" w:name="_Toc368569932"/>
      <w:bookmarkStart w:id="42" w:name="_Toc371682143"/>
      <w:bookmarkStart w:id="43" w:name="_Toc381002675"/>
      <w:bookmarkStart w:id="44" w:name="_Toc522797866"/>
      <w:r w:rsidRPr="00D66EB6">
        <w:t>RUP Table Representation</w:t>
      </w:r>
      <w:bookmarkEnd w:id="40"/>
      <w:bookmarkEnd w:id="41"/>
      <w:bookmarkEnd w:id="42"/>
      <w:bookmarkEnd w:id="43"/>
      <w:bookmarkEnd w:id="44"/>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AD4709"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CF6FBE" w:rsidRDefault="00855A3D" w:rsidP="000A1067">
            <w:pPr>
              <w:jc w:val="right"/>
              <w:rPr>
                <w:rFonts w:cs="Calibri"/>
                <w:b/>
                <w:szCs w:val="20"/>
              </w:rPr>
            </w:pPr>
            <w:bookmarkStart w:id="45" w:name="_Toc367366383"/>
            <w:bookmarkStart w:id="46" w:name="_Toc368569933"/>
            <w:bookmarkStart w:id="47" w:name="_Toc371682144"/>
            <w:bookmarkStart w:id="48" w:name="_Toc381002676"/>
            <w:r w:rsidRPr="00CF6FBE">
              <w:rPr>
                <w:rFonts w:cs="Calibri"/>
                <w:b/>
                <w:szCs w:val="20"/>
              </w:rPr>
              <w:t>Use Case ID:</w:t>
            </w:r>
          </w:p>
        </w:tc>
        <w:tc>
          <w:tcPr>
            <w:tcW w:w="7920" w:type="dxa"/>
            <w:gridSpan w:val="4"/>
            <w:tcBorders>
              <w:top w:val="single" w:sz="12" w:space="0" w:color="auto"/>
              <w:bottom w:val="single" w:sz="6" w:space="0" w:color="auto"/>
            </w:tcBorders>
            <w:shd w:val="clear" w:color="auto" w:fill="F2F2F2"/>
          </w:tcPr>
          <w:p w14:paraId="28CE2060" w14:textId="3A513BDD" w:rsidR="00855A3D" w:rsidRPr="00CF6FBE" w:rsidRDefault="00FC0ECC" w:rsidP="00310E65">
            <w:pPr>
              <w:pStyle w:val="Hints"/>
              <w:rPr>
                <w:rFonts w:ascii="Verdana" w:hAnsi="Verdana" w:cs="Calibri"/>
                <w:b/>
                <w:color w:val="000000"/>
                <w:lang w:val="en-GB"/>
              </w:rPr>
            </w:pPr>
            <w:r w:rsidRPr="00CF6FBE">
              <w:rPr>
                <w:rFonts w:ascii="Verdana" w:hAnsi="Verdana" w:cs="Calibri"/>
                <w:b/>
                <w:color w:val="000000"/>
                <w:lang w:val="en-GB"/>
              </w:rPr>
              <w:t>AW_BUC_</w:t>
            </w:r>
            <w:r w:rsidR="00106945" w:rsidRPr="00CF6FBE">
              <w:rPr>
                <w:rFonts w:ascii="Verdana" w:hAnsi="Verdana" w:cs="Calibri"/>
                <w:b/>
                <w:color w:val="000000"/>
                <w:lang w:val="en-GB"/>
              </w:rPr>
              <w:t>10</w:t>
            </w:r>
            <w:r w:rsidR="006C1724" w:rsidRPr="00CF6FBE">
              <w:rPr>
                <w:rFonts w:ascii="Verdana" w:hAnsi="Verdana" w:cs="Calibri"/>
                <w:b/>
                <w:color w:val="000000"/>
                <w:lang w:val="en-GB"/>
              </w:rPr>
              <w:t>b</w:t>
            </w:r>
          </w:p>
        </w:tc>
      </w:tr>
      <w:tr w:rsidR="00855A3D" w:rsidRPr="00AD4709"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CF6FBE" w:rsidRDefault="00855A3D" w:rsidP="000A1067">
            <w:pPr>
              <w:jc w:val="right"/>
              <w:rPr>
                <w:rFonts w:cs="Calibri"/>
                <w:b/>
                <w:szCs w:val="20"/>
              </w:rPr>
            </w:pPr>
            <w:r w:rsidRPr="00CF6FBE">
              <w:rPr>
                <w:rFonts w:cs="Calibri"/>
                <w:b/>
                <w:szCs w:val="20"/>
              </w:rPr>
              <w:t>Use Case Name:</w:t>
            </w:r>
          </w:p>
        </w:tc>
        <w:tc>
          <w:tcPr>
            <w:tcW w:w="7920" w:type="dxa"/>
            <w:gridSpan w:val="4"/>
            <w:tcBorders>
              <w:top w:val="single" w:sz="6" w:space="0" w:color="auto"/>
              <w:bottom w:val="single" w:sz="6" w:space="0" w:color="auto"/>
            </w:tcBorders>
            <w:shd w:val="clear" w:color="auto" w:fill="F2F2F2"/>
          </w:tcPr>
          <w:p w14:paraId="40EC5FCA" w14:textId="59726314" w:rsidR="00855A3D" w:rsidRPr="00CF6FBE" w:rsidRDefault="00310E65" w:rsidP="000A1067">
            <w:pPr>
              <w:pStyle w:val="Hints"/>
              <w:rPr>
                <w:rFonts w:ascii="Verdana" w:hAnsi="Verdana" w:cs="Calibri"/>
                <w:color w:val="000000"/>
                <w:lang w:val="en-GB"/>
              </w:rPr>
            </w:pPr>
            <w:r w:rsidRPr="00CF6FBE">
              <w:rPr>
                <w:rFonts w:ascii="Verdana" w:hAnsi="Verdana" w:cs="Calibri"/>
                <w:color w:val="000000"/>
                <w:lang w:val="en-GB"/>
              </w:rPr>
              <w:t>Advance payments in the event of an appeal against rejection of benefits due to occupational disease.</w:t>
            </w:r>
          </w:p>
        </w:tc>
      </w:tr>
      <w:tr w:rsidR="00855A3D" w:rsidRPr="00AD4709"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CF6FBE" w:rsidRDefault="00855A3D" w:rsidP="000A1067">
            <w:pPr>
              <w:jc w:val="right"/>
              <w:rPr>
                <w:rFonts w:cs="Calibri"/>
                <w:b/>
                <w:szCs w:val="20"/>
              </w:rPr>
            </w:pPr>
            <w:r w:rsidRPr="00CF6FBE">
              <w:rPr>
                <w:rFonts w:cs="Calibri"/>
                <w:b/>
                <w:szCs w:val="20"/>
              </w:rPr>
              <w:t>Created By:</w:t>
            </w:r>
          </w:p>
        </w:tc>
        <w:tc>
          <w:tcPr>
            <w:tcW w:w="2700" w:type="dxa"/>
            <w:gridSpan w:val="2"/>
            <w:tcBorders>
              <w:top w:val="single" w:sz="6" w:space="0" w:color="auto"/>
              <w:bottom w:val="single" w:sz="6" w:space="0" w:color="auto"/>
            </w:tcBorders>
            <w:shd w:val="clear" w:color="auto" w:fill="F2F2F2"/>
          </w:tcPr>
          <w:p w14:paraId="28E7C8C2" w14:textId="7FB9714B" w:rsidR="00855A3D" w:rsidRPr="00CF6FBE" w:rsidRDefault="00A953B4" w:rsidP="000A1067">
            <w:pPr>
              <w:rPr>
                <w:rFonts w:cs="Calibri"/>
                <w:szCs w:val="20"/>
              </w:rPr>
            </w:pPr>
            <w:r w:rsidRPr="00CF6FBE">
              <w:rPr>
                <w:rFonts w:cs="Calibri"/>
                <w:szCs w:val="20"/>
              </w:rPr>
              <w:t>Carine Molle</w:t>
            </w:r>
          </w:p>
        </w:tc>
        <w:tc>
          <w:tcPr>
            <w:tcW w:w="2160" w:type="dxa"/>
            <w:tcBorders>
              <w:top w:val="single" w:sz="6" w:space="0" w:color="auto"/>
              <w:bottom w:val="single" w:sz="6" w:space="0" w:color="auto"/>
            </w:tcBorders>
            <w:shd w:val="clear" w:color="auto" w:fill="F2F2F2"/>
          </w:tcPr>
          <w:p w14:paraId="5F0D7D50" w14:textId="77777777" w:rsidR="00855A3D" w:rsidRPr="00CF6FBE" w:rsidRDefault="00855A3D" w:rsidP="000A1067">
            <w:pPr>
              <w:jc w:val="right"/>
              <w:rPr>
                <w:rFonts w:cs="Calibri"/>
                <w:b/>
                <w:szCs w:val="20"/>
              </w:rPr>
            </w:pPr>
            <w:r w:rsidRPr="00CF6FBE">
              <w:rPr>
                <w:rFonts w:cs="Calibri"/>
                <w:b/>
                <w:szCs w:val="20"/>
              </w:rPr>
              <w:t>Last Updated By:</w:t>
            </w:r>
          </w:p>
        </w:tc>
        <w:tc>
          <w:tcPr>
            <w:tcW w:w="3060" w:type="dxa"/>
            <w:tcBorders>
              <w:top w:val="single" w:sz="6" w:space="0" w:color="auto"/>
              <w:bottom w:val="single" w:sz="6" w:space="0" w:color="auto"/>
            </w:tcBorders>
            <w:shd w:val="clear" w:color="auto" w:fill="F2F2F2"/>
          </w:tcPr>
          <w:p w14:paraId="238D40CD" w14:textId="30764668" w:rsidR="00855A3D" w:rsidRPr="00CF6FBE" w:rsidRDefault="00A953B4" w:rsidP="000A1067">
            <w:pPr>
              <w:rPr>
                <w:rFonts w:cs="Calibri"/>
                <w:szCs w:val="20"/>
              </w:rPr>
            </w:pPr>
            <w:r w:rsidRPr="00CF6FBE">
              <w:rPr>
                <w:rFonts w:cs="Calibri"/>
                <w:szCs w:val="20"/>
              </w:rPr>
              <w:t>Carine Molle</w:t>
            </w:r>
          </w:p>
        </w:tc>
      </w:tr>
      <w:tr w:rsidR="00855A3D" w:rsidRPr="00AD4709"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CF6FBE" w:rsidRDefault="00855A3D" w:rsidP="000A1067">
            <w:pPr>
              <w:jc w:val="right"/>
              <w:rPr>
                <w:rFonts w:cs="Calibri"/>
                <w:b/>
                <w:szCs w:val="20"/>
              </w:rPr>
            </w:pPr>
            <w:r w:rsidRPr="00CF6FBE">
              <w:rPr>
                <w:rFonts w:cs="Calibri"/>
                <w:b/>
                <w:szCs w:val="20"/>
              </w:rPr>
              <w:t>Date Created:</w:t>
            </w:r>
          </w:p>
        </w:tc>
        <w:tc>
          <w:tcPr>
            <w:tcW w:w="2700" w:type="dxa"/>
            <w:gridSpan w:val="2"/>
            <w:tcBorders>
              <w:top w:val="single" w:sz="6" w:space="0" w:color="auto"/>
              <w:bottom w:val="single" w:sz="6" w:space="0" w:color="auto"/>
            </w:tcBorders>
            <w:shd w:val="clear" w:color="auto" w:fill="F2F2F2"/>
          </w:tcPr>
          <w:p w14:paraId="08D4B5A0" w14:textId="43BB1255" w:rsidR="00855A3D" w:rsidRPr="00CF6FBE" w:rsidRDefault="00A95D09" w:rsidP="000A1067">
            <w:pPr>
              <w:rPr>
                <w:rFonts w:cs="Calibri"/>
                <w:szCs w:val="20"/>
              </w:rPr>
            </w:pPr>
            <w:r w:rsidRPr="00CF6FBE">
              <w:rPr>
                <w:rFonts w:cs="Calibri"/>
                <w:szCs w:val="20"/>
              </w:rPr>
              <w:t>06/01/2016</w:t>
            </w:r>
          </w:p>
        </w:tc>
        <w:tc>
          <w:tcPr>
            <w:tcW w:w="2160" w:type="dxa"/>
            <w:tcBorders>
              <w:top w:val="single" w:sz="6" w:space="0" w:color="auto"/>
              <w:bottom w:val="single" w:sz="6" w:space="0" w:color="auto"/>
            </w:tcBorders>
            <w:shd w:val="clear" w:color="auto" w:fill="F2F2F2"/>
          </w:tcPr>
          <w:p w14:paraId="63486396" w14:textId="77777777" w:rsidR="00855A3D" w:rsidRPr="00CF6FBE" w:rsidRDefault="00855A3D" w:rsidP="000A1067">
            <w:pPr>
              <w:jc w:val="right"/>
              <w:rPr>
                <w:rFonts w:cs="Calibri"/>
                <w:b/>
                <w:szCs w:val="20"/>
              </w:rPr>
            </w:pPr>
            <w:r w:rsidRPr="00CF6FBE">
              <w:rPr>
                <w:rFonts w:cs="Calibri"/>
                <w:b/>
                <w:szCs w:val="20"/>
              </w:rPr>
              <w:t>Last Revision Date:</w:t>
            </w:r>
          </w:p>
        </w:tc>
        <w:tc>
          <w:tcPr>
            <w:tcW w:w="3060" w:type="dxa"/>
            <w:tcBorders>
              <w:top w:val="single" w:sz="6" w:space="0" w:color="auto"/>
              <w:bottom w:val="single" w:sz="6" w:space="0" w:color="auto"/>
            </w:tcBorders>
            <w:shd w:val="clear" w:color="auto" w:fill="F2F2F2"/>
          </w:tcPr>
          <w:p w14:paraId="6B214EA0" w14:textId="657F256E" w:rsidR="00855A3D" w:rsidRPr="00CF6FBE" w:rsidRDefault="006333E1" w:rsidP="003D1E23">
            <w:pPr>
              <w:rPr>
                <w:rFonts w:cs="Calibri"/>
                <w:szCs w:val="20"/>
              </w:rPr>
            </w:pPr>
            <w:r>
              <w:rPr>
                <w:rFonts w:cs="Calibri"/>
                <w:szCs w:val="20"/>
              </w:rPr>
              <w:t>26/09/2016</w:t>
            </w:r>
          </w:p>
        </w:tc>
      </w:tr>
      <w:tr w:rsidR="00855A3D" w:rsidRPr="00AD4709" w14:paraId="46907948" w14:textId="77777777" w:rsidTr="000A1067">
        <w:tc>
          <w:tcPr>
            <w:tcW w:w="2518" w:type="dxa"/>
            <w:gridSpan w:val="2"/>
            <w:tcBorders>
              <w:top w:val="single" w:sz="6" w:space="0" w:color="auto"/>
            </w:tcBorders>
          </w:tcPr>
          <w:p w14:paraId="591BA6F3" w14:textId="77777777" w:rsidR="00855A3D" w:rsidRPr="00CF6FBE" w:rsidRDefault="00855A3D" w:rsidP="000A1067">
            <w:pPr>
              <w:jc w:val="right"/>
              <w:rPr>
                <w:rFonts w:cs="Calibri"/>
                <w:b/>
                <w:szCs w:val="20"/>
              </w:rPr>
            </w:pPr>
            <w:r w:rsidRPr="00CF6FBE">
              <w:rPr>
                <w:rFonts w:cs="Calibri"/>
                <w:b/>
                <w:szCs w:val="20"/>
              </w:rPr>
              <w:t>Actors:</w:t>
            </w:r>
          </w:p>
        </w:tc>
        <w:tc>
          <w:tcPr>
            <w:tcW w:w="7220" w:type="dxa"/>
            <w:gridSpan w:val="3"/>
            <w:tcBorders>
              <w:top w:val="single" w:sz="6" w:space="0" w:color="auto"/>
            </w:tcBorders>
          </w:tcPr>
          <w:p w14:paraId="14E0A500" w14:textId="77777777" w:rsidR="00855A3D" w:rsidRPr="00CF6FBE" w:rsidRDefault="00C906A1" w:rsidP="000A1067">
            <w:pPr>
              <w:pStyle w:val="Hints"/>
              <w:rPr>
                <w:rFonts w:ascii="Verdana" w:hAnsi="Verdana" w:cs="Calibri"/>
                <w:color w:val="000000"/>
                <w:lang w:val="en-GB"/>
              </w:rPr>
            </w:pPr>
            <w:r w:rsidRPr="00CF6FBE">
              <w:rPr>
                <w:rFonts w:ascii="Verdana" w:hAnsi="Verdana" w:cs="Calibri"/>
                <w:color w:val="000000"/>
                <w:lang w:val="en-GB"/>
              </w:rPr>
              <w:t xml:space="preserve">Case </w:t>
            </w:r>
            <w:r w:rsidR="00855A3D" w:rsidRPr="00CF6FBE">
              <w:rPr>
                <w:rFonts w:ascii="Verdana" w:hAnsi="Verdana" w:cs="Calibri"/>
                <w:color w:val="000000"/>
                <w:lang w:val="en-GB"/>
              </w:rPr>
              <w:t>Owner</w:t>
            </w:r>
          </w:p>
          <w:p w14:paraId="0926B9FC" w14:textId="77777777" w:rsidR="00855A3D" w:rsidRPr="00CF6FBE" w:rsidRDefault="00855A3D" w:rsidP="000A1067">
            <w:pPr>
              <w:pStyle w:val="Hints"/>
              <w:rPr>
                <w:rFonts w:ascii="Verdana" w:hAnsi="Verdana" w:cs="Calibri"/>
                <w:color w:val="000000"/>
                <w:lang w:val="en-GB"/>
              </w:rPr>
            </w:pPr>
            <w:r w:rsidRPr="00CF6FBE">
              <w:rPr>
                <w:rFonts w:ascii="Verdana" w:hAnsi="Verdana" w:cs="Calibri"/>
                <w:color w:val="000000"/>
                <w:lang w:val="en-GB"/>
              </w:rPr>
              <w:t>Co</w:t>
            </w:r>
            <w:r w:rsidR="00FC0ECC" w:rsidRPr="00CF6FBE">
              <w:rPr>
                <w:rFonts w:ascii="Verdana" w:hAnsi="Verdana" w:cs="Calibri"/>
                <w:color w:val="000000"/>
                <w:lang w:val="en-GB"/>
              </w:rPr>
              <w:t>u</w:t>
            </w:r>
            <w:r w:rsidRPr="00CF6FBE">
              <w:rPr>
                <w:rFonts w:ascii="Verdana" w:hAnsi="Verdana" w:cs="Calibri"/>
                <w:color w:val="000000"/>
                <w:lang w:val="en-GB"/>
              </w:rPr>
              <w:t>nterparty</w:t>
            </w:r>
          </w:p>
          <w:p w14:paraId="2DB9A8E1" w14:textId="60E0AC11" w:rsidR="00855A3D" w:rsidRPr="00CF6FBE" w:rsidRDefault="00855A3D" w:rsidP="000A1067">
            <w:pPr>
              <w:pStyle w:val="Hints"/>
              <w:rPr>
                <w:rFonts w:ascii="Verdana" w:hAnsi="Verdana" w:cs="Calibri"/>
                <w:color w:val="000000"/>
                <w:lang w:val="en-GB"/>
              </w:rPr>
            </w:pPr>
          </w:p>
        </w:tc>
      </w:tr>
      <w:tr w:rsidR="00855A3D" w:rsidRPr="00AD4709" w14:paraId="61CD50D6" w14:textId="77777777" w:rsidTr="000A1067">
        <w:tc>
          <w:tcPr>
            <w:tcW w:w="2518" w:type="dxa"/>
            <w:gridSpan w:val="2"/>
          </w:tcPr>
          <w:p w14:paraId="2F89AC2E" w14:textId="77777777" w:rsidR="00855A3D" w:rsidRPr="00CF6FBE" w:rsidRDefault="00855A3D" w:rsidP="000A1067">
            <w:pPr>
              <w:jc w:val="right"/>
              <w:rPr>
                <w:rFonts w:cs="Calibri"/>
                <w:b/>
                <w:szCs w:val="20"/>
              </w:rPr>
            </w:pPr>
            <w:r w:rsidRPr="00CF6FBE">
              <w:rPr>
                <w:rFonts w:cs="Calibri"/>
                <w:b/>
                <w:szCs w:val="20"/>
              </w:rPr>
              <w:t>Description:</w:t>
            </w:r>
          </w:p>
        </w:tc>
        <w:tc>
          <w:tcPr>
            <w:tcW w:w="7220" w:type="dxa"/>
            <w:gridSpan w:val="3"/>
          </w:tcPr>
          <w:p w14:paraId="46B7E814" w14:textId="014975B0" w:rsidR="0037347C" w:rsidRPr="00CF6FBE" w:rsidRDefault="006C1724" w:rsidP="00A95D09">
            <w:pPr>
              <w:spacing w:before="120" w:after="120"/>
              <w:rPr>
                <w:szCs w:val="20"/>
              </w:rPr>
            </w:pPr>
            <w:r w:rsidRPr="00CF6FBE">
              <w:rPr>
                <w:szCs w:val="20"/>
              </w:rPr>
              <w:t xml:space="preserve">This case deals with the situation where </w:t>
            </w:r>
            <w:r w:rsidR="000B2CFB" w:rsidRPr="00CF6FBE">
              <w:rPr>
                <w:szCs w:val="20"/>
              </w:rPr>
              <w:t xml:space="preserve">a person is entitled to benefits under the legislation applied by the institution to which </w:t>
            </w:r>
            <w:r w:rsidR="00C76E03" w:rsidRPr="00CF6FBE">
              <w:rPr>
                <w:szCs w:val="20"/>
              </w:rPr>
              <w:t>the declaration or notification about not fulfilling the requirements of its legislation was sent in accordance to Article 36(2) of Regulation No 987/2009</w:t>
            </w:r>
            <w:r w:rsidR="00713B92">
              <w:rPr>
                <w:szCs w:val="20"/>
              </w:rPr>
              <w:t>. I</w:t>
            </w:r>
            <w:r w:rsidR="00C76E03" w:rsidRPr="00CF6FBE">
              <w:rPr>
                <w:szCs w:val="20"/>
              </w:rPr>
              <w:t>nformation both on appeal and the fin</w:t>
            </w:r>
            <w:r w:rsidR="00890024">
              <w:rPr>
                <w:szCs w:val="20"/>
              </w:rPr>
              <w:t>al decision on appeal were sent</w:t>
            </w:r>
            <w:r w:rsidR="000B2CFB" w:rsidRPr="00CF6FBE">
              <w:rPr>
                <w:szCs w:val="20"/>
              </w:rPr>
              <w:t xml:space="preserve">, </w:t>
            </w:r>
            <w:r w:rsidR="00C76E03" w:rsidRPr="00CF6FBE">
              <w:rPr>
                <w:szCs w:val="20"/>
              </w:rPr>
              <w:t xml:space="preserve">and </w:t>
            </w:r>
            <w:r w:rsidR="000B2CFB" w:rsidRPr="00CF6FBE">
              <w:rPr>
                <w:szCs w:val="20"/>
              </w:rPr>
              <w:t>this institution shall make advance payments. The amount of the advance payments is determined, where appropriate, after consulting with institution which made a decision against which the appeal was lodged</w:t>
            </w:r>
            <w:r w:rsidR="00713B92">
              <w:rPr>
                <w:szCs w:val="20"/>
              </w:rPr>
              <w:t xml:space="preserve">, in order </w:t>
            </w:r>
            <w:r w:rsidR="000B2CFB" w:rsidRPr="00CF6FBE">
              <w:rPr>
                <w:szCs w:val="20"/>
              </w:rPr>
              <w:t xml:space="preserve">to avoid overpayment. </w:t>
            </w:r>
          </w:p>
          <w:p w14:paraId="0EAEC522" w14:textId="4CF80626" w:rsidR="0061137B" w:rsidRPr="00CF6FBE" w:rsidRDefault="000B2CFB" w:rsidP="009606CF">
            <w:pPr>
              <w:spacing w:before="120" w:after="120"/>
              <w:rPr>
                <w:szCs w:val="20"/>
              </w:rPr>
            </w:pPr>
            <w:r w:rsidRPr="00CF6FBE">
              <w:rPr>
                <w:szCs w:val="20"/>
              </w:rPr>
              <w:t>The institution</w:t>
            </w:r>
            <w:r w:rsidR="00713B92">
              <w:rPr>
                <w:szCs w:val="20"/>
              </w:rPr>
              <w:t xml:space="preserve"> against which decision an appeal was lodged,</w:t>
            </w:r>
            <w:r w:rsidRPr="00CF6FBE">
              <w:rPr>
                <w:szCs w:val="20"/>
              </w:rPr>
              <w:t xml:space="preserve"> shall reimburse the advance payments </w:t>
            </w:r>
            <w:r w:rsidR="009606CF">
              <w:rPr>
                <w:szCs w:val="20"/>
              </w:rPr>
              <w:t xml:space="preserve">if, </w:t>
            </w:r>
            <w:r w:rsidRPr="00CF6FBE">
              <w:rPr>
                <w:szCs w:val="20"/>
              </w:rPr>
              <w:t>as a result of appeal</w:t>
            </w:r>
            <w:r w:rsidR="009606CF">
              <w:rPr>
                <w:szCs w:val="20"/>
              </w:rPr>
              <w:t xml:space="preserve">, </w:t>
            </w:r>
            <w:r w:rsidRPr="00CF6FBE">
              <w:rPr>
                <w:szCs w:val="20"/>
              </w:rPr>
              <w:t>it is obliged to provide the benefits</w:t>
            </w:r>
            <w:r w:rsidR="00890024">
              <w:rPr>
                <w:szCs w:val="20"/>
              </w:rPr>
              <w:t>. This is done by using the Recovery BUC</w:t>
            </w:r>
            <w:r w:rsidR="009606CF">
              <w:rPr>
                <w:szCs w:val="20"/>
              </w:rPr>
              <w:t>s</w:t>
            </w:r>
            <w:r w:rsidR="00890024">
              <w:rPr>
                <w:szCs w:val="20"/>
              </w:rPr>
              <w:t xml:space="preserve"> </w:t>
            </w:r>
            <w:r w:rsidR="009606CF">
              <w:rPr>
                <w:szCs w:val="20"/>
              </w:rPr>
              <w:t>R_BUC_01 '</w:t>
            </w:r>
            <w:r w:rsidR="009606CF">
              <w:t xml:space="preserve"> </w:t>
            </w:r>
            <w:r w:rsidR="009606CF" w:rsidRPr="009606CF">
              <w:rPr>
                <w:szCs w:val="20"/>
              </w:rPr>
              <w:t>Offsetting of Overpayment of Benefits</w:t>
            </w:r>
            <w:r w:rsidR="009606CF">
              <w:rPr>
                <w:szCs w:val="20"/>
              </w:rPr>
              <w:t>' or  '</w:t>
            </w:r>
            <w:r w:rsidR="00890024">
              <w:rPr>
                <w:szCs w:val="20"/>
              </w:rPr>
              <w:t>R_BUC_03 '</w:t>
            </w:r>
            <w:r w:rsidR="00890024" w:rsidRPr="00890024">
              <w:rPr>
                <w:szCs w:val="20"/>
              </w:rPr>
              <w:t>Offsetting of provisionally paid cash benefits with Payments of another Member State under Art. 73 (1) of Regulation (EC) No 987/2009</w:t>
            </w:r>
            <w:r w:rsidR="00890024">
              <w:rPr>
                <w:szCs w:val="20"/>
              </w:rPr>
              <w:t xml:space="preserve">' </w:t>
            </w:r>
            <w:r w:rsidRPr="00CF6FBE">
              <w:rPr>
                <w:szCs w:val="20"/>
              </w:rPr>
              <w:t>.</w:t>
            </w:r>
          </w:p>
        </w:tc>
      </w:tr>
      <w:tr w:rsidR="00855A3D" w:rsidRPr="00AD4709" w14:paraId="12BF8B4D" w14:textId="77777777" w:rsidTr="000A1067">
        <w:tc>
          <w:tcPr>
            <w:tcW w:w="2518" w:type="dxa"/>
            <w:gridSpan w:val="2"/>
          </w:tcPr>
          <w:p w14:paraId="1CA31762" w14:textId="4C10A527" w:rsidR="00855A3D" w:rsidRPr="00CF6FBE" w:rsidRDefault="00855A3D" w:rsidP="000A1067">
            <w:pPr>
              <w:jc w:val="right"/>
              <w:rPr>
                <w:rFonts w:cs="Calibri"/>
                <w:b/>
                <w:szCs w:val="20"/>
              </w:rPr>
            </w:pPr>
            <w:r w:rsidRPr="00CF6FBE">
              <w:rPr>
                <w:rFonts w:cs="Calibri"/>
                <w:b/>
                <w:szCs w:val="20"/>
              </w:rPr>
              <w:t>Trigger:</w:t>
            </w:r>
          </w:p>
        </w:tc>
        <w:tc>
          <w:tcPr>
            <w:tcW w:w="7220" w:type="dxa"/>
            <w:gridSpan w:val="3"/>
          </w:tcPr>
          <w:p w14:paraId="37C4C4D2" w14:textId="49B8F68C" w:rsidR="00164941" w:rsidRPr="00004C80" w:rsidRDefault="001414F2" w:rsidP="00B26DD6">
            <w:pPr>
              <w:pStyle w:val="Hints"/>
              <w:rPr>
                <w:rFonts w:ascii="Verdana" w:hAnsi="Verdana"/>
                <w:color w:val="000000" w:themeColor="text1"/>
                <w:lang w:val="en-GB"/>
              </w:rPr>
            </w:pPr>
            <w:r w:rsidRPr="00004C80">
              <w:rPr>
                <w:rFonts w:ascii="Verdana" w:hAnsi="Verdana"/>
                <w:color w:val="000000" w:themeColor="text1"/>
                <w:lang w:val="en-GB"/>
              </w:rPr>
              <w:t>A person is entitled to benefits under the legislation applied by the institution to which</w:t>
            </w:r>
            <w:r w:rsidRPr="00004C80" w:rsidDel="001414F2">
              <w:rPr>
                <w:rFonts w:ascii="Verdana" w:hAnsi="Verdana"/>
                <w:color w:val="000000" w:themeColor="text1"/>
                <w:lang w:val="en-GB"/>
              </w:rPr>
              <w:t xml:space="preserve"> </w:t>
            </w:r>
            <w:r w:rsidR="00AE3C7D" w:rsidRPr="00004C80">
              <w:rPr>
                <w:rFonts w:ascii="Verdana" w:hAnsi="Verdana"/>
                <w:color w:val="000000" w:themeColor="text1"/>
                <w:lang w:val="en-GB"/>
              </w:rPr>
              <w:t xml:space="preserve">the </w:t>
            </w:r>
            <w:r w:rsidR="0037347C" w:rsidRPr="00004C80">
              <w:rPr>
                <w:rFonts w:ascii="Verdana" w:hAnsi="Verdana"/>
                <w:color w:val="000000" w:themeColor="text1"/>
                <w:lang w:val="en-GB"/>
              </w:rPr>
              <w:t xml:space="preserve">declaration or notification about not </w:t>
            </w:r>
            <w:r w:rsidR="009606CF" w:rsidRPr="00004C80">
              <w:rPr>
                <w:rFonts w:ascii="Verdana" w:hAnsi="Verdana"/>
                <w:color w:val="000000" w:themeColor="text1"/>
                <w:lang w:val="en-GB"/>
              </w:rPr>
              <w:t>fulfilling the</w:t>
            </w:r>
            <w:r w:rsidR="0037347C" w:rsidRPr="00004C80">
              <w:rPr>
                <w:rFonts w:ascii="Verdana" w:hAnsi="Verdana"/>
                <w:color w:val="000000" w:themeColor="text1"/>
                <w:lang w:val="en-GB"/>
              </w:rPr>
              <w:t xml:space="preserve"> requirements of its legislation was sent in accordance to Article 36(2) of Regulation No 987/2009</w:t>
            </w:r>
            <w:r w:rsidR="009606CF" w:rsidRPr="006F62AD">
              <w:rPr>
                <w:rFonts w:ascii="Verdana" w:hAnsi="Verdana" w:cs="Calibri"/>
                <w:color w:val="000000" w:themeColor="text1"/>
                <w:lang w:val="en-GB"/>
              </w:rPr>
              <w:t>. This</w:t>
            </w:r>
            <w:r w:rsidRPr="00004C80">
              <w:rPr>
                <w:rFonts w:ascii="Verdana" w:hAnsi="Verdana"/>
                <w:color w:val="000000" w:themeColor="text1"/>
              </w:rPr>
              <w:t xml:space="preserve"> institution shall make advance payments.</w:t>
            </w:r>
          </w:p>
        </w:tc>
      </w:tr>
      <w:tr w:rsidR="00855A3D" w:rsidRPr="00AD4709" w14:paraId="5179403C" w14:textId="77777777" w:rsidTr="000A1067">
        <w:trPr>
          <w:trHeight w:val="458"/>
        </w:trPr>
        <w:tc>
          <w:tcPr>
            <w:tcW w:w="2518" w:type="dxa"/>
            <w:gridSpan w:val="2"/>
          </w:tcPr>
          <w:p w14:paraId="594FC8BC" w14:textId="1E66AE25" w:rsidR="00855A3D" w:rsidRPr="00CF6FBE" w:rsidRDefault="00855A3D" w:rsidP="000A1067">
            <w:pPr>
              <w:jc w:val="right"/>
              <w:rPr>
                <w:rFonts w:cs="Calibri"/>
                <w:b/>
                <w:szCs w:val="20"/>
              </w:rPr>
            </w:pPr>
            <w:r w:rsidRPr="00CF6FBE">
              <w:rPr>
                <w:rFonts w:cs="Calibri"/>
                <w:b/>
                <w:szCs w:val="20"/>
              </w:rPr>
              <w:t>Preconditions:</w:t>
            </w:r>
          </w:p>
        </w:tc>
        <w:tc>
          <w:tcPr>
            <w:tcW w:w="7220" w:type="dxa"/>
            <w:gridSpan w:val="3"/>
          </w:tcPr>
          <w:p w14:paraId="395F8671" w14:textId="57D73877" w:rsidR="00166B99" w:rsidRPr="00004C80" w:rsidRDefault="00166B99" w:rsidP="00AE3C7D">
            <w:pPr>
              <w:pStyle w:val="Hints"/>
              <w:rPr>
                <w:rFonts w:ascii="Verdana" w:hAnsi="Verdana"/>
                <w:color w:val="000000" w:themeColor="text1"/>
                <w:lang w:val="en-GB"/>
              </w:rPr>
            </w:pPr>
            <w:r w:rsidRPr="00004C80">
              <w:rPr>
                <w:rFonts w:ascii="Verdana" w:hAnsi="Verdana"/>
                <w:color w:val="000000" w:themeColor="text1"/>
                <w:lang w:val="en-GB"/>
              </w:rPr>
              <w:t>A</w:t>
            </w:r>
            <w:r w:rsidRPr="00004C80">
              <w:rPr>
                <w:rFonts w:ascii="Verdana" w:hAnsi="Verdana"/>
                <w:color w:val="000000" w:themeColor="text1"/>
              </w:rPr>
              <w:t xml:space="preserve"> person is entitled to benefits under the legislation applied by the institution to which the said declaration or no</w:t>
            </w:r>
            <w:r w:rsidR="00890024" w:rsidRPr="00004C80">
              <w:rPr>
                <w:rFonts w:ascii="Verdana" w:hAnsi="Verdana"/>
                <w:color w:val="000000" w:themeColor="text1"/>
              </w:rPr>
              <w:t>tification about not fulfilling</w:t>
            </w:r>
            <w:r w:rsidRPr="00004C80">
              <w:rPr>
                <w:rFonts w:ascii="Verdana" w:hAnsi="Verdana"/>
                <w:color w:val="000000" w:themeColor="text1"/>
              </w:rPr>
              <w:t xml:space="preserve"> the requirements was sent.</w:t>
            </w:r>
          </w:p>
          <w:p w14:paraId="64D4C43D" w14:textId="3E0C80CF" w:rsidR="0037347C" w:rsidRPr="00004C80" w:rsidRDefault="0037347C" w:rsidP="00864E4D">
            <w:pPr>
              <w:pStyle w:val="Hints"/>
              <w:rPr>
                <w:rFonts w:ascii="Verdana" w:hAnsi="Verdana"/>
                <w:color w:val="000000" w:themeColor="text1"/>
                <w:lang w:val="en-GB"/>
              </w:rPr>
            </w:pPr>
          </w:p>
        </w:tc>
      </w:tr>
      <w:tr w:rsidR="00855A3D" w:rsidRPr="00AD4709" w14:paraId="453EBC20" w14:textId="77777777" w:rsidTr="000A1067">
        <w:tc>
          <w:tcPr>
            <w:tcW w:w="2518" w:type="dxa"/>
            <w:gridSpan w:val="2"/>
          </w:tcPr>
          <w:p w14:paraId="33A2231A" w14:textId="246011D6" w:rsidR="00855A3D" w:rsidRPr="00CF6FBE" w:rsidRDefault="00855A3D" w:rsidP="000A1067">
            <w:pPr>
              <w:jc w:val="right"/>
              <w:rPr>
                <w:rFonts w:cs="Calibri"/>
                <w:b/>
                <w:szCs w:val="20"/>
              </w:rPr>
            </w:pPr>
            <w:r w:rsidRPr="00CF6FBE">
              <w:rPr>
                <w:rFonts w:cs="Calibri"/>
                <w:b/>
                <w:szCs w:val="20"/>
              </w:rPr>
              <w:t>Post</w:t>
            </w:r>
            <w:r w:rsidR="00FC0ECC" w:rsidRPr="00CF6FBE">
              <w:rPr>
                <w:rFonts w:cs="Calibri"/>
                <w:b/>
                <w:szCs w:val="20"/>
              </w:rPr>
              <w:t xml:space="preserve"> </w:t>
            </w:r>
            <w:r w:rsidRPr="00CF6FBE">
              <w:rPr>
                <w:rFonts w:cs="Calibri"/>
                <w:b/>
                <w:szCs w:val="20"/>
              </w:rPr>
              <w:t>conditions:</w:t>
            </w:r>
          </w:p>
        </w:tc>
        <w:tc>
          <w:tcPr>
            <w:tcW w:w="7220" w:type="dxa"/>
            <w:gridSpan w:val="3"/>
          </w:tcPr>
          <w:p w14:paraId="79EC6E08" w14:textId="4A8CFE10" w:rsidR="0071173A" w:rsidRPr="00004C80" w:rsidRDefault="006C1724" w:rsidP="00166B99">
            <w:pPr>
              <w:pStyle w:val="Hints"/>
              <w:rPr>
                <w:rFonts w:ascii="Verdana" w:hAnsi="Verdana"/>
                <w:color w:val="000000" w:themeColor="text1"/>
                <w:lang w:val="en-GB"/>
              </w:rPr>
            </w:pPr>
            <w:r w:rsidRPr="00004C80">
              <w:rPr>
                <w:rFonts w:ascii="Verdana" w:hAnsi="Verdana"/>
                <w:color w:val="000000" w:themeColor="text1"/>
                <w:lang w:val="en-GB"/>
              </w:rPr>
              <w:t>I</w:t>
            </w:r>
            <w:r w:rsidR="0071173A" w:rsidRPr="00004C80">
              <w:rPr>
                <w:rFonts w:ascii="Verdana" w:hAnsi="Verdana"/>
                <w:color w:val="000000" w:themeColor="text1"/>
                <w:lang w:val="en-GB"/>
              </w:rPr>
              <w:t>nformation needed to determine the amounts for the purpose of advance payments is sent upon request.</w:t>
            </w:r>
          </w:p>
          <w:p w14:paraId="4C3113CF" w14:textId="77777777" w:rsidR="0071173A" w:rsidRPr="00004C80" w:rsidRDefault="0071173A" w:rsidP="00166B99">
            <w:pPr>
              <w:pStyle w:val="Hints"/>
              <w:rPr>
                <w:rFonts w:ascii="Verdana" w:hAnsi="Verdana"/>
                <w:color w:val="000000" w:themeColor="text1"/>
                <w:lang w:val="en-GB"/>
              </w:rPr>
            </w:pPr>
          </w:p>
          <w:p w14:paraId="1AD72353" w14:textId="11600CD0" w:rsidR="00166B99" w:rsidRPr="00004C80" w:rsidRDefault="00864E4D" w:rsidP="00833D75">
            <w:pPr>
              <w:jc w:val="left"/>
              <w:rPr>
                <w:color w:val="000000" w:themeColor="text1"/>
              </w:rPr>
            </w:pPr>
            <w:r w:rsidRPr="00004C80">
              <w:rPr>
                <w:color w:val="000000" w:themeColor="text1"/>
              </w:rPr>
              <w:t>If appropriate</w:t>
            </w:r>
            <w:r w:rsidR="006A3FF5" w:rsidRPr="006F62AD">
              <w:rPr>
                <w:rFonts w:cs="Calibri"/>
                <w:color w:val="000000" w:themeColor="text1"/>
                <w:szCs w:val="20"/>
                <w:lang w:eastAsia="en-US"/>
              </w:rPr>
              <w:t>,</w:t>
            </w:r>
            <w:r w:rsidRPr="00004C80">
              <w:rPr>
                <w:color w:val="000000" w:themeColor="text1"/>
              </w:rPr>
              <w:t xml:space="preserve"> r</w:t>
            </w:r>
            <w:r w:rsidR="0071173A" w:rsidRPr="00004C80">
              <w:rPr>
                <w:color w:val="000000" w:themeColor="text1"/>
              </w:rPr>
              <w:t>equest for reimbursement of the advance payments is received by</w:t>
            </w:r>
            <w:r w:rsidR="009606CF" w:rsidRPr="00004C80">
              <w:rPr>
                <w:color w:val="000000" w:themeColor="text1"/>
              </w:rPr>
              <w:t xml:space="preserve"> </w:t>
            </w:r>
            <w:r w:rsidR="009606CF" w:rsidRPr="006F62AD">
              <w:rPr>
                <w:rFonts w:cs="Calibri"/>
                <w:color w:val="000000" w:themeColor="text1"/>
                <w:szCs w:val="20"/>
                <w:lang w:eastAsia="en-US"/>
              </w:rPr>
              <w:t>the</w:t>
            </w:r>
            <w:r w:rsidR="0071173A" w:rsidRPr="006F62AD">
              <w:rPr>
                <w:color w:val="000000" w:themeColor="text1"/>
                <w:szCs w:val="20"/>
              </w:rPr>
              <w:t xml:space="preserve"> </w:t>
            </w:r>
            <w:r w:rsidR="0071173A" w:rsidRPr="00004C80">
              <w:rPr>
                <w:color w:val="000000" w:themeColor="text1"/>
              </w:rPr>
              <w:t>institution which in result of appeal (final decision) is obliged to provide the benefits.</w:t>
            </w:r>
          </w:p>
          <w:p w14:paraId="6E296619" w14:textId="6A7CB4A8" w:rsidR="00166B99" w:rsidRPr="00004C80" w:rsidRDefault="00166B99" w:rsidP="00833D75">
            <w:pPr>
              <w:jc w:val="left"/>
              <w:rPr>
                <w:color w:val="000000" w:themeColor="text1"/>
              </w:rPr>
            </w:pPr>
          </w:p>
        </w:tc>
      </w:tr>
      <w:tr w:rsidR="00855A3D" w:rsidRPr="00AD4709" w14:paraId="0C3D0FD6" w14:textId="77777777" w:rsidTr="002F5B61">
        <w:trPr>
          <w:trHeight w:val="8349"/>
        </w:trPr>
        <w:tc>
          <w:tcPr>
            <w:tcW w:w="2518" w:type="dxa"/>
            <w:gridSpan w:val="2"/>
          </w:tcPr>
          <w:p w14:paraId="12C3F8F6" w14:textId="11D1BFE6" w:rsidR="00855A3D" w:rsidRPr="00CF6FBE" w:rsidRDefault="00855A3D" w:rsidP="00890024">
            <w:pPr>
              <w:jc w:val="right"/>
              <w:rPr>
                <w:rFonts w:cs="Calibri"/>
                <w:b/>
                <w:szCs w:val="20"/>
              </w:rPr>
            </w:pPr>
            <w:r w:rsidRPr="00CF6FBE">
              <w:rPr>
                <w:rFonts w:cs="Calibri"/>
                <w:b/>
                <w:szCs w:val="20"/>
              </w:rPr>
              <w:lastRenderedPageBreak/>
              <w:t>Main Scenario:</w:t>
            </w:r>
          </w:p>
          <w:p w14:paraId="0332A6F9" w14:textId="77777777" w:rsidR="00855A3D" w:rsidRPr="00CF6FBE" w:rsidRDefault="00855A3D" w:rsidP="000A1067">
            <w:pPr>
              <w:jc w:val="right"/>
              <w:rPr>
                <w:rFonts w:cs="Calibri"/>
                <w:b/>
                <w:szCs w:val="20"/>
              </w:rPr>
            </w:pPr>
          </w:p>
        </w:tc>
        <w:tc>
          <w:tcPr>
            <w:tcW w:w="7220" w:type="dxa"/>
            <w:gridSpan w:val="3"/>
          </w:tcPr>
          <w:p w14:paraId="493C5B60" w14:textId="77777777" w:rsidR="00855A3D" w:rsidRPr="00CF6FBE" w:rsidRDefault="00855A3D" w:rsidP="000A1067">
            <w:pPr>
              <w:jc w:val="left"/>
              <w:rPr>
                <w:rFonts w:cs="Calibri"/>
                <w:b/>
                <w:color w:val="000000"/>
                <w:szCs w:val="20"/>
              </w:rPr>
            </w:pPr>
            <w:r w:rsidRPr="00CF6FBE">
              <w:rPr>
                <w:rFonts w:cs="Calibri"/>
                <w:b/>
                <w:color w:val="000000"/>
                <w:szCs w:val="20"/>
              </w:rPr>
              <w:t>Identify Participants</w:t>
            </w:r>
          </w:p>
          <w:p w14:paraId="097B1EE5" w14:textId="5F2F46D3" w:rsidR="003B4485" w:rsidRPr="00CF6FBE" w:rsidRDefault="003B4485" w:rsidP="001414F2">
            <w:pPr>
              <w:numPr>
                <w:ilvl w:val="0"/>
                <w:numId w:val="28"/>
              </w:numPr>
              <w:jc w:val="left"/>
              <w:rPr>
                <w:rFonts w:cs="Calibri"/>
                <w:color w:val="000000"/>
                <w:szCs w:val="20"/>
              </w:rPr>
            </w:pPr>
            <w:r w:rsidRPr="00CF6FBE">
              <w:rPr>
                <w:rFonts w:cs="Calibri"/>
                <w:color w:val="000000"/>
                <w:szCs w:val="20"/>
              </w:rPr>
              <w:t xml:space="preserve">The Case Owner identifies the </w:t>
            </w:r>
            <w:r w:rsidR="00A84052" w:rsidRPr="00CF6FBE">
              <w:rPr>
                <w:rFonts w:cs="Calibri"/>
                <w:color w:val="000000"/>
                <w:szCs w:val="20"/>
              </w:rPr>
              <w:t xml:space="preserve">Member State </w:t>
            </w:r>
            <w:r w:rsidR="001414F2" w:rsidRPr="00CF6FBE">
              <w:rPr>
                <w:rFonts w:cs="Calibri"/>
                <w:color w:val="000000"/>
                <w:szCs w:val="20"/>
              </w:rPr>
              <w:t xml:space="preserve">under the legislation of which the person concerned pursued an activity likely to cause the occupational disease and which took the refusal decision against which an appeal was lodged and from which the </w:t>
            </w:r>
            <w:r w:rsidR="001414F2" w:rsidRPr="00CF6FBE">
              <w:rPr>
                <w:rFonts w:cs="Calibri"/>
                <w:szCs w:val="20"/>
              </w:rPr>
              <w:t>information about an appeal and a final decision was received</w:t>
            </w:r>
            <w:r w:rsidR="00AD4709" w:rsidRPr="00AD4709">
              <w:rPr>
                <w:rFonts w:cs="Calibri"/>
                <w:szCs w:val="20"/>
              </w:rPr>
              <w:t>;</w:t>
            </w:r>
          </w:p>
          <w:p w14:paraId="71A789C0" w14:textId="0F423A70" w:rsidR="00855A3D" w:rsidRPr="00CF6FBE" w:rsidRDefault="00855A3D" w:rsidP="00183D9A">
            <w:pPr>
              <w:numPr>
                <w:ilvl w:val="0"/>
                <w:numId w:val="28"/>
              </w:numPr>
              <w:jc w:val="left"/>
              <w:rPr>
                <w:rFonts w:cs="Calibri"/>
                <w:color w:val="000000"/>
                <w:szCs w:val="20"/>
              </w:rPr>
            </w:pPr>
            <w:r w:rsidRPr="00CF6FBE">
              <w:rPr>
                <w:rFonts w:cs="Calibri"/>
                <w:color w:val="000000"/>
                <w:szCs w:val="20"/>
              </w:rPr>
              <w:t xml:space="preserve">The </w:t>
            </w:r>
            <w:r w:rsidR="00C906A1" w:rsidRPr="00CF6FBE">
              <w:rPr>
                <w:rFonts w:cs="Calibri"/>
                <w:color w:val="000000"/>
                <w:szCs w:val="20"/>
              </w:rPr>
              <w:t xml:space="preserve">Case </w:t>
            </w:r>
            <w:r w:rsidRPr="00CF6FBE">
              <w:rPr>
                <w:rFonts w:cs="Calibri"/>
                <w:color w:val="000000"/>
                <w:szCs w:val="20"/>
              </w:rPr>
              <w:t>Owner then iden</w:t>
            </w:r>
            <w:r w:rsidR="003B4485" w:rsidRPr="00CF6FBE">
              <w:rPr>
                <w:rFonts w:cs="Calibri"/>
                <w:color w:val="000000"/>
                <w:szCs w:val="20"/>
              </w:rPr>
              <w:t xml:space="preserve">tifies the correct institution </w:t>
            </w:r>
            <w:r w:rsidR="00A64866" w:rsidRPr="00CF6FBE">
              <w:rPr>
                <w:rFonts w:cs="Calibri"/>
                <w:color w:val="000000"/>
                <w:szCs w:val="20"/>
              </w:rPr>
              <w:t xml:space="preserve">in the </w:t>
            </w:r>
            <w:r w:rsidR="00A84052" w:rsidRPr="00CF6FBE">
              <w:rPr>
                <w:rFonts w:cs="Calibri"/>
                <w:color w:val="000000"/>
                <w:szCs w:val="20"/>
              </w:rPr>
              <w:t>Member State</w:t>
            </w:r>
            <w:r w:rsidR="003B4485" w:rsidRPr="00CF6FBE">
              <w:rPr>
                <w:rFonts w:cs="Calibri"/>
                <w:color w:val="000000"/>
                <w:szCs w:val="20"/>
              </w:rPr>
              <w:t xml:space="preserve">.  </w:t>
            </w:r>
            <w:r w:rsidRPr="00CF6FBE">
              <w:rPr>
                <w:rFonts w:cs="Calibri"/>
                <w:color w:val="000000"/>
                <w:szCs w:val="20"/>
              </w:rPr>
              <w:t>The</w:t>
            </w:r>
            <w:r w:rsidR="009A0274">
              <w:rPr>
                <w:rFonts w:cs="Calibri"/>
                <w:color w:val="000000"/>
                <w:szCs w:val="20"/>
              </w:rPr>
              <w:t>re will be only one counterparty</w:t>
            </w:r>
            <w:r w:rsidRPr="00CF6FBE">
              <w:rPr>
                <w:rFonts w:cs="Calibri"/>
                <w:color w:val="000000"/>
                <w:szCs w:val="20"/>
              </w:rPr>
              <w:t xml:space="preserve">. The </w:t>
            </w:r>
            <w:r w:rsidR="00C906A1" w:rsidRPr="00CF6FBE">
              <w:rPr>
                <w:rFonts w:cs="Calibri"/>
                <w:color w:val="000000"/>
                <w:szCs w:val="20"/>
              </w:rPr>
              <w:t xml:space="preserve">Case </w:t>
            </w:r>
            <w:r w:rsidRPr="00CF6FBE">
              <w:rPr>
                <w:rFonts w:cs="Calibri"/>
                <w:color w:val="000000"/>
                <w:szCs w:val="20"/>
              </w:rPr>
              <w:t>Owner and the Counterparty are herein collectively referred to as the Participant</w:t>
            </w:r>
            <w:r w:rsidR="00AD4709" w:rsidRPr="00AD4709">
              <w:rPr>
                <w:rFonts w:cs="Calibri"/>
                <w:color w:val="000000"/>
                <w:szCs w:val="20"/>
              </w:rPr>
              <w:t>s.</w:t>
            </w:r>
          </w:p>
          <w:p w14:paraId="72E30E02" w14:textId="77777777" w:rsidR="009119E4" w:rsidRPr="00CF6FBE" w:rsidRDefault="009119E4" w:rsidP="009119E4">
            <w:pPr>
              <w:jc w:val="left"/>
              <w:rPr>
                <w:rFonts w:cs="Calibri"/>
                <w:color w:val="000000"/>
                <w:szCs w:val="20"/>
              </w:rPr>
            </w:pPr>
          </w:p>
          <w:p w14:paraId="3C95298E" w14:textId="77777777" w:rsidR="0086140E" w:rsidRPr="00CF6FBE" w:rsidRDefault="0086140E" w:rsidP="000820B6">
            <w:pPr>
              <w:jc w:val="left"/>
              <w:rPr>
                <w:rFonts w:cs="Calibri"/>
                <w:b/>
                <w:color w:val="000000"/>
                <w:szCs w:val="20"/>
              </w:rPr>
            </w:pPr>
            <w:r w:rsidRPr="00CF6FBE">
              <w:rPr>
                <w:rFonts w:cs="Calibri"/>
                <w:b/>
                <w:color w:val="000000"/>
                <w:szCs w:val="20"/>
              </w:rPr>
              <w:t>Request information about advance payments</w:t>
            </w:r>
          </w:p>
          <w:p w14:paraId="35A2CC0D" w14:textId="77777777" w:rsidR="0086140E" w:rsidRPr="00CF6FBE" w:rsidRDefault="0086140E" w:rsidP="000820B6">
            <w:pPr>
              <w:jc w:val="left"/>
              <w:rPr>
                <w:rFonts w:cs="Calibri"/>
                <w:b/>
                <w:color w:val="000000"/>
                <w:szCs w:val="20"/>
              </w:rPr>
            </w:pPr>
          </w:p>
          <w:p w14:paraId="15B646AB" w14:textId="769E24BD" w:rsidR="0086140E" w:rsidRPr="00CF6FBE" w:rsidRDefault="0086140E" w:rsidP="00BA7DB8">
            <w:pPr>
              <w:pStyle w:val="Hints"/>
              <w:numPr>
                <w:ilvl w:val="0"/>
                <w:numId w:val="24"/>
              </w:numPr>
              <w:rPr>
                <w:rFonts w:ascii="Verdana" w:hAnsi="Verdana" w:cs="Calibri"/>
                <w:color w:val="auto"/>
                <w:lang w:val="en-GB"/>
              </w:rPr>
            </w:pPr>
            <w:r w:rsidRPr="00CF6FBE">
              <w:rPr>
                <w:rFonts w:ascii="Verdana" w:hAnsi="Verdana" w:cs="Calibri"/>
                <w:color w:val="auto"/>
                <w:lang w:val="en-GB"/>
              </w:rPr>
              <w:t>The Case Owner fills in "Request for information to Determine the Amounts" (DA053) SED with the required information in order to request the Counterparty ab</w:t>
            </w:r>
            <w:r w:rsidR="009A0274">
              <w:rPr>
                <w:rFonts w:ascii="Verdana" w:hAnsi="Verdana" w:cs="Calibri"/>
                <w:color w:val="auto"/>
                <w:lang w:val="en-GB"/>
              </w:rPr>
              <w:t xml:space="preserve">out amounts for the purpose of </w:t>
            </w:r>
            <w:r w:rsidRPr="00CF6FBE">
              <w:rPr>
                <w:rFonts w:ascii="Verdana" w:hAnsi="Verdana" w:cs="Calibri"/>
                <w:color w:val="auto"/>
                <w:lang w:val="en-GB"/>
              </w:rPr>
              <w:t>determining advance payments in such a way that overpayments are avoided;</w:t>
            </w:r>
          </w:p>
          <w:p w14:paraId="2A654CA3" w14:textId="77777777" w:rsidR="0086140E" w:rsidRPr="00CF6FBE" w:rsidRDefault="0086140E" w:rsidP="0086140E">
            <w:pPr>
              <w:pStyle w:val="Hints"/>
              <w:rPr>
                <w:rFonts w:ascii="Verdana" w:hAnsi="Verdana" w:cs="Calibri"/>
                <w:color w:val="auto"/>
                <w:lang w:val="en-GB"/>
              </w:rPr>
            </w:pPr>
          </w:p>
          <w:p w14:paraId="0B39D1E6" w14:textId="164AE83D" w:rsidR="0086140E" w:rsidRPr="00CF6FBE" w:rsidRDefault="0086140E" w:rsidP="00BA7DB8">
            <w:pPr>
              <w:pStyle w:val="Hints"/>
              <w:numPr>
                <w:ilvl w:val="0"/>
                <w:numId w:val="24"/>
              </w:numPr>
              <w:rPr>
                <w:rFonts w:ascii="Verdana" w:hAnsi="Verdana" w:cs="Calibri"/>
                <w:color w:val="auto"/>
                <w:lang w:val="en-GB"/>
              </w:rPr>
            </w:pPr>
            <w:r w:rsidRPr="00CF6FBE">
              <w:rPr>
                <w:rFonts w:ascii="Verdana" w:hAnsi="Verdana" w:cs="Calibri"/>
                <w:color w:val="auto"/>
                <w:lang w:val="en-GB"/>
              </w:rPr>
              <w:t>The Case Owner sends the DA053 to the Counterparty;</w:t>
            </w:r>
          </w:p>
          <w:p w14:paraId="44361F60" w14:textId="77777777" w:rsidR="0086140E" w:rsidRPr="00CF6FBE" w:rsidRDefault="0086140E" w:rsidP="0086140E">
            <w:pPr>
              <w:pStyle w:val="Hints"/>
              <w:rPr>
                <w:rFonts w:ascii="Verdana" w:hAnsi="Verdana" w:cs="Calibri"/>
                <w:color w:val="auto"/>
                <w:lang w:val="en-GB"/>
              </w:rPr>
            </w:pPr>
          </w:p>
          <w:p w14:paraId="6B5E6FE7" w14:textId="5B1A52C2" w:rsidR="0086140E" w:rsidRPr="00CF6FBE" w:rsidRDefault="0086140E" w:rsidP="00BA7DB8">
            <w:pPr>
              <w:pStyle w:val="Hints"/>
              <w:numPr>
                <w:ilvl w:val="0"/>
                <w:numId w:val="24"/>
              </w:numPr>
              <w:rPr>
                <w:rFonts w:ascii="Verdana" w:hAnsi="Verdana" w:cs="Calibri"/>
                <w:color w:val="auto"/>
                <w:lang w:val="en-GB"/>
              </w:rPr>
            </w:pPr>
            <w:r w:rsidRPr="00CF6FBE">
              <w:rPr>
                <w:rFonts w:ascii="Verdana" w:hAnsi="Verdana" w:cs="Calibri"/>
                <w:color w:val="auto"/>
                <w:lang w:val="en-GB"/>
              </w:rPr>
              <w:t>The Counterparty receives the "Request for information to determine the amounts" (DA053) SED</w:t>
            </w:r>
            <w:r w:rsidR="00AD4709" w:rsidRPr="00AD4709">
              <w:rPr>
                <w:rFonts w:ascii="Verdana" w:hAnsi="Verdana" w:cs="Calibri"/>
                <w:color w:val="auto"/>
                <w:lang w:val="en-GB"/>
              </w:rPr>
              <w:t>.</w:t>
            </w:r>
          </w:p>
          <w:p w14:paraId="26509282" w14:textId="77777777" w:rsidR="0086140E" w:rsidRPr="00CF6FBE" w:rsidRDefault="0086140E" w:rsidP="000820B6">
            <w:pPr>
              <w:jc w:val="left"/>
              <w:rPr>
                <w:rFonts w:cs="Calibri"/>
                <w:b/>
                <w:color w:val="000000"/>
                <w:szCs w:val="20"/>
              </w:rPr>
            </w:pPr>
          </w:p>
          <w:p w14:paraId="0B20BEE4" w14:textId="77777777" w:rsidR="00165A4D" w:rsidRPr="00CF6FBE" w:rsidRDefault="00165A4D" w:rsidP="000820B6">
            <w:pPr>
              <w:jc w:val="left"/>
              <w:rPr>
                <w:rFonts w:cs="Calibri"/>
                <w:b/>
                <w:color w:val="000000"/>
                <w:szCs w:val="20"/>
              </w:rPr>
            </w:pPr>
            <w:r w:rsidRPr="00CF6FBE">
              <w:rPr>
                <w:rFonts w:cs="Calibri"/>
                <w:b/>
                <w:color w:val="000000"/>
                <w:szCs w:val="20"/>
              </w:rPr>
              <w:t>Send information to determine the amounts</w:t>
            </w:r>
          </w:p>
          <w:p w14:paraId="7B80D35F" w14:textId="77777777" w:rsidR="00165A4D" w:rsidRPr="00CF6FBE" w:rsidRDefault="00165A4D" w:rsidP="000820B6">
            <w:pPr>
              <w:jc w:val="left"/>
              <w:rPr>
                <w:rFonts w:cs="Calibri"/>
                <w:b/>
                <w:color w:val="000000"/>
                <w:szCs w:val="20"/>
              </w:rPr>
            </w:pPr>
          </w:p>
          <w:p w14:paraId="45BDED1C" w14:textId="718CC308" w:rsidR="00165A4D" w:rsidRPr="00CF6FBE" w:rsidRDefault="00165A4D" w:rsidP="00BA7DB8">
            <w:pPr>
              <w:pStyle w:val="Hints"/>
              <w:numPr>
                <w:ilvl w:val="0"/>
                <w:numId w:val="24"/>
              </w:numPr>
              <w:rPr>
                <w:rFonts w:ascii="Verdana" w:hAnsi="Verdana" w:cs="Calibri"/>
                <w:color w:val="auto"/>
                <w:lang w:val="en-GB"/>
              </w:rPr>
            </w:pPr>
            <w:r w:rsidRPr="00CF6FBE">
              <w:rPr>
                <w:rFonts w:ascii="Verdana" w:hAnsi="Verdana" w:cs="Calibri"/>
                <w:color w:val="auto"/>
                <w:lang w:val="en-GB"/>
              </w:rPr>
              <w:t>The Counterparty fills in "Information to Determine the Amounts" (DA054) SED with the required information;</w:t>
            </w:r>
          </w:p>
          <w:p w14:paraId="223E2FF4" w14:textId="77777777" w:rsidR="00165A4D" w:rsidRPr="00CF6FBE" w:rsidRDefault="00165A4D" w:rsidP="00165A4D">
            <w:pPr>
              <w:pStyle w:val="Hints"/>
              <w:rPr>
                <w:rFonts w:ascii="Verdana" w:hAnsi="Verdana" w:cs="Calibri"/>
                <w:color w:val="auto"/>
                <w:lang w:val="en-GB"/>
              </w:rPr>
            </w:pPr>
          </w:p>
          <w:p w14:paraId="525BAC17" w14:textId="415F842A" w:rsidR="00165A4D" w:rsidRPr="00CF6FBE" w:rsidRDefault="00165A4D" w:rsidP="00BA7DB8">
            <w:pPr>
              <w:pStyle w:val="Hints"/>
              <w:numPr>
                <w:ilvl w:val="0"/>
                <w:numId w:val="24"/>
              </w:numPr>
              <w:rPr>
                <w:rFonts w:ascii="Verdana" w:hAnsi="Verdana" w:cs="Calibri"/>
                <w:color w:val="auto"/>
                <w:lang w:val="en-GB"/>
              </w:rPr>
            </w:pPr>
            <w:r w:rsidRPr="00CF6FBE">
              <w:rPr>
                <w:rFonts w:ascii="Verdana" w:hAnsi="Verdana" w:cs="Calibri"/>
                <w:color w:val="auto"/>
                <w:lang w:val="en-GB"/>
              </w:rPr>
              <w:t>The Counterparty sends the DA054 to the Case Owner;</w:t>
            </w:r>
          </w:p>
          <w:p w14:paraId="21E5C26D" w14:textId="77777777" w:rsidR="00165A4D" w:rsidRPr="00CF6FBE" w:rsidRDefault="00165A4D" w:rsidP="00165A4D">
            <w:pPr>
              <w:pStyle w:val="Hints"/>
              <w:rPr>
                <w:rFonts w:ascii="Verdana" w:hAnsi="Verdana" w:cs="Calibri"/>
                <w:color w:val="auto"/>
                <w:lang w:val="en-GB"/>
              </w:rPr>
            </w:pPr>
          </w:p>
          <w:p w14:paraId="2A3BEDC7" w14:textId="347E4534" w:rsidR="00AD4709" w:rsidRPr="00890024" w:rsidRDefault="00165A4D" w:rsidP="00BA7DB8">
            <w:pPr>
              <w:pStyle w:val="Hints"/>
              <w:numPr>
                <w:ilvl w:val="0"/>
                <w:numId w:val="24"/>
              </w:numPr>
              <w:rPr>
                <w:rFonts w:ascii="Verdana" w:hAnsi="Verdana" w:cs="Calibri"/>
                <w:color w:val="auto"/>
                <w:lang w:val="en-GB"/>
              </w:rPr>
            </w:pPr>
            <w:r w:rsidRPr="00CF6FBE">
              <w:rPr>
                <w:rFonts w:ascii="Verdana" w:hAnsi="Verdana" w:cs="Calibri"/>
                <w:color w:val="auto"/>
              </w:rPr>
              <w:t>The Case Owner receives the "Information to Determine the Amounts" (DA054) SED;</w:t>
            </w:r>
          </w:p>
          <w:p w14:paraId="5E5B069F" w14:textId="77777777" w:rsidR="00890024" w:rsidRPr="00CF6FBE" w:rsidRDefault="00890024" w:rsidP="00890024">
            <w:pPr>
              <w:pStyle w:val="Hints"/>
              <w:ind w:left="720"/>
              <w:rPr>
                <w:rFonts w:ascii="Verdana" w:hAnsi="Verdana" w:cs="Calibri"/>
                <w:color w:val="auto"/>
                <w:lang w:val="en-GB"/>
              </w:rPr>
            </w:pPr>
          </w:p>
          <w:p w14:paraId="60D54BE0" w14:textId="77777777" w:rsidR="00855A3D" w:rsidRPr="00DA3E29" w:rsidRDefault="00855A3D" w:rsidP="00CF6FBE">
            <w:pPr>
              <w:pStyle w:val="Hints"/>
              <w:numPr>
                <w:ilvl w:val="0"/>
                <w:numId w:val="24"/>
              </w:numPr>
              <w:rPr>
                <w:rFonts w:ascii="Verdana" w:hAnsi="Verdana"/>
              </w:rPr>
            </w:pPr>
            <w:r w:rsidRPr="00CF6FBE">
              <w:rPr>
                <w:rFonts w:ascii="Verdana" w:hAnsi="Verdana"/>
                <w:color w:val="auto"/>
              </w:rPr>
              <w:t>The use case ends here</w:t>
            </w:r>
            <w:r w:rsidR="00AD4709" w:rsidRPr="00CF6FBE">
              <w:rPr>
                <w:rFonts w:ascii="Verdana" w:hAnsi="Verdana"/>
                <w:color w:val="auto"/>
              </w:rPr>
              <w:t>.</w:t>
            </w:r>
          </w:p>
          <w:p w14:paraId="60147799" w14:textId="581DA284" w:rsidR="00DA3E29" w:rsidRPr="00CF6FBE" w:rsidRDefault="00DA3E29" w:rsidP="00004C80">
            <w:pPr>
              <w:pStyle w:val="Hints"/>
              <w:ind w:left="720"/>
              <w:rPr>
                <w:rFonts w:ascii="Verdana" w:hAnsi="Verdana"/>
              </w:rPr>
            </w:pPr>
          </w:p>
        </w:tc>
      </w:tr>
      <w:tr w:rsidR="007200DC" w:rsidRPr="00AD4709" w14:paraId="1BB54952" w14:textId="77777777" w:rsidTr="00502734">
        <w:trPr>
          <w:trHeight w:val="514"/>
        </w:trPr>
        <w:tc>
          <w:tcPr>
            <w:tcW w:w="2518" w:type="dxa"/>
            <w:gridSpan w:val="2"/>
            <w:vMerge w:val="restart"/>
          </w:tcPr>
          <w:p w14:paraId="74EC87C4" w14:textId="77777777" w:rsidR="007200DC" w:rsidRPr="00CF6FBE" w:rsidRDefault="007200DC" w:rsidP="00556E0F">
            <w:pPr>
              <w:jc w:val="right"/>
              <w:rPr>
                <w:rFonts w:cs="Calibri"/>
                <w:b/>
                <w:szCs w:val="20"/>
              </w:rPr>
            </w:pPr>
            <w:r w:rsidRPr="00CF6FBE">
              <w:rPr>
                <w:rFonts w:cs="Calibri"/>
                <w:b/>
                <w:szCs w:val="20"/>
              </w:rPr>
              <w:t>Alternative Scenario</w:t>
            </w:r>
          </w:p>
          <w:p w14:paraId="31214F22" w14:textId="77777777" w:rsidR="007200DC" w:rsidRPr="00CF6FBE" w:rsidRDefault="007200DC" w:rsidP="00556E0F">
            <w:pPr>
              <w:jc w:val="right"/>
              <w:rPr>
                <w:rFonts w:cs="Calibri"/>
                <w:b/>
                <w:szCs w:val="20"/>
              </w:rPr>
            </w:pPr>
          </w:p>
          <w:p w14:paraId="65E5989A" w14:textId="77777777" w:rsidR="007200DC" w:rsidRPr="00CF6FBE" w:rsidRDefault="007200DC" w:rsidP="003B619B">
            <w:pPr>
              <w:jc w:val="right"/>
              <w:rPr>
                <w:rFonts w:cs="Calibri"/>
                <w:b/>
                <w:szCs w:val="20"/>
              </w:rPr>
            </w:pPr>
          </w:p>
          <w:p w14:paraId="341C3033" w14:textId="77777777" w:rsidR="007200DC" w:rsidRPr="00CF6FBE" w:rsidRDefault="007200DC" w:rsidP="003B619B">
            <w:pPr>
              <w:jc w:val="right"/>
              <w:rPr>
                <w:rFonts w:cs="Calibri"/>
                <w:b/>
                <w:szCs w:val="20"/>
              </w:rPr>
            </w:pPr>
          </w:p>
          <w:p w14:paraId="60ADBA14" w14:textId="77777777" w:rsidR="007200DC" w:rsidRPr="00CF6FBE" w:rsidRDefault="007200DC" w:rsidP="00556E0F">
            <w:pPr>
              <w:jc w:val="right"/>
              <w:rPr>
                <w:rFonts w:cs="Calibri"/>
                <w:b/>
                <w:szCs w:val="20"/>
              </w:rPr>
            </w:pPr>
          </w:p>
          <w:p w14:paraId="4FB1AD40" w14:textId="03184316" w:rsidR="007200DC" w:rsidRPr="00CF6FBE" w:rsidRDefault="007200DC" w:rsidP="00AF6662">
            <w:pPr>
              <w:jc w:val="right"/>
              <w:rPr>
                <w:rFonts w:cs="Calibri"/>
                <w:b/>
                <w:szCs w:val="20"/>
              </w:rPr>
            </w:pPr>
          </w:p>
        </w:tc>
        <w:tc>
          <w:tcPr>
            <w:tcW w:w="7220" w:type="dxa"/>
            <w:gridSpan w:val="3"/>
            <w:shd w:val="clear" w:color="auto" w:fill="auto"/>
          </w:tcPr>
          <w:p w14:paraId="44700626" w14:textId="788B7B55" w:rsidR="007200DC" w:rsidRPr="00CF6FBE" w:rsidRDefault="007200DC" w:rsidP="00BE6897">
            <w:pPr>
              <w:numPr>
                <w:ilvl w:val="0"/>
                <w:numId w:val="27"/>
              </w:numPr>
              <w:jc w:val="left"/>
              <w:rPr>
                <w:rFonts w:cs="Calibri"/>
                <w:b/>
                <w:i/>
                <w:szCs w:val="20"/>
              </w:rPr>
            </w:pPr>
            <w:r w:rsidRPr="00CF6FBE">
              <w:rPr>
                <w:rFonts w:cs="Calibri"/>
                <w:b/>
                <w:i/>
                <w:szCs w:val="20"/>
              </w:rPr>
              <w:t>Only in case when as a result of appeal the Counterparty is to provide the benefits, the Case Owner requests for reimbursement of the advance payments.</w:t>
            </w:r>
          </w:p>
          <w:p w14:paraId="38280697" w14:textId="77777777" w:rsidR="007200DC" w:rsidRPr="00CF6FBE" w:rsidRDefault="007200DC" w:rsidP="00BE6897">
            <w:pPr>
              <w:jc w:val="left"/>
              <w:rPr>
                <w:rFonts w:cs="Calibri"/>
                <w:b/>
                <w:color w:val="000000"/>
                <w:szCs w:val="20"/>
              </w:rPr>
            </w:pPr>
          </w:p>
          <w:p w14:paraId="37B3CAA4" w14:textId="203A8E6D" w:rsidR="007200DC" w:rsidRPr="00CF6FBE" w:rsidRDefault="00236097" w:rsidP="00BE6897">
            <w:pPr>
              <w:jc w:val="left"/>
              <w:rPr>
                <w:rFonts w:cs="Calibri"/>
                <w:b/>
                <w:color w:val="000000"/>
                <w:szCs w:val="20"/>
              </w:rPr>
            </w:pPr>
            <w:r>
              <w:rPr>
                <w:rFonts w:cs="Calibri"/>
                <w:b/>
                <w:color w:val="000000"/>
                <w:szCs w:val="20"/>
              </w:rPr>
              <w:t xml:space="preserve">The case ends here and the Case Owner </w:t>
            </w:r>
            <w:r w:rsidR="00E1028E">
              <w:rPr>
                <w:rFonts w:cs="Calibri"/>
                <w:b/>
                <w:color w:val="000000"/>
                <w:szCs w:val="20"/>
              </w:rPr>
              <w:t>request</w:t>
            </w:r>
            <w:r>
              <w:rPr>
                <w:rFonts w:cs="Calibri"/>
                <w:b/>
                <w:color w:val="000000"/>
                <w:szCs w:val="20"/>
              </w:rPr>
              <w:t>s the r</w:t>
            </w:r>
            <w:r w:rsidR="00E1028E">
              <w:rPr>
                <w:rFonts w:cs="Calibri"/>
                <w:b/>
                <w:color w:val="000000"/>
                <w:szCs w:val="20"/>
              </w:rPr>
              <w:t xml:space="preserve">eimbursement using </w:t>
            </w:r>
            <w:r w:rsidR="009606CF">
              <w:rPr>
                <w:rFonts w:cs="Calibri"/>
                <w:b/>
                <w:color w:val="000000"/>
                <w:szCs w:val="20"/>
              </w:rPr>
              <w:t xml:space="preserve">R_BUC_01 or </w:t>
            </w:r>
            <w:r w:rsidR="00E1028E">
              <w:rPr>
                <w:rFonts w:cs="Calibri"/>
                <w:b/>
                <w:color w:val="000000"/>
                <w:szCs w:val="20"/>
              </w:rPr>
              <w:t>R_BUC_03.</w:t>
            </w:r>
            <w:r>
              <w:rPr>
                <w:rFonts w:cs="Calibri"/>
                <w:b/>
                <w:color w:val="000000"/>
                <w:szCs w:val="20"/>
              </w:rPr>
              <w:t xml:space="preserve"> These reimbursement steps are outside of this BUC.</w:t>
            </w:r>
          </w:p>
          <w:p w14:paraId="0771B57F" w14:textId="77777777" w:rsidR="007200DC" w:rsidRPr="00CF6FBE" w:rsidRDefault="007200DC" w:rsidP="00BE6897">
            <w:pPr>
              <w:jc w:val="left"/>
              <w:rPr>
                <w:rFonts w:cs="Calibri"/>
                <w:b/>
                <w:color w:val="000000"/>
                <w:szCs w:val="20"/>
              </w:rPr>
            </w:pPr>
          </w:p>
          <w:p w14:paraId="6C9693C9" w14:textId="77777777" w:rsidR="00236097" w:rsidRDefault="00236097" w:rsidP="009606CF">
            <w:pPr>
              <w:pStyle w:val="Hints"/>
              <w:numPr>
                <w:ilvl w:val="0"/>
                <w:numId w:val="54"/>
              </w:numPr>
              <w:rPr>
                <w:rFonts w:ascii="Verdana" w:hAnsi="Verdana" w:cs="Calibri"/>
                <w:color w:val="000000" w:themeColor="text1"/>
                <w:lang w:val="en-GB"/>
              </w:rPr>
            </w:pPr>
            <w:r w:rsidRPr="00004C80">
              <w:rPr>
                <w:rFonts w:ascii="Verdana" w:hAnsi="Verdana"/>
                <w:color w:val="000000" w:themeColor="text1"/>
              </w:rPr>
              <w:t>[This Branch</w:t>
            </w:r>
            <w:r w:rsidRPr="006F62AD">
              <w:rPr>
                <w:rFonts w:ascii="Verdana" w:hAnsi="Verdana"/>
                <w:color w:val="000000" w:themeColor="text1"/>
              </w:rPr>
              <w:t xml:space="preserve"> and The use case] ends here</w:t>
            </w:r>
            <w:r w:rsidRPr="006F62AD">
              <w:rPr>
                <w:rFonts w:ascii="Verdana" w:hAnsi="Verdana" w:cs="Calibri"/>
                <w:color w:val="000000" w:themeColor="text1"/>
                <w:lang w:val="en-GB"/>
              </w:rPr>
              <w:t xml:space="preserve"> </w:t>
            </w:r>
            <w:bookmarkStart w:id="49" w:name="_GoBack"/>
            <w:bookmarkEnd w:id="49"/>
          </w:p>
          <w:p w14:paraId="798770F9" w14:textId="77777777" w:rsidR="00236097" w:rsidRDefault="00236097" w:rsidP="00236097">
            <w:pPr>
              <w:pStyle w:val="Hints"/>
              <w:ind w:left="720"/>
              <w:rPr>
                <w:rFonts w:ascii="Verdana" w:hAnsi="Verdana" w:cs="Calibri"/>
                <w:color w:val="000000" w:themeColor="text1"/>
                <w:lang w:val="en-GB"/>
              </w:rPr>
            </w:pPr>
          </w:p>
          <w:p w14:paraId="35C25095" w14:textId="6A43685F" w:rsidR="001C243B" w:rsidRPr="006F62AD" w:rsidRDefault="007200DC" w:rsidP="009606CF">
            <w:pPr>
              <w:pStyle w:val="Hints"/>
              <w:numPr>
                <w:ilvl w:val="0"/>
                <w:numId w:val="54"/>
              </w:numPr>
              <w:rPr>
                <w:rFonts w:ascii="Verdana" w:hAnsi="Verdana" w:cs="Calibri"/>
                <w:color w:val="000000" w:themeColor="text1"/>
                <w:lang w:val="en-GB"/>
              </w:rPr>
            </w:pPr>
            <w:r w:rsidRPr="006F62AD">
              <w:rPr>
                <w:rFonts w:ascii="Verdana" w:hAnsi="Verdana" w:cs="Calibri"/>
                <w:color w:val="000000" w:themeColor="text1"/>
                <w:lang w:val="en-GB"/>
              </w:rPr>
              <w:t>The Case Owner</w:t>
            </w:r>
            <w:r w:rsidR="00E566F8">
              <w:rPr>
                <w:rFonts w:ascii="Verdana" w:hAnsi="Verdana" w:cs="Calibri"/>
                <w:color w:val="000000" w:themeColor="text1"/>
                <w:lang w:val="en-GB"/>
              </w:rPr>
              <w:t xml:space="preserve"> </w:t>
            </w:r>
            <w:r w:rsidR="001C243B" w:rsidRPr="006F62AD">
              <w:rPr>
                <w:rFonts w:ascii="Verdana" w:hAnsi="Verdana" w:cs="Calibri"/>
                <w:color w:val="000000" w:themeColor="text1"/>
                <w:lang w:val="en-GB"/>
              </w:rPr>
              <w:t>uses the Recovery BUC</w:t>
            </w:r>
            <w:r w:rsidR="009606CF" w:rsidRPr="006F62AD">
              <w:rPr>
                <w:rFonts w:ascii="Verdana" w:hAnsi="Verdana" w:cs="Calibri"/>
                <w:color w:val="000000" w:themeColor="text1"/>
                <w:lang w:val="en-GB"/>
              </w:rPr>
              <w:t>s</w:t>
            </w:r>
            <w:r w:rsidR="001C243B" w:rsidRPr="006F62AD">
              <w:rPr>
                <w:rFonts w:ascii="Verdana" w:hAnsi="Verdana" w:cs="Calibri"/>
                <w:color w:val="000000" w:themeColor="text1"/>
                <w:lang w:val="en-GB"/>
              </w:rPr>
              <w:t xml:space="preserve"> </w:t>
            </w:r>
            <w:r w:rsidR="009606CF" w:rsidRPr="006F62AD">
              <w:rPr>
                <w:rFonts w:ascii="Verdana" w:hAnsi="Verdana" w:cs="Calibri"/>
                <w:color w:val="000000" w:themeColor="text1"/>
                <w:lang w:val="en-GB"/>
              </w:rPr>
              <w:t xml:space="preserve"> R_BUC_01 'Offsetting of Overpayment of Benefits' or </w:t>
            </w:r>
            <w:r w:rsidR="001C243B" w:rsidRPr="006F62AD">
              <w:rPr>
                <w:rFonts w:ascii="Verdana" w:hAnsi="Verdana" w:cs="Calibri"/>
                <w:color w:val="000000" w:themeColor="text1"/>
                <w:lang w:val="en-GB"/>
              </w:rPr>
              <w:t>R_BUC_03 '</w:t>
            </w:r>
            <w:r w:rsidR="001C243B" w:rsidRPr="006F62AD">
              <w:rPr>
                <w:rFonts w:ascii="Verdana" w:hAnsi="Verdana"/>
                <w:color w:val="000000" w:themeColor="text1"/>
              </w:rPr>
              <w:t>Offsetting of provisionally paid cash benefits with Payments of another Member State under Art. 73 (1) of</w:t>
            </w:r>
            <w:r w:rsidR="00E566F8">
              <w:rPr>
                <w:rFonts w:ascii="Verdana" w:hAnsi="Verdana"/>
                <w:color w:val="000000" w:themeColor="text1"/>
              </w:rPr>
              <w:t xml:space="preserve"> Regulation (EC) No 987/2009' </w:t>
            </w:r>
          </w:p>
          <w:p w14:paraId="6E505AB8" w14:textId="77777777" w:rsidR="007200DC" w:rsidRPr="00CF6FBE" w:rsidRDefault="007200DC" w:rsidP="00004C80">
            <w:pPr>
              <w:pStyle w:val="Hints"/>
              <w:rPr>
                <w:rFonts w:cs="Calibri"/>
                <w:b/>
                <w:i/>
                <w:color w:val="auto"/>
                <w:u w:val="single"/>
              </w:rPr>
            </w:pPr>
          </w:p>
        </w:tc>
      </w:tr>
      <w:tr w:rsidR="007200DC" w:rsidRPr="00AD4709" w14:paraId="3451D654" w14:textId="77777777" w:rsidTr="00BA7DB8">
        <w:trPr>
          <w:trHeight w:val="514"/>
        </w:trPr>
        <w:tc>
          <w:tcPr>
            <w:tcW w:w="2518" w:type="dxa"/>
            <w:gridSpan w:val="2"/>
            <w:vMerge/>
          </w:tcPr>
          <w:p w14:paraId="5C8C2880" w14:textId="7A9A2337" w:rsidR="007200DC" w:rsidRPr="00CF6FBE" w:rsidRDefault="007200DC" w:rsidP="00AF6662">
            <w:pPr>
              <w:jc w:val="right"/>
              <w:rPr>
                <w:rFonts w:cs="Calibri"/>
                <w:b/>
                <w:szCs w:val="20"/>
              </w:rPr>
            </w:pPr>
          </w:p>
        </w:tc>
        <w:tc>
          <w:tcPr>
            <w:tcW w:w="7220" w:type="dxa"/>
            <w:gridSpan w:val="3"/>
            <w:shd w:val="clear" w:color="auto" w:fill="B8CCE4" w:themeFill="accent1" w:themeFillTint="66"/>
          </w:tcPr>
          <w:p w14:paraId="07FA9C7B" w14:textId="044DC3B7" w:rsidR="007200DC" w:rsidRPr="00CF6FBE" w:rsidRDefault="007200DC" w:rsidP="00D74A10">
            <w:pPr>
              <w:jc w:val="left"/>
              <w:rPr>
                <w:rFonts w:cs="Calibri"/>
                <w:b/>
                <w:i/>
                <w:color w:val="auto"/>
                <w:szCs w:val="20"/>
                <w:u w:val="single"/>
              </w:rPr>
            </w:pPr>
            <w:r w:rsidRPr="00CF6FBE">
              <w:rPr>
                <w:rFonts w:cs="Calibri"/>
                <w:b/>
                <w:i/>
                <w:color w:val="auto"/>
                <w:szCs w:val="20"/>
                <w:u w:val="single"/>
              </w:rPr>
              <w:t>The Following Branches Determine the use of Horizontal Processes within this Business Process</w:t>
            </w:r>
          </w:p>
        </w:tc>
      </w:tr>
      <w:tr w:rsidR="007200DC" w:rsidRPr="00AD4709" w14:paraId="34F1CFFF" w14:textId="77777777" w:rsidTr="003B619B">
        <w:trPr>
          <w:trHeight w:val="1312"/>
        </w:trPr>
        <w:tc>
          <w:tcPr>
            <w:tcW w:w="2518" w:type="dxa"/>
            <w:gridSpan w:val="2"/>
            <w:vMerge/>
          </w:tcPr>
          <w:p w14:paraId="79783335" w14:textId="77777777" w:rsidR="007200DC" w:rsidRPr="00CF6FBE" w:rsidRDefault="007200DC" w:rsidP="002267BD">
            <w:pPr>
              <w:jc w:val="right"/>
              <w:rPr>
                <w:rFonts w:cs="Calibri"/>
                <w:b/>
                <w:szCs w:val="20"/>
              </w:rPr>
            </w:pPr>
          </w:p>
        </w:tc>
        <w:tc>
          <w:tcPr>
            <w:tcW w:w="7220" w:type="dxa"/>
            <w:gridSpan w:val="3"/>
          </w:tcPr>
          <w:p w14:paraId="50D3C730" w14:textId="77777777" w:rsidR="007200DC" w:rsidRPr="00D675CC" w:rsidRDefault="007200DC" w:rsidP="00FF3BFD">
            <w:pPr>
              <w:numPr>
                <w:ilvl w:val="0"/>
                <w:numId w:val="27"/>
              </w:numPr>
              <w:jc w:val="left"/>
              <w:rPr>
                <w:rFonts w:cs="Calibri"/>
                <w:b/>
                <w:i/>
                <w:szCs w:val="20"/>
              </w:rPr>
            </w:pPr>
            <w:r w:rsidRPr="00CF6FBE">
              <w:rPr>
                <w:rFonts w:cs="Calibri"/>
                <w:b/>
                <w:i/>
                <w:szCs w:val="20"/>
              </w:rPr>
              <w:t>At any step after [step 5], the Counterparty may optionally choose to request AdHoc Information from the Case Owner.</w:t>
            </w:r>
          </w:p>
          <w:p w14:paraId="57578F16" w14:textId="77777777" w:rsidR="00D675CC" w:rsidRPr="00CF6FBE" w:rsidRDefault="00D675CC" w:rsidP="00CF6FBE">
            <w:pPr>
              <w:jc w:val="left"/>
              <w:rPr>
                <w:rFonts w:cs="Calibri"/>
                <w:b/>
                <w:i/>
                <w:szCs w:val="20"/>
              </w:rPr>
            </w:pPr>
          </w:p>
          <w:p w14:paraId="209A8823" w14:textId="13DA3C2A" w:rsidR="00D675CC" w:rsidRPr="00CF6FBE" w:rsidRDefault="007200DC" w:rsidP="00FF3BFD">
            <w:pPr>
              <w:pStyle w:val="Hints"/>
              <w:numPr>
                <w:ilvl w:val="0"/>
                <w:numId w:val="29"/>
              </w:numPr>
              <w:rPr>
                <w:rFonts w:ascii="Verdana" w:hAnsi="Verdana" w:cs="Calibri"/>
                <w:color w:val="auto"/>
                <w:lang w:val="en-GB"/>
              </w:rPr>
            </w:pPr>
            <w:r w:rsidRPr="00CF6FBE">
              <w:rPr>
                <w:rFonts w:ascii="Verdana" w:hAnsi="Verdana" w:cs="Calibri"/>
                <w:color w:val="auto"/>
              </w:rPr>
              <w:t xml:space="preserve">The Counterparty executes business use case </w:t>
            </w:r>
            <w:r w:rsidRPr="00CF6FBE">
              <w:rPr>
                <w:rFonts w:ascii="Verdana" w:hAnsi="Verdana" w:cs="Calibri"/>
                <w:b/>
                <w:i/>
                <w:color w:val="auto"/>
              </w:rPr>
              <w:t>H_BUC_01 – AdHoc Exchange of Info</w:t>
            </w:r>
            <w:r w:rsidRPr="00CF6FBE">
              <w:rPr>
                <w:rFonts w:ascii="Verdana" w:hAnsi="Verdana" w:cs="Calibri"/>
                <w:b/>
                <w:color w:val="auto"/>
              </w:rPr>
              <w:t>;</w:t>
            </w:r>
          </w:p>
          <w:p w14:paraId="63655E3C" w14:textId="4A1A3182" w:rsidR="007200DC" w:rsidRPr="00CF6FBE" w:rsidRDefault="007200DC" w:rsidP="00CF6FBE">
            <w:pPr>
              <w:pStyle w:val="Hints"/>
              <w:numPr>
                <w:ilvl w:val="0"/>
                <w:numId w:val="29"/>
              </w:numPr>
              <w:rPr>
                <w:color w:val="auto"/>
              </w:rPr>
            </w:pPr>
            <w:r w:rsidRPr="00CF6FBE">
              <w:rPr>
                <w:rFonts w:ascii="Verdana" w:hAnsi="Verdana"/>
                <w:color w:val="auto"/>
              </w:rPr>
              <w:t>[This Branch] Ends</w:t>
            </w:r>
            <w:r w:rsidR="00D675CC" w:rsidRPr="00CF6FBE">
              <w:rPr>
                <w:rFonts w:ascii="Verdana" w:hAnsi="Verdana"/>
                <w:color w:val="auto"/>
              </w:rPr>
              <w:t>.</w:t>
            </w:r>
          </w:p>
          <w:p w14:paraId="1351673A" w14:textId="782ADEC4" w:rsidR="00D675CC" w:rsidRPr="00CF6FBE" w:rsidRDefault="00D675CC" w:rsidP="00CF6FBE">
            <w:pPr>
              <w:pStyle w:val="Hints"/>
              <w:ind w:left="720"/>
              <w:rPr>
                <w:rFonts w:ascii="Verdana" w:hAnsi="Verdana"/>
                <w:color w:val="000000"/>
              </w:rPr>
            </w:pPr>
          </w:p>
        </w:tc>
      </w:tr>
      <w:tr w:rsidR="007200DC" w:rsidRPr="00AD4709" w14:paraId="600ADFE4" w14:textId="77777777" w:rsidTr="00CF6FBE">
        <w:trPr>
          <w:trHeight w:val="1312"/>
        </w:trPr>
        <w:tc>
          <w:tcPr>
            <w:tcW w:w="2518" w:type="dxa"/>
            <w:gridSpan w:val="2"/>
            <w:vMerge/>
          </w:tcPr>
          <w:p w14:paraId="081BB8F2" w14:textId="42DD147D" w:rsidR="007200DC" w:rsidRPr="00CF6FBE" w:rsidRDefault="007200DC" w:rsidP="002267BD">
            <w:pPr>
              <w:jc w:val="right"/>
              <w:rPr>
                <w:rFonts w:cs="Calibri"/>
                <w:b/>
                <w:szCs w:val="20"/>
              </w:rPr>
            </w:pPr>
          </w:p>
        </w:tc>
        <w:tc>
          <w:tcPr>
            <w:tcW w:w="7220" w:type="dxa"/>
            <w:gridSpan w:val="3"/>
            <w:shd w:val="clear" w:color="auto" w:fill="auto"/>
          </w:tcPr>
          <w:p w14:paraId="38316885" w14:textId="6BAA65C2" w:rsidR="007200DC" w:rsidRDefault="007200DC" w:rsidP="00FF3BFD">
            <w:pPr>
              <w:numPr>
                <w:ilvl w:val="0"/>
                <w:numId w:val="27"/>
              </w:numPr>
              <w:jc w:val="left"/>
              <w:rPr>
                <w:rFonts w:cs="Calibri"/>
                <w:b/>
                <w:i/>
                <w:szCs w:val="20"/>
              </w:rPr>
            </w:pPr>
            <w:r w:rsidRPr="00CF6FBE">
              <w:rPr>
                <w:rFonts w:cs="Calibri"/>
                <w:b/>
                <w:i/>
                <w:szCs w:val="20"/>
              </w:rPr>
              <w:t>At any step after [step 8], the Case Owner may optionally choose to request AdHoc Information from the Counterparty.</w:t>
            </w:r>
          </w:p>
          <w:p w14:paraId="69EA15A0" w14:textId="77777777" w:rsidR="00D675CC" w:rsidRPr="00CF6FBE" w:rsidRDefault="00D675CC" w:rsidP="00CF6FBE">
            <w:pPr>
              <w:jc w:val="left"/>
              <w:rPr>
                <w:rFonts w:cs="Calibri"/>
                <w:b/>
                <w:i/>
                <w:szCs w:val="20"/>
              </w:rPr>
            </w:pPr>
          </w:p>
          <w:p w14:paraId="0609C9B3" w14:textId="3D14ACB3" w:rsidR="00D675CC" w:rsidRPr="00CF6FBE" w:rsidRDefault="007200DC" w:rsidP="00CF6FBE">
            <w:pPr>
              <w:pStyle w:val="ListParagraph"/>
              <w:numPr>
                <w:ilvl w:val="0"/>
                <w:numId w:val="56"/>
              </w:numPr>
              <w:rPr>
                <w:rFonts w:cs="Calibri"/>
                <w:b/>
                <w:sz w:val="20"/>
              </w:rPr>
            </w:pPr>
            <w:r w:rsidRPr="00CF6FBE">
              <w:rPr>
                <w:rFonts w:ascii="Verdana" w:hAnsi="Verdana" w:cs="Calibri"/>
                <w:sz w:val="20"/>
              </w:rPr>
              <w:t xml:space="preserve">The Case Owner executes business use case </w:t>
            </w:r>
            <w:r w:rsidRPr="00CF6FBE">
              <w:rPr>
                <w:rFonts w:ascii="Verdana" w:hAnsi="Verdana" w:cs="Calibri"/>
                <w:b/>
                <w:i/>
                <w:sz w:val="20"/>
              </w:rPr>
              <w:t>H_BUC_01 – AdHoc Exchange of Info</w:t>
            </w:r>
            <w:r w:rsidRPr="00CF6FBE">
              <w:rPr>
                <w:rFonts w:ascii="Verdana" w:hAnsi="Verdana" w:cs="Calibri"/>
                <w:b/>
                <w:sz w:val="20"/>
              </w:rPr>
              <w:t>;</w:t>
            </w:r>
          </w:p>
          <w:p w14:paraId="2A92E293" w14:textId="31B486AD" w:rsidR="007200DC" w:rsidRPr="00CF6FBE" w:rsidRDefault="007200DC" w:rsidP="00CF6FBE">
            <w:pPr>
              <w:pStyle w:val="ListParagraph"/>
              <w:numPr>
                <w:ilvl w:val="0"/>
                <w:numId w:val="56"/>
              </w:numPr>
              <w:rPr>
                <w:rFonts w:ascii="Verdana" w:hAnsi="Verdana" w:cs="Calibri"/>
                <w:b/>
              </w:rPr>
            </w:pPr>
            <w:r w:rsidRPr="00CF6FBE">
              <w:rPr>
                <w:rFonts w:ascii="Verdana" w:hAnsi="Verdana"/>
                <w:sz w:val="20"/>
              </w:rPr>
              <w:t>[This Branch] Ends</w:t>
            </w:r>
            <w:r w:rsidR="00D675CC" w:rsidRPr="00CF6FBE">
              <w:rPr>
                <w:rFonts w:ascii="Verdana" w:hAnsi="Verdana"/>
                <w:sz w:val="20"/>
              </w:rPr>
              <w:t>.</w:t>
            </w:r>
          </w:p>
        </w:tc>
      </w:tr>
      <w:tr w:rsidR="007200DC" w:rsidRPr="00AD4709" w14:paraId="275D845A" w14:textId="77777777" w:rsidTr="00037423">
        <w:trPr>
          <w:trHeight w:val="541"/>
        </w:trPr>
        <w:tc>
          <w:tcPr>
            <w:tcW w:w="2518" w:type="dxa"/>
            <w:gridSpan w:val="2"/>
            <w:vMerge/>
          </w:tcPr>
          <w:p w14:paraId="5D298DD5" w14:textId="77777777" w:rsidR="007200DC" w:rsidRPr="00CF6FBE" w:rsidRDefault="007200DC" w:rsidP="002267BD">
            <w:pPr>
              <w:jc w:val="right"/>
              <w:rPr>
                <w:rFonts w:cs="Calibri"/>
                <w:b/>
                <w:szCs w:val="20"/>
              </w:rPr>
            </w:pPr>
          </w:p>
        </w:tc>
        <w:tc>
          <w:tcPr>
            <w:tcW w:w="7220" w:type="dxa"/>
            <w:gridSpan w:val="3"/>
            <w:shd w:val="clear" w:color="auto" w:fill="B8CCE4" w:themeFill="accent1" w:themeFillTint="66"/>
          </w:tcPr>
          <w:p w14:paraId="1E330BEF" w14:textId="4841684A" w:rsidR="007200DC" w:rsidRPr="00CF6FBE" w:rsidRDefault="007200DC" w:rsidP="0083405E">
            <w:pPr>
              <w:jc w:val="left"/>
              <w:rPr>
                <w:rFonts w:cs="Calibri"/>
                <w:b/>
                <w:i/>
                <w:szCs w:val="20"/>
                <w:highlight w:val="yellow"/>
              </w:rPr>
            </w:pPr>
            <w:r w:rsidRPr="00CF6FBE">
              <w:rPr>
                <w:rFonts w:cs="Calibri"/>
                <w:b/>
                <w:i/>
                <w:color w:val="auto"/>
                <w:szCs w:val="20"/>
                <w:u w:val="single"/>
              </w:rPr>
              <w:t>The Following Branches Determine the use of Administrative Processes within this Business Process</w:t>
            </w:r>
          </w:p>
        </w:tc>
      </w:tr>
      <w:tr w:rsidR="007200DC" w:rsidRPr="00AD4709" w14:paraId="3C48B7FB" w14:textId="77777777" w:rsidTr="003B619B">
        <w:trPr>
          <w:trHeight w:val="1312"/>
        </w:trPr>
        <w:tc>
          <w:tcPr>
            <w:tcW w:w="2518" w:type="dxa"/>
            <w:gridSpan w:val="2"/>
            <w:vMerge/>
          </w:tcPr>
          <w:p w14:paraId="2C3856F2" w14:textId="77777777" w:rsidR="007200DC" w:rsidRPr="00CF6FBE" w:rsidRDefault="007200DC" w:rsidP="002267BD">
            <w:pPr>
              <w:jc w:val="right"/>
              <w:rPr>
                <w:rFonts w:cs="Calibri"/>
                <w:b/>
                <w:szCs w:val="20"/>
              </w:rPr>
            </w:pPr>
          </w:p>
        </w:tc>
        <w:tc>
          <w:tcPr>
            <w:tcW w:w="7220" w:type="dxa"/>
            <w:gridSpan w:val="3"/>
          </w:tcPr>
          <w:p w14:paraId="4F078ABC" w14:textId="6025F2E8" w:rsidR="007200DC" w:rsidRDefault="007200DC" w:rsidP="003B55B9">
            <w:pPr>
              <w:numPr>
                <w:ilvl w:val="0"/>
                <w:numId w:val="27"/>
              </w:numPr>
              <w:jc w:val="left"/>
              <w:rPr>
                <w:rFonts w:cs="Calibri"/>
                <w:b/>
                <w:i/>
                <w:szCs w:val="20"/>
              </w:rPr>
            </w:pPr>
            <w:r w:rsidRPr="00CF6FBE">
              <w:rPr>
                <w:rFonts w:cs="Calibri"/>
                <w:b/>
                <w:i/>
                <w:szCs w:val="20"/>
              </w:rPr>
              <w:t>At any step after [step 5], the Case Owner may optionally choose to send a reminder in order to receive the answer (DA054) expected and not yet received or to receive the answer to AdHoc Information expected and not yet received</w:t>
            </w:r>
            <w:r w:rsidR="00D675CC">
              <w:rPr>
                <w:rFonts w:cs="Calibri"/>
                <w:b/>
                <w:i/>
                <w:szCs w:val="20"/>
              </w:rPr>
              <w:t>.</w:t>
            </w:r>
          </w:p>
          <w:p w14:paraId="325451A9" w14:textId="77777777" w:rsidR="00D675CC" w:rsidRPr="00CF6FBE" w:rsidRDefault="00D675CC" w:rsidP="00CF6FBE">
            <w:pPr>
              <w:jc w:val="left"/>
              <w:rPr>
                <w:rFonts w:cs="Calibri"/>
                <w:b/>
                <w:i/>
                <w:szCs w:val="20"/>
              </w:rPr>
            </w:pPr>
          </w:p>
          <w:p w14:paraId="1A906D21" w14:textId="5D322831" w:rsidR="00D675CC" w:rsidRPr="00CF6FBE" w:rsidRDefault="007200DC" w:rsidP="00CF6FBE">
            <w:pPr>
              <w:pStyle w:val="Hints"/>
              <w:numPr>
                <w:ilvl w:val="0"/>
                <w:numId w:val="45"/>
              </w:numPr>
              <w:rPr>
                <w:rFonts w:cs="Calibri"/>
                <w:color w:val="auto"/>
              </w:rPr>
            </w:pPr>
            <w:r w:rsidRPr="00CF6FBE">
              <w:rPr>
                <w:rFonts w:ascii="Verdana" w:hAnsi="Verdana" w:cs="Calibri"/>
                <w:color w:val="auto"/>
              </w:rPr>
              <w:t xml:space="preserve">The Case Owner executes business use case </w:t>
            </w:r>
            <w:r w:rsidRPr="00CF6FBE">
              <w:rPr>
                <w:rFonts w:ascii="Verdana" w:hAnsi="Verdana" w:cs="Calibri"/>
                <w:b/>
                <w:i/>
                <w:color w:val="auto"/>
              </w:rPr>
              <w:t>AD_BUC_07 – Reminder;</w:t>
            </w:r>
          </w:p>
          <w:p w14:paraId="2379BA96" w14:textId="550D4831" w:rsidR="007200DC" w:rsidRPr="00CF6FBE" w:rsidRDefault="00D675CC" w:rsidP="00CF6FBE">
            <w:pPr>
              <w:pStyle w:val="Hints"/>
              <w:numPr>
                <w:ilvl w:val="0"/>
                <w:numId w:val="45"/>
              </w:numPr>
              <w:rPr>
                <w:rFonts w:ascii="Verdana" w:hAnsi="Verdana" w:cs="Calibri"/>
                <w:color w:val="auto"/>
              </w:rPr>
            </w:pPr>
            <w:r w:rsidRPr="00CF6FBE">
              <w:rPr>
                <w:rFonts w:ascii="Verdana" w:hAnsi="Verdana"/>
              </w:rPr>
              <w:t>[This Branch] Ends.</w:t>
            </w:r>
          </w:p>
          <w:p w14:paraId="086C42BB" w14:textId="683CBF7B" w:rsidR="007200DC" w:rsidRPr="00CF6FBE" w:rsidRDefault="007200DC" w:rsidP="00BA7DB8">
            <w:pPr>
              <w:rPr>
                <w:rFonts w:cs="Calibri"/>
                <w:color w:val="auto"/>
                <w:szCs w:val="20"/>
                <w:highlight w:val="yellow"/>
              </w:rPr>
            </w:pPr>
          </w:p>
        </w:tc>
      </w:tr>
      <w:tr w:rsidR="007200DC" w:rsidRPr="00AD4709" w14:paraId="2AA22562" w14:textId="77777777" w:rsidTr="00B276EA">
        <w:trPr>
          <w:trHeight w:val="619"/>
        </w:trPr>
        <w:tc>
          <w:tcPr>
            <w:tcW w:w="2518" w:type="dxa"/>
            <w:gridSpan w:val="2"/>
            <w:vMerge/>
          </w:tcPr>
          <w:p w14:paraId="02553A1A" w14:textId="6B8D564D" w:rsidR="007200DC" w:rsidRPr="00CF6FBE" w:rsidRDefault="007200DC" w:rsidP="000A1067">
            <w:pPr>
              <w:jc w:val="right"/>
              <w:rPr>
                <w:rFonts w:cs="Calibri"/>
                <w:b/>
                <w:szCs w:val="20"/>
              </w:rPr>
            </w:pPr>
          </w:p>
        </w:tc>
        <w:tc>
          <w:tcPr>
            <w:tcW w:w="7220" w:type="dxa"/>
            <w:gridSpan w:val="3"/>
          </w:tcPr>
          <w:p w14:paraId="1E8E64AF" w14:textId="77777777" w:rsidR="00D675CC" w:rsidRDefault="007200DC" w:rsidP="003B55B9">
            <w:pPr>
              <w:numPr>
                <w:ilvl w:val="0"/>
                <w:numId w:val="27"/>
              </w:numPr>
              <w:jc w:val="left"/>
              <w:rPr>
                <w:rFonts w:cs="Calibri"/>
                <w:b/>
                <w:i/>
                <w:szCs w:val="20"/>
              </w:rPr>
            </w:pPr>
            <w:r w:rsidRPr="00CF6FBE">
              <w:rPr>
                <w:rFonts w:cs="Calibri"/>
                <w:b/>
                <w:i/>
                <w:szCs w:val="20"/>
              </w:rPr>
              <w:t>At any step after [step 5], the Counterparty may optionally choose to send a reminder in order to receive the answer to AdHoc Information expected and not yet received</w:t>
            </w:r>
            <w:r w:rsidR="00D675CC">
              <w:rPr>
                <w:rFonts w:cs="Calibri"/>
                <w:b/>
                <w:i/>
                <w:szCs w:val="20"/>
              </w:rPr>
              <w:t>.</w:t>
            </w:r>
          </w:p>
          <w:p w14:paraId="138BD53A" w14:textId="57B94804" w:rsidR="007200DC" w:rsidRPr="00CF6FBE" w:rsidRDefault="007200DC" w:rsidP="00CF6FBE">
            <w:pPr>
              <w:jc w:val="left"/>
              <w:rPr>
                <w:rFonts w:cs="Calibri"/>
                <w:b/>
                <w:i/>
                <w:szCs w:val="20"/>
              </w:rPr>
            </w:pPr>
            <w:r w:rsidRPr="00CF6FBE">
              <w:rPr>
                <w:rFonts w:cs="Calibri"/>
                <w:b/>
                <w:i/>
                <w:szCs w:val="20"/>
              </w:rPr>
              <w:t xml:space="preserve"> </w:t>
            </w:r>
          </w:p>
          <w:p w14:paraId="58BDA5D0" w14:textId="7D8AD029" w:rsidR="00D675CC" w:rsidRPr="00CF6FBE" w:rsidRDefault="007200DC" w:rsidP="00CF6FBE">
            <w:pPr>
              <w:pStyle w:val="Hints"/>
              <w:numPr>
                <w:ilvl w:val="0"/>
                <w:numId w:val="47"/>
              </w:numPr>
              <w:rPr>
                <w:rFonts w:cs="Calibri"/>
                <w:color w:val="auto"/>
              </w:rPr>
            </w:pPr>
            <w:r w:rsidRPr="00CF6FBE">
              <w:rPr>
                <w:rFonts w:ascii="Verdana" w:hAnsi="Verdana" w:cs="Calibri"/>
                <w:color w:val="auto"/>
              </w:rPr>
              <w:t xml:space="preserve">The Counterparty executes business use case </w:t>
            </w:r>
            <w:r w:rsidRPr="00CF6FBE">
              <w:rPr>
                <w:rFonts w:ascii="Verdana" w:hAnsi="Verdana" w:cs="Calibri"/>
                <w:b/>
                <w:i/>
                <w:color w:val="auto"/>
              </w:rPr>
              <w:t>AD_BUC_07 – Reminder;</w:t>
            </w:r>
          </w:p>
          <w:p w14:paraId="20C166E7" w14:textId="7A0CB55D" w:rsidR="007200DC" w:rsidRPr="00CF6FBE" w:rsidRDefault="00D675CC" w:rsidP="00CF6FBE">
            <w:pPr>
              <w:pStyle w:val="Hints"/>
              <w:numPr>
                <w:ilvl w:val="0"/>
                <w:numId w:val="47"/>
              </w:numPr>
              <w:rPr>
                <w:rFonts w:ascii="Verdana" w:hAnsi="Verdana" w:cs="Calibri"/>
                <w:color w:val="auto"/>
              </w:rPr>
            </w:pPr>
            <w:r w:rsidRPr="00D675CC">
              <w:rPr>
                <w:rFonts w:ascii="Verdana" w:hAnsi="Verdana"/>
              </w:rPr>
              <w:t>[</w:t>
            </w:r>
            <w:r w:rsidRPr="00CF6FBE">
              <w:rPr>
                <w:rFonts w:ascii="Verdana" w:hAnsi="Verdana"/>
              </w:rPr>
              <w:t>This Branch] Ends.</w:t>
            </w:r>
          </w:p>
          <w:p w14:paraId="5E8EE2DD" w14:textId="5160A61C" w:rsidR="007200DC" w:rsidRPr="00CF6FBE" w:rsidRDefault="007200DC" w:rsidP="000A1067">
            <w:pPr>
              <w:pStyle w:val="Hints"/>
              <w:rPr>
                <w:rFonts w:ascii="Verdana" w:hAnsi="Verdana" w:cs="Calibri"/>
                <w:b/>
                <w:i/>
                <w:color w:val="000000"/>
                <w:highlight w:val="yellow"/>
              </w:rPr>
            </w:pPr>
          </w:p>
        </w:tc>
      </w:tr>
      <w:tr w:rsidR="007200DC" w:rsidRPr="00AD4709" w14:paraId="7A05812C" w14:textId="77777777" w:rsidTr="003726DC">
        <w:trPr>
          <w:trHeight w:val="1444"/>
        </w:trPr>
        <w:tc>
          <w:tcPr>
            <w:tcW w:w="2518" w:type="dxa"/>
            <w:gridSpan w:val="2"/>
            <w:vMerge/>
          </w:tcPr>
          <w:p w14:paraId="318157AD" w14:textId="77777777" w:rsidR="007200DC" w:rsidRPr="00CF6FBE" w:rsidRDefault="007200DC" w:rsidP="000A1067">
            <w:pPr>
              <w:jc w:val="right"/>
              <w:rPr>
                <w:rFonts w:cs="Calibri"/>
                <w:b/>
                <w:szCs w:val="20"/>
              </w:rPr>
            </w:pPr>
          </w:p>
        </w:tc>
        <w:tc>
          <w:tcPr>
            <w:tcW w:w="7220" w:type="dxa"/>
            <w:gridSpan w:val="3"/>
          </w:tcPr>
          <w:p w14:paraId="13E35C78" w14:textId="4551396C" w:rsidR="007200DC" w:rsidRDefault="007200DC" w:rsidP="006D2E00">
            <w:pPr>
              <w:numPr>
                <w:ilvl w:val="0"/>
                <w:numId w:val="27"/>
              </w:numPr>
              <w:jc w:val="left"/>
              <w:rPr>
                <w:rFonts w:cs="Calibri"/>
                <w:b/>
                <w:i/>
                <w:szCs w:val="20"/>
              </w:rPr>
            </w:pPr>
            <w:r w:rsidRPr="00CF6FBE">
              <w:rPr>
                <w:rFonts w:cs="Calibri"/>
                <w:b/>
                <w:i/>
                <w:szCs w:val="20"/>
              </w:rPr>
              <w:t>Between [step 5] and  [step 6], the Case Owner may optionally choose to  invalidate DA053 previously sent to the Counterparty</w:t>
            </w:r>
            <w:r w:rsidR="00D675CC">
              <w:rPr>
                <w:rFonts w:cs="Calibri"/>
                <w:b/>
                <w:i/>
                <w:szCs w:val="20"/>
              </w:rPr>
              <w:t>.</w:t>
            </w:r>
          </w:p>
          <w:p w14:paraId="2814A6E6" w14:textId="77777777" w:rsidR="00D675CC" w:rsidRPr="00CF6FBE" w:rsidRDefault="00D675CC" w:rsidP="00CF6FBE">
            <w:pPr>
              <w:jc w:val="left"/>
              <w:rPr>
                <w:rFonts w:cs="Calibri"/>
                <w:b/>
                <w:i/>
                <w:szCs w:val="20"/>
              </w:rPr>
            </w:pPr>
          </w:p>
          <w:p w14:paraId="145F1BF9" w14:textId="30E48F87" w:rsidR="007200DC" w:rsidRPr="00CF6FBE" w:rsidRDefault="007200DC" w:rsidP="006D2E00">
            <w:pPr>
              <w:pStyle w:val="Hints"/>
              <w:numPr>
                <w:ilvl w:val="0"/>
                <w:numId w:val="48"/>
              </w:numPr>
              <w:rPr>
                <w:rFonts w:ascii="Verdana" w:hAnsi="Verdana" w:cs="Calibri"/>
                <w:color w:val="auto"/>
                <w:lang w:val="en-GB"/>
              </w:rPr>
            </w:pPr>
            <w:r w:rsidRPr="00CF6FBE">
              <w:rPr>
                <w:rFonts w:ascii="Verdana" w:hAnsi="Verdana" w:cs="Calibri"/>
                <w:color w:val="auto"/>
                <w:lang w:val="en-GB"/>
              </w:rPr>
              <w:t xml:space="preserve">The Case Owner executes business use case </w:t>
            </w:r>
            <w:r w:rsidRPr="00CF6FBE">
              <w:rPr>
                <w:rFonts w:ascii="Verdana" w:hAnsi="Verdana" w:cs="Calibri"/>
                <w:b/>
                <w:i/>
                <w:color w:val="auto"/>
                <w:lang w:val="en-GB"/>
              </w:rPr>
              <w:t>AD_BUC_06 - Invalidate;</w:t>
            </w:r>
          </w:p>
          <w:p w14:paraId="3CD5F233" w14:textId="543EBEF4" w:rsidR="009C35C8" w:rsidRPr="00CF6FBE" w:rsidRDefault="00E050AE" w:rsidP="009C35C8">
            <w:pPr>
              <w:pStyle w:val="Hints"/>
              <w:numPr>
                <w:ilvl w:val="0"/>
                <w:numId w:val="48"/>
              </w:numPr>
              <w:rPr>
                <w:rFonts w:ascii="Verdana" w:hAnsi="Verdana" w:cs="Calibri"/>
                <w:color w:val="auto"/>
                <w:lang w:val="en-GB"/>
              </w:rPr>
            </w:pPr>
            <w:r>
              <w:rPr>
                <w:rFonts w:ascii="Verdana" w:hAnsi="Verdana" w:cs="Calibri"/>
                <w:color w:val="auto"/>
                <w:lang w:val="en-GB"/>
              </w:rPr>
              <w:t>Optionally, t</w:t>
            </w:r>
            <w:r w:rsidR="007200DC" w:rsidRPr="00CF6FBE">
              <w:rPr>
                <w:rFonts w:ascii="Verdana" w:hAnsi="Verdana" w:cs="Calibri"/>
                <w:color w:val="auto"/>
                <w:lang w:val="en-GB"/>
              </w:rPr>
              <w:t>he Case Owner fills in the "Request for information to Determine the Amounts" (DA053) SED with the required information;</w:t>
            </w:r>
          </w:p>
          <w:p w14:paraId="6598C74B" w14:textId="063076C7" w:rsidR="00D675CC" w:rsidRPr="00CF6FBE" w:rsidRDefault="00E050AE" w:rsidP="006D2E00">
            <w:pPr>
              <w:pStyle w:val="Hints"/>
              <w:numPr>
                <w:ilvl w:val="0"/>
                <w:numId w:val="48"/>
              </w:numPr>
              <w:rPr>
                <w:rFonts w:ascii="Verdana" w:hAnsi="Verdana" w:cs="Calibri"/>
                <w:color w:val="auto"/>
                <w:lang w:val="en-GB"/>
              </w:rPr>
            </w:pPr>
            <w:r>
              <w:rPr>
                <w:rFonts w:ascii="Verdana" w:hAnsi="Verdana" w:cs="Calibri"/>
                <w:color w:val="auto"/>
                <w:lang w:val="en-GB"/>
              </w:rPr>
              <w:t xml:space="preserve">Optionally, </w:t>
            </w:r>
            <w:r>
              <w:rPr>
                <w:rFonts w:ascii="Verdana" w:hAnsi="Verdana" w:cs="Calibri"/>
                <w:color w:val="auto"/>
              </w:rPr>
              <w:t>t</w:t>
            </w:r>
            <w:r w:rsidR="007200DC" w:rsidRPr="00CF6FBE">
              <w:rPr>
                <w:rFonts w:ascii="Verdana" w:hAnsi="Verdana" w:cs="Calibri"/>
                <w:color w:val="auto"/>
              </w:rPr>
              <w:t>he Case Owner sends the DA053 to the Counterparty;</w:t>
            </w:r>
          </w:p>
          <w:p w14:paraId="1FC0D1A9" w14:textId="0E456356" w:rsidR="007200DC" w:rsidRPr="00CF6FBE" w:rsidRDefault="00D675CC" w:rsidP="00CF6FBE">
            <w:pPr>
              <w:pStyle w:val="Hints"/>
              <w:numPr>
                <w:ilvl w:val="0"/>
                <w:numId w:val="48"/>
              </w:numPr>
              <w:rPr>
                <w:rFonts w:ascii="Verdana" w:hAnsi="Verdana" w:cs="Calibri"/>
                <w:color w:val="auto"/>
              </w:rPr>
            </w:pPr>
            <w:r w:rsidRPr="00CF6FBE">
              <w:rPr>
                <w:rFonts w:ascii="Verdana" w:hAnsi="Verdana"/>
              </w:rPr>
              <w:t>[This Branch] Ends.</w:t>
            </w:r>
          </w:p>
          <w:p w14:paraId="4A0D4464" w14:textId="56694583" w:rsidR="007200DC" w:rsidRPr="00CF6FBE" w:rsidRDefault="007200DC" w:rsidP="00D675CC">
            <w:pPr>
              <w:jc w:val="left"/>
              <w:rPr>
                <w:rFonts w:cs="Calibri"/>
                <w:color w:val="auto"/>
                <w:szCs w:val="20"/>
                <w:highlight w:val="yellow"/>
              </w:rPr>
            </w:pPr>
          </w:p>
        </w:tc>
      </w:tr>
      <w:tr w:rsidR="007200DC" w:rsidRPr="00AD4709" w14:paraId="62401C15" w14:textId="77777777" w:rsidTr="000A1067">
        <w:tc>
          <w:tcPr>
            <w:tcW w:w="2518" w:type="dxa"/>
            <w:gridSpan w:val="2"/>
            <w:vMerge/>
          </w:tcPr>
          <w:p w14:paraId="6C687E65" w14:textId="3B5385EB" w:rsidR="007200DC" w:rsidRPr="00CF6FBE" w:rsidRDefault="007200DC" w:rsidP="000A1067">
            <w:pPr>
              <w:jc w:val="right"/>
              <w:rPr>
                <w:rFonts w:cs="Calibri"/>
                <w:b/>
                <w:szCs w:val="20"/>
              </w:rPr>
            </w:pPr>
          </w:p>
        </w:tc>
        <w:tc>
          <w:tcPr>
            <w:tcW w:w="7220" w:type="dxa"/>
            <w:gridSpan w:val="3"/>
          </w:tcPr>
          <w:p w14:paraId="30541321" w14:textId="72DEEB77" w:rsidR="001C243B" w:rsidRDefault="001C243B" w:rsidP="00175ACF">
            <w:pPr>
              <w:numPr>
                <w:ilvl w:val="0"/>
                <w:numId w:val="27"/>
              </w:numPr>
              <w:jc w:val="left"/>
              <w:rPr>
                <w:rFonts w:cs="Calibri"/>
                <w:b/>
                <w:i/>
                <w:szCs w:val="20"/>
              </w:rPr>
            </w:pPr>
            <w:r>
              <w:rPr>
                <w:rFonts w:cs="Calibri"/>
                <w:b/>
                <w:i/>
                <w:szCs w:val="20"/>
              </w:rPr>
              <w:t>Deleted</w:t>
            </w:r>
          </w:p>
          <w:p w14:paraId="7FC5CC6B" w14:textId="53962BB3" w:rsidR="007200DC" w:rsidRPr="00CF6FBE" w:rsidRDefault="007200DC" w:rsidP="00004C80">
            <w:pPr>
              <w:pStyle w:val="Hints"/>
              <w:ind w:left="720"/>
              <w:rPr>
                <w:rFonts w:ascii="Verdana" w:hAnsi="Verdana" w:cs="Calibri"/>
                <w:highlight w:val="yellow"/>
              </w:rPr>
            </w:pPr>
          </w:p>
        </w:tc>
      </w:tr>
      <w:tr w:rsidR="007200DC" w:rsidRPr="00AD4709" w14:paraId="1035E4DC" w14:textId="77777777" w:rsidTr="00E57815">
        <w:trPr>
          <w:trHeight w:val="1270"/>
        </w:trPr>
        <w:tc>
          <w:tcPr>
            <w:tcW w:w="2518" w:type="dxa"/>
            <w:gridSpan w:val="2"/>
            <w:vMerge/>
          </w:tcPr>
          <w:p w14:paraId="5EB7383A" w14:textId="246E9336" w:rsidR="007200DC" w:rsidRPr="00CF6FBE" w:rsidRDefault="007200DC" w:rsidP="000A1067">
            <w:pPr>
              <w:jc w:val="right"/>
              <w:rPr>
                <w:rFonts w:cs="Calibri"/>
                <w:b/>
                <w:szCs w:val="20"/>
              </w:rPr>
            </w:pPr>
          </w:p>
        </w:tc>
        <w:tc>
          <w:tcPr>
            <w:tcW w:w="7220" w:type="dxa"/>
            <w:gridSpan w:val="3"/>
          </w:tcPr>
          <w:p w14:paraId="1519A699" w14:textId="0DEC8795" w:rsidR="00D675CC" w:rsidRPr="00175ACF" w:rsidRDefault="007200DC" w:rsidP="00890024">
            <w:pPr>
              <w:numPr>
                <w:ilvl w:val="0"/>
                <w:numId w:val="27"/>
              </w:numPr>
              <w:jc w:val="left"/>
              <w:rPr>
                <w:rFonts w:cs="Calibri"/>
                <w:b/>
                <w:i/>
                <w:szCs w:val="20"/>
              </w:rPr>
            </w:pPr>
            <w:r w:rsidRPr="00175ACF">
              <w:rPr>
                <w:rFonts w:cs="Calibri"/>
                <w:b/>
                <w:i/>
                <w:szCs w:val="20"/>
              </w:rPr>
              <w:t>At any step after [step 7]  the Counterparty may optionally choose to  invalidate DA054 previously sent to the Case Owner</w:t>
            </w:r>
            <w:r w:rsidR="00175ACF" w:rsidRPr="00175ACF">
              <w:rPr>
                <w:rFonts w:cs="Calibri"/>
                <w:b/>
                <w:i/>
                <w:szCs w:val="20"/>
              </w:rPr>
              <w:t xml:space="preserve"> while he remarks that the SED is </w:t>
            </w:r>
            <w:r w:rsidR="00175ACF" w:rsidRPr="00175ACF">
              <w:rPr>
                <w:b/>
                <w:i/>
                <w:lang w:val="en-US"/>
              </w:rPr>
              <w:t>invalid under Art 5 of 987/09</w:t>
            </w:r>
          </w:p>
          <w:p w14:paraId="7298E6D9" w14:textId="77777777" w:rsidR="00175ACF" w:rsidRPr="00CF6FBE" w:rsidRDefault="00175ACF" w:rsidP="00175ACF">
            <w:pPr>
              <w:jc w:val="left"/>
              <w:rPr>
                <w:rFonts w:cs="Calibri"/>
                <w:b/>
                <w:i/>
                <w:szCs w:val="20"/>
              </w:rPr>
            </w:pPr>
          </w:p>
          <w:p w14:paraId="3BACD082" w14:textId="2E58C92D" w:rsidR="007200DC" w:rsidRPr="00CF6FBE" w:rsidRDefault="007200DC" w:rsidP="00BA7DB8">
            <w:pPr>
              <w:pStyle w:val="Hints"/>
              <w:numPr>
                <w:ilvl w:val="0"/>
                <w:numId w:val="51"/>
              </w:numPr>
              <w:rPr>
                <w:rFonts w:ascii="Verdana" w:hAnsi="Verdana" w:cs="Calibri"/>
                <w:color w:val="auto"/>
                <w:lang w:val="en-GB"/>
              </w:rPr>
            </w:pPr>
            <w:r w:rsidRPr="00CF6FBE">
              <w:rPr>
                <w:rFonts w:ascii="Verdana" w:hAnsi="Verdana" w:cs="Calibri"/>
                <w:color w:val="auto"/>
                <w:lang w:val="en-GB"/>
              </w:rPr>
              <w:t xml:space="preserve">The Counterparty executes business use case </w:t>
            </w:r>
            <w:r w:rsidRPr="00CF6FBE">
              <w:rPr>
                <w:rFonts w:ascii="Verdana" w:hAnsi="Verdana" w:cs="Calibri"/>
                <w:b/>
                <w:i/>
                <w:color w:val="auto"/>
                <w:lang w:val="en-GB"/>
              </w:rPr>
              <w:t>AD_BUC_06 - Invalidate;</w:t>
            </w:r>
          </w:p>
          <w:p w14:paraId="7AAA37A3" w14:textId="5B6AD709" w:rsidR="007200DC" w:rsidRPr="00CF6FBE" w:rsidRDefault="00E050AE" w:rsidP="00BA7DB8">
            <w:pPr>
              <w:pStyle w:val="Hints"/>
              <w:numPr>
                <w:ilvl w:val="0"/>
                <w:numId w:val="51"/>
              </w:numPr>
              <w:rPr>
                <w:rFonts w:ascii="Verdana" w:hAnsi="Verdana" w:cs="Calibri"/>
                <w:color w:val="auto"/>
                <w:lang w:val="en-GB"/>
              </w:rPr>
            </w:pPr>
            <w:r>
              <w:rPr>
                <w:rFonts w:ascii="Verdana" w:hAnsi="Verdana" w:cs="Calibri"/>
                <w:color w:val="auto"/>
                <w:lang w:val="en-GB"/>
              </w:rPr>
              <w:t>Optionally, t</w:t>
            </w:r>
            <w:r w:rsidR="007200DC" w:rsidRPr="00CF6FBE">
              <w:rPr>
                <w:rFonts w:ascii="Verdana" w:hAnsi="Verdana" w:cs="Calibri"/>
                <w:color w:val="auto"/>
                <w:lang w:val="en-GB"/>
              </w:rPr>
              <w:t>he Counterparty fills in "Information to Determine the amounts" (DA054) SED with the required information;</w:t>
            </w:r>
          </w:p>
          <w:p w14:paraId="43E28537" w14:textId="2CC84B1D" w:rsidR="007200DC" w:rsidRDefault="00E050AE" w:rsidP="00BA7DB8">
            <w:pPr>
              <w:pStyle w:val="Hints"/>
              <w:numPr>
                <w:ilvl w:val="0"/>
                <w:numId w:val="51"/>
              </w:numPr>
              <w:rPr>
                <w:rFonts w:ascii="Verdana" w:hAnsi="Verdana" w:cs="Calibri"/>
                <w:color w:val="auto"/>
                <w:lang w:val="en-GB"/>
              </w:rPr>
            </w:pPr>
            <w:r>
              <w:rPr>
                <w:rFonts w:ascii="Verdana" w:hAnsi="Verdana" w:cs="Calibri"/>
                <w:color w:val="auto"/>
                <w:lang w:val="en-GB"/>
              </w:rPr>
              <w:t>Optionally, t</w:t>
            </w:r>
            <w:r w:rsidR="007200DC" w:rsidRPr="00CF6FBE">
              <w:rPr>
                <w:rFonts w:ascii="Verdana" w:hAnsi="Verdana" w:cs="Calibri"/>
                <w:color w:val="auto"/>
                <w:lang w:val="en-GB"/>
              </w:rPr>
              <w:t>he Counterparty sends the DA054 to the Case Owner;</w:t>
            </w:r>
          </w:p>
          <w:p w14:paraId="14190910" w14:textId="1F7D573F" w:rsidR="00D675CC" w:rsidRPr="00CF6FBE" w:rsidRDefault="00D675CC" w:rsidP="00BA7DB8">
            <w:pPr>
              <w:pStyle w:val="Hints"/>
              <w:numPr>
                <w:ilvl w:val="0"/>
                <w:numId w:val="51"/>
              </w:numPr>
              <w:rPr>
                <w:rFonts w:ascii="Verdana" w:hAnsi="Verdana" w:cs="Calibri"/>
                <w:color w:val="auto"/>
                <w:lang w:val="en-GB"/>
              </w:rPr>
            </w:pPr>
            <w:r w:rsidRPr="006C5F0B">
              <w:rPr>
                <w:rFonts w:ascii="Verdana" w:hAnsi="Verdana"/>
              </w:rPr>
              <w:t>[This Branch] Ends.</w:t>
            </w:r>
          </w:p>
          <w:p w14:paraId="35F4ED07" w14:textId="431766FE" w:rsidR="007200DC" w:rsidRPr="00CF6FBE" w:rsidRDefault="007200DC" w:rsidP="00D675CC">
            <w:pPr>
              <w:pStyle w:val="Hints"/>
              <w:rPr>
                <w:rFonts w:ascii="Verdana" w:hAnsi="Verdana" w:cs="Calibri"/>
                <w:highlight w:val="yellow"/>
              </w:rPr>
            </w:pPr>
          </w:p>
        </w:tc>
      </w:tr>
      <w:tr w:rsidR="007200DC" w:rsidRPr="00AD4709" w14:paraId="5B94C7AE" w14:textId="77777777" w:rsidTr="000A1067">
        <w:tc>
          <w:tcPr>
            <w:tcW w:w="2518" w:type="dxa"/>
            <w:gridSpan w:val="2"/>
            <w:vMerge/>
          </w:tcPr>
          <w:p w14:paraId="4CEF248E" w14:textId="641D776E" w:rsidR="007200DC" w:rsidRPr="00CF6FBE" w:rsidRDefault="007200DC" w:rsidP="000A1067">
            <w:pPr>
              <w:jc w:val="right"/>
              <w:rPr>
                <w:rFonts w:cs="Calibri"/>
                <w:b/>
                <w:szCs w:val="20"/>
              </w:rPr>
            </w:pPr>
          </w:p>
        </w:tc>
        <w:tc>
          <w:tcPr>
            <w:tcW w:w="7220" w:type="dxa"/>
            <w:gridSpan w:val="3"/>
          </w:tcPr>
          <w:p w14:paraId="67AB8897" w14:textId="77777777" w:rsidR="007200DC" w:rsidRDefault="007200DC" w:rsidP="00AF6662">
            <w:pPr>
              <w:numPr>
                <w:ilvl w:val="0"/>
                <w:numId w:val="27"/>
              </w:numPr>
              <w:jc w:val="left"/>
              <w:rPr>
                <w:rFonts w:cs="Calibri"/>
                <w:b/>
                <w:i/>
                <w:szCs w:val="20"/>
              </w:rPr>
            </w:pPr>
            <w:r w:rsidRPr="00CF6FBE">
              <w:rPr>
                <w:rFonts w:cs="Calibri"/>
                <w:b/>
                <w:i/>
                <w:szCs w:val="20"/>
              </w:rPr>
              <w:t>At any step after [step 5], the Counterparty may optionally choose to Forward this Business Process to another Competent Institution within its MS who assumes responsibility for handling it</w:t>
            </w:r>
            <w:r w:rsidR="00D675CC">
              <w:rPr>
                <w:rFonts w:cs="Calibri"/>
                <w:b/>
                <w:i/>
                <w:szCs w:val="20"/>
              </w:rPr>
              <w:t>.</w:t>
            </w:r>
          </w:p>
          <w:p w14:paraId="52497C90" w14:textId="77777777" w:rsidR="00D675CC" w:rsidRPr="00CF6FBE" w:rsidRDefault="00D675CC" w:rsidP="00CF6FBE">
            <w:pPr>
              <w:jc w:val="left"/>
              <w:rPr>
                <w:rFonts w:cs="Calibri"/>
                <w:b/>
                <w:i/>
                <w:szCs w:val="20"/>
              </w:rPr>
            </w:pPr>
          </w:p>
          <w:p w14:paraId="4D87BE9B" w14:textId="73D6E680" w:rsidR="00D675CC" w:rsidRPr="00CF6FBE" w:rsidRDefault="007200DC" w:rsidP="00CF6FBE">
            <w:pPr>
              <w:pStyle w:val="Hints"/>
              <w:numPr>
                <w:ilvl w:val="0"/>
                <w:numId w:val="49"/>
              </w:numPr>
              <w:rPr>
                <w:rFonts w:cs="Calibri"/>
                <w:color w:val="auto"/>
              </w:rPr>
            </w:pPr>
            <w:r w:rsidRPr="00CF6FBE">
              <w:rPr>
                <w:rFonts w:ascii="Verdana" w:hAnsi="Verdana" w:cs="Calibri"/>
                <w:color w:val="auto"/>
              </w:rPr>
              <w:t xml:space="preserve">The Counterparty executes business use case </w:t>
            </w:r>
            <w:r w:rsidRPr="00CF6FBE">
              <w:rPr>
                <w:rFonts w:ascii="Verdana" w:hAnsi="Verdana" w:cs="Calibri"/>
                <w:b/>
                <w:i/>
                <w:color w:val="auto"/>
              </w:rPr>
              <w:t>AD_BUC_05 - Forward Case;</w:t>
            </w:r>
          </w:p>
          <w:p w14:paraId="3EAF3C25" w14:textId="76DFE101" w:rsidR="007200DC" w:rsidRPr="00CF6FBE" w:rsidRDefault="00D675CC" w:rsidP="00CF6FBE">
            <w:pPr>
              <w:pStyle w:val="Hints"/>
              <w:numPr>
                <w:ilvl w:val="0"/>
                <w:numId w:val="49"/>
              </w:numPr>
              <w:rPr>
                <w:rFonts w:ascii="Verdana" w:hAnsi="Verdana" w:cs="Calibri"/>
                <w:color w:val="auto"/>
              </w:rPr>
            </w:pPr>
            <w:r w:rsidRPr="00CF6FBE">
              <w:rPr>
                <w:rFonts w:ascii="Verdana" w:hAnsi="Verdana"/>
              </w:rPr>
              <w:t>[This Branch] Ends.</w:t>
            </w:r>
          </w:p>
          <w:p w14:paraId="0D5A484F" w14:textId="1655C09A" w:rsidR="007200DC" w:rsidRPr="00CF6FBE" w:rsidRDefault="007200DC" w:rsidP="00D675CC">
            <w:pPr>
              <w:jc w:val="left"/>
              <w:rPr>
                <w:rFonts w:cs="Calibri"/>
                <w:color w:val="000000"/>
                <w:szCs w:val="20"/>
                <w:highlight w:val="yellow"/>
              </w:rPr>
            </w:pPr>
          </w:p>
        </w:tc>
      </w:tr>
      <w:tr w:rsidR="007200DC" w:rsidRPr="00AD4709" w14:paraId="314EE810" w14:textId="77777777" w:rsidTr="000A1067">
        <w:tc>
          <w:tcPr>
            <w:tcW w:w="2518" w:type="dxa"/>
            <w:gridSpan w:val="2"/>
            <w:vMerge/>
          </w:tcPr>
          <w:p w14:paraId="781A5856" w14:textId="683C92FD" w:rsidR="007200DC" w:rsidRPr="00CF6FBE" w:rsidRDefault="007200DC" w:rsidP="000A1067">
            <w:pPr>
              <w:jc w:val="right"/>
              <w:rPr>
                <w:rFonts w:cs="Calibri"/>
                <w:b/>
                <w:szCs w:val="20"/>
              </w:rPr>
            </w:pPr>
          </w:p>
        </w:tc>
        <w:tc>
          <w:tcPr>
            <w:tcW w:w="7220" w:type="dxa"/>
            <w:gridSpan w:val="3"/>
          </w:tcPr>
          <w:p w14:paraId="315E3215" w14:textId="6673D6FA" w:rsidR="007200DC" w:rsidRPr="00CF6FBE" w:rsidRDefault="007200DC" w:rsidP="0015576B">
            <w:pPr>
              <w:numPr>
                <w:ilvl w:val="0"/>
                <w:numId w:val="27"/>
              </w:numPr>
              <w:jc w:val="left"/>
              <w:rPr>
                <w:rFonts w:cs="Calibri"/>
                <w:b/>
                <w:i/>
                <w:szCs w:val="20"/>
              </w:rPr>
            </w:pPr>
            <w:r w:rsidRPr="00CF6FBE">
              <w:rPr>
                <w:rFonts w:cs="Calibri"/>
                <w:b/>
                <w:i/>
                <w:szCs w:val="20"/>
              </w:rPr>
              <w:t>Between [step 5] and [step 6], the Counterparty may optionally choose to Reject the SED DA053 received.</w:t>
            </w:r>
          </w:p>
          <w:p w14:paraId="5BD21127" w14:textId="77777777" w:rsidR="007200DC" w:rsidRPr="00CF6FBE" w:rsidRDefault="007200DC" w:rsidP="002F5B61">
            <w:pPr>
              <w:jc w:val="left"/>
              <w:rPr>
                <w:rFonts w:cs="Calibri"/>
                <w:b/>
                <w:i/>
                <w:szCs w:val="20"/>
              </w:rPr>
            </w:pPr>
          </w:p>
          <w:p w14:paraId="384AD02A" w14:textId="72CA9069" w:rsidR="00D675CC" w:rsidRPr="00CF6FBE" w:rsidRDefault="007200DC" w:rsidP="00CF6FBE">
            <w:pPr>
              <w:pStyle w:val="Hints"/>
              <w:numPr>
                <w:ilvl w:val="0"/>
                <w:numId w:val="55"/>
              </w:numPr>
              <w:rPr>
                <w:rFonts w:cs="Calibri"/>
                <w:color w:val="auto"/>
              </w:rPr>
            </w:pPr>
            <w:r w:rsidRPr="00CF6FBE">
              <w:rPr>
                <w:rFonts w:ascii="Verdana" w:hAnsi="Verdana" w:cs="Calibri"/>
                <w:color w:val="auto"/>
              </w:rPr>
              <w:t xml:space="preserve">The Counterparty executes business use case </w:t>
            </w:r>
            <w:r w:rsidRPr="00CF6FBE">
              <w:rPr>
                <w:rFonts w:ascii="Verdana" w:hAnsi="Verdana" w:cs="Calibri"/>
                <w:b/>
                <w:i/>
                <w:color w:val="auto"/>
              </w:rPr>
              <w:t>AD_BUC_09 - Reject;</w:t>
            </w:r>
          </w:p>
          <w:p w14:paraId="07A645C2" w14:textId="6255C3E7" w:rsidR="007200DC" w:rsidRPr="00CF6FBE" w:rsidRDefault="00D675CC" w:rsidP="00CF6FBE">
            <w:pPr>
              <w:pStyle w:val="Hints"/>
              <w:numPr>
                <w:ilvl w:val="0"/>
                <w:numId w:val="55"/>
              </w:numPr>
              <w:rPr>
                <w:rFonts w:ascii="Verdana" w:hAnsi="Verdana" w:cs="Calibri"/>
                <w:color w:val="auto"/>
              </w:rPr>
            </w:pPr>
            <w:r w:rsidRPr="00CF6FBE">
              <w:rPr>
                <w:rFonts w:ascii="Verdana" w:hAnsi="Verdana"/>
              </w:rPr>
              <w:t>[This Branch] Ends.</w:t>
            </w:r>
          </w:p>
          <w:p w14:paraId="24E8FA35" w14:textId="6012FC63" w:rsidR="007200DC" w:rsidRPr="00CF6FBE" w:rsidRDefault="007200DC" w:rsidP="002F5B61">
            <w:pPr>
              <w:jc w:val="left"/>
              <w:rPr>
                <w:rFonts w:cs="Calibri"/>
                <w:b/>
                <w:i/>
                <w:szCs w:val="20"/>
              </w:rPr>
            </w:pPr>
          </w:p>
          <w:p w14:paraId="25BBD108" w14:textId="77777777" w:rsidR="007200DC" w:rsidRPr="00CF6FBE" w:rsidRDefault="007200DC" w:rsidP="00037423">
            <w:pPr>
              <w:rPr>
                <w:rFonts w:cs="Calibri"/>
                <w:szCs w:val="20"/>
              </w:rPr>
            </w:pPr>
          </w:p>
        </w:tc>
      </w:tr>
      <w:tr w:rsidR="006333E1" w:rsidRPr="00AD4709" w14:paraId="34590165" w14:textId="77777777" w:rsidTr="000A1067">
        <w:tc>
          <w:tcPr>
            <w:tcW w:w="2518" w:type="dxa"/>
            <w:gridSpan w:val="2"/>
            <w:vMerge w:val="restart"/>
          </w:tcPr>
          <w:p w14:paraId="1D24D354" w14:textId="77777777" w:rsidR="006333E1" w:rsidRPr="00CF6FBE" w:rsidRDefault="006333E1" w:rsidP="000A1067">
            <w:pPr>
              <w:jc w:val="right"/>
              <w:rPr>
                <w:rFonts w:cs="Calibri"/>
                <w:b/>
                <w:szCs w:val="20"/>
              </w:rPr>
            </w:pPr>
          </w:p>
        </w:tc>
        <w:tc>
          <w:tcPr>
            <w:tcW w:w="7220" w:type="dxa"/>
            <w:gridSpan w:val="3"/>
          </w:tcPr>
          <w:p w14:paraId="5955C3E6" w14:textId="406E7BB4" w:rsidR="006333E1" w:rsidRPr="00CF6FBE" w:rsidRDefault="006333E1" w:rsidP="006333E1">
            <w:pPr>
              <w:numPr>
                <w:ilvl w:val="0"/>
                <w:numId w:val="27"/>
              </w:numPr>
              <w:jc w:val="left"/>
              <w:rPr>
                <w:rFonts w:cs="Calibri"/>
                <w:b/>
                <w:i/>
                <w:szCs w:val="20"/>
              </w:rPr>
            </w:pPr>
            <w:r w:rsidRPr="00CF6FBE">
              <w:rPr>
                <w:rFonts w:cs="Calibri"/>
                <w:b/>
                <w:i/>
                <w:szCs w:val="20"/>
              </w:rPr>
              <w:t xml:space="preserve">Between [step 5] and [step 6], the Counterparty may optionally </w:t>
            </w:r>
            <w:r>
              <w:rPr>
                <w:rFonts w:cs="Calibri"/>
                <w:b/>
                <w:i/>
                <w:szCs w:val="20"/>
              </w:rPr>
              <w:t>request a clarification from the SED (DA053) received.</w:t>
            </w:r>
          </w:p>
          <w:p w14:paraId="4A492146" w14:textId="77777777" w:rsidR="006333E1" w:rsidRPr="00CF6FBE" w:rsidRDefault="006333E1" w:rsidP="006333E1">
            <w:pPr>
              <w:jc w:val="left"/>
              <w:rPr>
                <w:rFonts w:cs="Calibri"/>
                <w:b/>
                <w:i/>
                <w:szCs w:val="20"/>
              </w:rPr>
            </w:pPr>
          </w:p>
          <w:p w14:paraId="728E68A5" w14:textId="3499FCDA" w:rsidR="006333E1" w:rsidRPr="00CF6FBE" w:rsidRDefault="006333E1" w:rsidP="007C4B77">
            <w:pPr>
              <w:pStyle w:val="Hints"/>
              <w:numPr>
                <w:ilvl w:val="0"/>
                <w:numId w:val="57"/>
              </w:numPr>
              <w:rPr>
                <w:rFonts w:cs="Calibri"/>
                <w:color w:val="auto"/>
              </w:rPr>
            </w:pPr>
            <w:r w:rsidRPr="00CF6FBE">
              <w:rPr>
                <w:rFonts w:ascii="Verdana" w:hAnsi="Verdana" w:cs="Calibri"/>
                <w:color w:val="auto"/>
              </w:rPr>
              <w:t xml:space="preserve">The Counterparty executes business use case </w:t>
            </w:r>
            <w:r w:rsidRPr="00CF6FBE">
              <w:rPr>
                <w:rFonts w:ascii="Verdana" w:hAnsi="Verdana" w:cs="Calibri"/>
                <w:b/>
                <w:i/>
                <w:color w:val="auto"/>
              </w:rPr>
              <w:t>AD_BUC_0</w:t>
            </w:r>
            <w:r>
              <w:rPr>
                <w:rFonts w:ascii="Verdana" w:hAnsi="Verdana" w:cs="Calibri"/>
                <w:b/>
                <w:i/>
                <w:color w:val="auto"/>
              </w:rPr>
              <w:t>8</w:t>
            </w:r>
            <w:r w:rsidRPr="00CF6FBE">
              <w:rPr>
                <w:rFonts w:ascii="Verdana" w:hAnsi="Verdana" w:cs="Calibri"/>
                <w:b/>
                <w:i/>
                <w:color w:val="auto"/>
              </w:rPr>
              <w:t xml:space="preserve"> </w:t>
            </w:r>
            <w:r>
              <w:rPr>
                <w:rFonts w:ascii="Verdana" w:hAnsi="Verdana" w:cs="Calibri"/>
                <w:b/>
                <w:i/>
                <w:color w:val="auto"/>
              </w:rPr>
              <w:t>–</w:t>
            </w:r>
            <w:r w:rsidRPr="00CF6FBE">
              <w:rPr>
                <w:rFonts w:ascii="Verdana" w:hAnsi="Verdana" w:cs="Calibri"/>
                <w:b/>
                <w:i/>
                <w:color w:val="auto"/>
              </w:rPr>
              <w:t xml:space="preserve"> </w:t>
            </w:r>
            <w:r>
              <w:rPr>
                <w:rFonts w:ascii="Verdana" w:hAnsi="Verdana" w:cs="Calibri"/>
                <w:b/>
                <w:i/>
                <w:color w:val="auto"/>
              </w:rPr>
              <w:t>Clarify SED</w:t>
            </w:r>
            <w:r w:rsidRPr="00CF6FBE">
              <w:rPr>
                <w:rFonts w:ascii="Verdana" w:hAnsi="Verdana" w:cs="Calibri"/>
                <w:b/>
                <w:i/>
                <w:color w:val="auto"/>
              </w:rPr>
              <w:t>;</w:t>
            </w:r>
          </w:p>
          <w:p w14:paraId="5C51898F" w14:textId="77777777" w:rsidR="006333E1" w:rsidRPr="00CF6FBE" w:rsidRDefault="006333E1" w:rsidP="007C4B77">
            <w:pPr>
              <w:pStyle w:val="Hints"/>
              <w:numPr>
                <w:ilvl w:val="0"/>
                <w:numId w:val="57"/>
              </w:numPr>
              <w:rPr>
                <w:rFonts w:ascii="Verdana" w:hAnsi="Verdana" w:cs="Calibri"/>
                <w:color w:val="auto"/>
              </w:rPr>
            </w:pPr>
            <w:r w:rsidRPr="00CF6FBE">
              <w:rPr>
                <w:rFonts w:ascii="Verdana" w:hAnsi="Verdana"/>
              </w:rPr>
              <w:t>[This Branch] Ends.</w:t>
            </w:r>
          </w:p>
          <w:p w14:paraId="28CBFA95" w14:textId="77777777" w:rsidR="006333E1" w:rsidRPr="00CF6FBE" w:rsidRDefault="006333E1" w:rsidP="00037423">
            <w:pPr>
              <w:rPr>
                <w:rFonts w:cs="Calibri"/>
                <w:szCs w:val="20"/>
              </w:rPr>
            </w:pPr>
          </w:p>
        </w:tc>
      </w:tr>
      <w:tr w:rsidR="006333E1" w:rsidRPr="00AD4709" w14:paraId="5857BA9B" w14:textId="77777777" w:rsidTr="00004C80">
        <w:trPr>
          <w:trHeight w:val="1531"/>
        </w:trPr>
        <w:tc>
          <w:tcPr>
            <w:tcW w:w="2518" w:type="dxa"/>
            <w:gridSpan w:val="2"/>
            <w:vMerge/>
          </w:tcPr>
          <w:p w14:paraId="0A42846A" w14:textId="77777777" w:rsidR="006333E1" w:rsidRPr="00CF6FBE" w:rsidRDefault="006333E1" w:rsidP="000A1067">
            <w:pPr>
              <w:jc w:val="right"/>
              <w:rPr>
                <w:rFonts w:cs="Calibri"/>
                <w:b/>
                <w:szCs w:val="20"/>
              </w:rPr>
            </w:pPr>
          </w:p>
        </w:tc>
        <w:tc>
          <w:tcPr>
            <w:tcW w:w="7220" w:type="dxa"/>
            <w:gridSpan w:val="3"/>
          </w:tcPr>
          <w:p w14:paraId="779BA27C" w14:textId="29030CDF" w:rsidR="006333E1" w:rsidRDefault="006333E1" w:rsidP="007C4B77">
            <w:pPr>
              <w:numPr>
                <w:ilvl w:val="0"/>
                <w:numId w:val="27"/>
              </w:numPr>
              <w:jc w:val="left"/>
              <w:rPr>
                <w:rFonts w:cs="Calibri"/>
                <w:b/>
                <w:i/>
                <w:szCs w:val="20"/>
              </w:rPr>
            </w:pPr>
            <w:r w:rsidRPr="006333E1">
              <w:rPr>
                <w:rFonts w:cs="Calibri"/>
                <w:b/>
                <w:i/>
                <w:szCs w:val="20"/>
              </w:rPr>
              <w:t xml:space="preserve">After [step 8], the Case Owner may  optionally </w:t>
            </w:r>
            <w:r w:rsidRPr="008C5268">
              <w:rPr>
                <w:rFonts w:cs="Calibri"/>
                <w:b/>
                <w:i/>
                <w:szCs w:val="20"/>
              </w:rPr>
              <w:t>request a clarification from the SED (DA054) received.</w:t>
            </w:r>
          </w:p>
          <w:p w14:paraId="7511A186" w14:textId="77777777" w:rsidR="006333E1" w:rsidRPr="006333E1" w:rsidRDefault="006333E1" w:rsidP="006333E1">
            <w:pPr>
              <w:jc w:val="left"/>
              <w:rPr>
                <w:rFonts w:cs="Calibri"/>
                <w:b/>
                <w:i/>
                <w:szCs w:val="20"/>
              </w:rPr>
            </w:pPr>
          </w:p>
          <w:p w14:paraId="28B56429" w14:textId="06A38B40" w:rsidR="006333E1" w:rsidRPr="00CF6FBE" w:rsidRDefault="006333E1" w:rsidP="007C4B77">
            <w:pPr>
              <w:pStyle w:val="Hints"/>
              <w:numPr>
                <w:ilvl w:val="0"/>
                <w:numId w:val="58"/>
              </w:numPr>
              <w:rPr>
                <w:rFonts w:cs="Calibri"/>
                <w:color w:val="auto"/>
              </w:rPr>
            </w:pPr>
            <w:r w:rsidRPr="00CF6FBE">
              <w:rPr>
                <w:rFonts w:ascii="Verdana" w:hAnsi="Verdana" w:cs="Calibri"/>
                <w:color w:val="auto"/>
              </w:rPr>
              <w:t>The C</w:t>
            </w:r>
            <w:r>
              <w:rPr>
                <w:rFonts w:ascii="Verdana" w:hAnsi="Verdana" w:cs="Calibri"/>
                <w:color w:val="auto"/>
              </w:rPr>
              <w:t>ase Owner</w:t>
            </w:r>
            <w:r w:rsidRPr="00CF6FBE">
              <w:rPr>
                <w:rFonts w:ascii="Verdana" w:hAnsi="Verdana" w:cs="Calibri"/>
                <w:color w:val="auto"/>
              </w:rPr>
              <w:t xml:space="preserve"> executes business use case </w:t>
            </w:r>
            <w:r w:rsidRPr="00CF6FBE">
              <w:rPr>
                <w:rFonts w:ascii="Verdana" w:hAnsi="Verdana" w:cs="Calibri"/>
                <w:b/>
                <w:i/>
                <w:color w:val="auto"/>
              </w:rPr>
              <w:t>AD_BUC_0</w:t>
            </w:r>
            <w:r>
              <w:rPr>
                <w:rFonts w:ascii="Verdana" w:hAnsi="Verdana" w:cs="Calibri"/>
                <w:b/>
                <w:i/>
                <w:color w:val="auto"/>
              </w:rPr>
              <w:t>8</w:t>
            </w:r>
            <w:r w:rsidRPr="00CF6FBE">
              <w:rPr>
                <w:rFonts w:ascii="Verdana" w:hAnsi="Verdana" w:cs="Calibri"/>
                <w:b/>
                <w:i/>
                <w:color w:val="auto"/>
              </w:rPr>
              <w:t xml:space="preserve"> </w:t>
            </w:r>
            <w:r>
              <w:rPr>
                <w:rFonts w:ascii="Verdana" w:hAnsi="Verdana" w:cs="Calibri"/>
                <w:b/>
                <w:i/>
                <w:color w:val="auto"/>
              </w:rPr>
              <w:t>–</w:t>
            </w:r>
            <w:r w:rsidRPr="00CF6FBE">
              <w:rPr>
                <w:rFonts w:ascii="Verdana" w:hAnsi="Verdana" w:cs="Calibri"/>
                <w:b/>
                <w:i/>
                <w:color w:val="auto"/>
              </w:rPr>
              <w:t xml:space="preserve"> </w:t>
            </w:r>
            <w:r>
              <w:rPr>
                <w:rFonts w:ascii="Verdana" w:hAnsi="Verdana" w:cs="Calibri"/>
                <w:b/>
                <w:i/>
                <w:color w:val="auto"/>
              </w:rPr>
              <w:t>Clarify SED</w:t>
            </w:r>
            <w:r w:rsidRPr="00CF6FBE">
              <w:rPr>
                <w:rFonts w:ascii="Verdana" w:hAnsi="Verdana" w:cs="Calibri"/>
                <w:b/>
                <w:i/>
                <w:color w:val="auto"/>
              </w:rPr>
              <w:t>;</w:t>
            </w:r>
          </w:p>
          <w:p w14:paraId="51D04F23" w14:textId="77777777" w:rsidR="006333E1" w:rsidRPr="00CF6FBE" w:rsidRDefault="006333E1" w:rsidP="007C4B77">
            <w:pPr>
              <w:pStyle w:val="Hints"/>
              <w:numPr>
                <w:ilvl w:val="0"/>
                <w:numId w:val="58"/>
              </w:numPr>
              <w:rPr>
                <w:rFonts w:ascii="Verdana" w:hAnsi="Verdana" w:cs="Calibri"/>
                <w:color w:val="auto"/>
              </w:rPr>
            </w:pPr>
            <w:r w:rsidRPr="00CF6FBE">
              <w:rPr>
                <w:rFonts w:ascii="Verdana" w:hAnsi="Verdana"/>
              </w:rPr>
              <w:t>[This Branch] Ends.</w:t>
            </w:r>
          </w:p>
          <w:p w14:paraId="34DE89C3" w14:textId="77777777" w:rsidR="006333E1" w:rsidRPr="00CF6FBE" w:rsidRDefault="006333E1" w:rsidP="00037423">
            <w:pPr>
              <w:rPr>
                <w:rFonts w:cs="Calibri"/>
                <w:szCs w:val="20"/>
              </w:rPr>
            </w:pPr>
          </w:p>
        </w:tc>
      </w:tr>
      <w:tr w:rsidR="006333E1" w:rsidRPr="00AD4709" w14:paraId="626E8D5E" w14:textId="77777777" w:rsidTr="000A1067">
        <w:tc>
          <w:tcPr>
            <w:tcW w:w="2518" w:type="dxa"/>
            <w:gridSpan w:val="2"/>
            <w:vMerge/>
          </w:tcPr>
          <w:p w14:paraId="1B6C2D5D" w14:textId="77777777" w:rsidR="006333E1" w:rsidRPr="00CF6FBE" w:rsidRDefault="006333E1" w:rsidP="000A1067">
            <w:pPr>
              <w:jc w:val="right"/>
              <w:rPr>
                <w:rFonts w:cs="Calibri"/>
                <w:b/>
                <w:szCs w:val="20"/>
              </w:rPr>
            </w:pPr>
          </w:p>
        </w:tc>
        <w:tc>
          <w:tcPr>
            <w:tcW w:w="7220" w:type="dxa"/>
            <w:gridSpan w:val="3"/>
          </w:tcPr>
          <w:p w14:paraId="3334A18F" w14:textId="5B480424" w:rsidR="00915D3C" w:rsidRDefault="00915D3C" w:rsidP="006333E1">
            <w:pPr>
              <w:numPr>
                <w:ilvl w:val="0"/>
                <w:numId w:val="27"/>
              </w:numPr>
              <w:jc w:val="left"/>
              <w:rPr>
                <w:rFonts w:cs="Calibri"/>
                <w:b/>
                <w:i/>
                <w:szCs w:val="20"/>
              </w:rPr>
            </w:pPr>
            <w:r>
              <w:rPr>
                <w:rFonts w:cs="Calibri"/>
                <w:b/>
                <w:i/>
                <w:szCs w:val="20"/>
              </w:rPr>
              <w:t>Deleted</w:t>
            </w:r>
          </w:p>
          <w:p w14:paraId="20150BB3" w14:textId="77777777" w:rsidR="006333E1" w:rsidRPr="00CF6FBE" w:rsidRDefault="006333E1" w:rsidP="00004C80">
            <w:pPr>
              <w:pStyle w:val="Hints"/>
              <w:ind w:left="720"/>
              <w:rPr>
                <w:rFonts w:cs="Calibri"/>
              </w:rPr>
            </w:pPr>
          </w:p>
        </w:tc>
      </w:tr>
      <w:tr w:rsidR="002775D8" w:rsidRPr="00AD4709" w14:paraId="2B0964EB" w14:textId="77777777" w:rsidTr="000A1067">
        <w:tc>
          <w:tcPr>
            <w:tcW w:w="2518" w:type="dxa"/>
            <w:gridSpan w:val="2"/>
          </w:tcPr>
          <w:p w14:paraId="1889D076" w14:textId="39C126B9" w:rsidR="002775D8" w:rsidRPr="00CF6FBE" w:rsidRDefault="002775D8" w:rsidP="000A1067">
            <w:pPr>
              <w:jc w:val="right"/>
              <w:rPr>
                <w:rFonts w:cs="Calibri"/>
                <w:b/>
                <w:szCs w:val="20"/>
              </w:rPr>
            </w:pPr>
            <w:r w:rsidRPr="00CF6FBE">
              <w:rPr>
                <w:rFonts w:cs="Calibri"/>
                <w:b/>
                <w:szCs w:val="20"/>
              </w:rPr>
              <w:t>Exceptions:</w:t>
            </w:r>
          </w:p>
        </w:tc>
        <w:tc>
          <w:tcPr>
            <w:tcW w:w="7220" w:type="dxa"/>
            <w:gridSpan w:val="3"/>
          </w:tcPr>
          <w:p w14:paraId="7A0EF63C" w14:textId="503B58FE" w:rsidR="002775D8" w:rsidRPr="00CF6FBE" w:rsidRDefault="002775D8" w:rsidP="00037423">
            <w:pPr>
              <w:rPr>
                <w:rFonts w:cs="Calibri"/>
                <w:szCs w:val="20"/>
              </w:rPr>
            </w:pPr>
            <w:r w:rsidRPr="00CF6FBE">
              <w:rPr>
                <w:rFonts w:cs="Calibri"/>
                <w:szCs w:val="20"/>
              </w:rPr>
              <w:t>None</w:t>
            </w:r>
          </w:p>
        </w:tc>
      </w:tr>
      <w:tr w:rsidR="00037423" w:rsidRPr="00AD4709" w14:paraId="776B1874" w14:textId="77777777" w:rsidTr="000A1067">
        <w:tc>
          <w:tcPr>
            <w:tcW w:w="2518" w:type="dxa"/>
            <w:gridSpan w:val="2"/>
          </w:tcPr>
          <w:p w14:paraId="0C5A30F7" w14:textId="77777777" w:rsidR="00037423" w:rsidRPr="00CF6FBE" w:rsidRDefault="00037423" w:rsidP="000A1067">
            <w:pPr>
              <w:jc w:val="right"/>
              <w:rPr>
                <w:rFonts w:cs="Calibri"/>
                <w:b/>
                <w:szCs w:val="20"/>
              </w:rPr>
            </w:pPr>
            <w:r w:rsidRPr="00CF6FBE">
              <w:rPr>
                <w:rFonts w:cs="Calibri"/>
                <w:b/>
                <w:szCs w:val="20"/>
              </w:rPr>
              <w:t>Includes:</w:t>
            </w:r>
          </w:p>
        </w:tc>
        <w:tc>
          <w:tcPr>
            <w:tcW w:w="7220" w:type="dxa"/>
            <w:gridSpan w:val="3"/>
          </w:tcPr>
          <w:p w14:paraId="7B1533A4" w14:textId="695CA845" w:rsidR="00037423" w:rsidRPr="00CF6FBE" w:rsidRDefault="00037423" w:rsidP="00037423">
            <w:pPr>
              <w:rPr>
                <w:rFonts w:cs="Calibri"/>
                <w:szCs w:val="20"/>
              </w:rPr>
            </w:pPr>
            <w:r w:rsidRPr="00CF6FBE">
              <w:rPr>
                <w:rFonts w:cs="Calibri"/>
                <w:szCs w:val="20"/>
              </w:rPr>
              <w:t>See diagram at part 4.4</w:t>
            </w:r>
          </w:p>
        </w:tc>
      </w:tr>
      <w:tr w:rsidR="00037423" w:rsidRPr="00AD4709" w14:paraId="712B2B7D" w14:textId="77777777" w:rsidTr="000A1067">
        <w:tc>
          <w:tcPr>
            <w:tcW w:w="2518" w:type="dxa"/>
            <w:gridSpan w:val="2"/>
          </w:tcPr>
          <w:p w14:paraId="5457F96E" w14:textId="1E90D183" w:rsidR="00037423" w:rsidRPr="00CF6FBE" w:rsidRDefault="00037423" w:rsidP="000A1067">
            <w:pPr>
              <w:jc w:val="right"/>
              <w:rPr>
                <w:rFonts w:cs="Calibri"/>
                <w:b/>
                <w:szCs w:val="20"/>
              </w:rPr>
            </w:pPr>
            <w:r w:rsidRPr="00CF6FBE">
              <w:rPr>
                <w:rFonts w:cs="Calibri"/>
                <w:b/>
                <w:szCs w:val="20"/>
              </w:rPr>
              <w:t>Special Requirements:</w:t>
            </w:r>
          </w:p>
        </w:tc>
        <w:tc>
          <w:tcPr>
            <w:tcW w:w="7220" w:type="dxa"/>
            <w:gridSpan w:val="3"/>
          </w:tcPr>
          <w:p w14:paraId="387EE7DB" w14:textId="77777777" w:rsidR="00037423" w:rsidRPr="00CF6FBE" w:rsidRDefault="00037423" w:rsidP="00037423">
            <w:pPr>
              <w:rPr>
                <w:rFonts w:cs="Calibri"/>
                <w:szCs w:val="20"/>
              </w:rPr>
            </w:pPr>
            <w:r w:rsidRPr="00CF6FBE">
              <w:rPr>
                <w:rFonts w:cs="Calibri"/>
                <w:b/>
                <w:szCs w:val="20"/>
              </w:rPr>
              <w:t xml:space="preserve">SR0 : </w:t>
            </w:r>
            <w:r w:rsidRPr="00CF6FBE">
              <w:rPr>
                <w:rFonts w:cs="Calibri"/>
                <w:szCs w:val="20"/>
              </w:rPr>
              <w:t>General Rule</w:t>
            </w:r>
          </w:p>
          <w:p w14:paraId="779193D9" w14:textId="77777777" w:rsidR="00037423" w:rsidRPr="00CF6FBE" w:rsidRDefault="00037423" w:rsidP="00037423">
            <w:pPr>
              <w:rPr>
                <w:rFonts w:cs="Calibri"/>
                <w:szCs w:val="20"/>
              </w:rPr>
            </w:pPr>
            <w:r w:rsidRPr="00CF6FBE">
              <w:rPr>
                <w:rFonts w:cs="Calibri"/>
                <w:szCs w:val="20"/>
              </w:rPr>
              <w:t>As the request is individualised the case can concern only one person.</w:t>
            </w:r>
          </w:p>
          <w:p w14:paraId="26E1DD20" w14:textId="77777777" w:rsidR="00037423" w:rsidRPr="00CF6FBE" w:rsidRDefault="00037423" w:rsidP="00037423">
            <w:pPr>
              <w:rPr>
                <w:rFonts w:cs="Calibri"/>
                <w:szCs w:val="20"/>
              </w:rPr>
            </w:pPr>
          </w:p>
          <w:p w14:paraId="41ECE0AD" w14:textId="77777777" w:rsidR="00037423" w:rsidRPr="00CF6FBE" w:rsidRDefault="00037423" w:rsidP="00037423">
            <w:pPr>
              <w:rPr>
                <w:rFonts w:cs="Calibri"/>
                <w:szCs w:val="20"/>
              </w:rPr>
            </w:pPr>
            <w:r w:rsidRPr="00CF6FBE">
              <w:rPr>
                <w:rFonts w:cs="Calibri"/>
                <w:b/>
                <w:szCs w:val="20"/>
              </w:rPr>
              <w:t>SR1</w:t>
            </w:r>
            <w:r w:rsidRPr="00CF6FBE">
              <w:rPr>
                <w:rFonts w:cs="Calibri"/>
                <w:szCs w:val="20"/>
              </w:rPr>
              <w:t>: Rules about the invoking of Branches:</w:t>
            </w:r>
          </w:p>
          <w:p w14:paraId="2B729D57" w14:textId="772CC3E4" w:rsidR="0087576A" w:rsidRPr="00CF6FBE" w:rsidRDefault="0087576A" w:rsidP="00037423">
            <w:pPr>
              <w:rPr>
                <w:rFonts w:cs="Calibri"/>
                <w:szCs w:val="20"/>
                <w:u w:val="single"/>
              </w:rPr>
            </w:pPr>
            <w:r w:rsidRPr="00CF6FBE">
              <w:rPr>
                <w:rFonts w:cs="Calibri"/>
                <w:szCs w:val="20"/>
                <w:u w:val="single"/>
              </w:rPr>
              <w:lastRenderedPageBreak/>
              <w:t>[Branch 1] – May be invoked once</w:t>
            </w:r>
          </w:p>
          <w:p w14:paraId="670AEF5D" w14:textId="77777777" w:rsidR="0087576A" w:rsidRPr="00CF6FBE" w:rsidRDefault="0087576A" w:rsidP="00037423">
            <w:pPr>
              <w:rPr>
                <w:rFonts w:cs="Calibri"/>
                <w:szCs w:val="20"/>
                <w:u w:val="single"/>
              </w:rPr>
            </w:pPr>
          </w:p>
          <w:p w14:paraId="377434B3" w14:textId="77777777" w:rsidR="00037423" w:rsidRPr="00CF6FBE" w:rsidRDefault="00037423" w:rsidP="00037423">
            <w:pPr>
              <w:rPr>
                <w:rFonts w:cs="Calibri"/>
                <w:szCs w:val="20"/>
                <w:u w:val="single"/>
              </w:rPr>
            </w:pPr>
            <w:r w:rsidRPr="00CF6FBE">
              <w:rPr>
                <w:rFonts w:cs="Calibri"/>
                <w:szCs w:val="20"/>
                <w:u w:val="single"/>
              </w:rPr>
              <w:t>Horizontal</w:t>
            </w:r>
          </w:p>
          <w:p w14:paraId="0016876E" w14:textId="03BAE0AD" w:rsidR="00037423" w:rsidRPr="00CF6FBE" w:rsidRDefault="00037423" w:rsidP="00037423">
            <w:pPr>
              <w:rPr>
                <w:rFonts w:cs="Calibri"/>
                <w:szCs w:val="20"/>
              </w:rPr>
            </w:pPr>
            <w:r w:rsidRPr="00CF6FBE">
              <w:rPr>
                <w:rFonts w:cs="Calibri"/>
                <w:szCs w:val="20"/>
              </w:rPr>
              <w:t xml:space="preserve">[Branch </w:t>
            </w:r>
            <w:r w:rsidR="0087576A" w:rsidRPr="00CF6FBE">
              <w:rPr>
                <w:rFonts w:cs="Calibri"/>
                <w:szCs w:val="20"/>
              </w:rPr>
              <w:t>2</w:t>
            </w:r>
            <w:r w:rsidRPr="00CF6FBE">
              <w:rPr>
                <w:rFonts w:cs="Calibri"/>
                <w:szCs w:val="20"/>
              </w:rPr>
              <w:t>] – May be invoked more than once</w:t>
            </w:r>
          </w:p>
          <w:p w14:paraId="7B56369D" w14:textId="334A014C" w:rsidR="00037423" w:rsidRPr="00CF6FBE" w:rsidRDefault="00037423" w:rsidP="00037423">
            <w:pPr>
              <w:rPr>
                <w:rFonts w:cs="Calibri"/>
                <w:szCs w:val="20"/>
              </w:rPr>
            </w:pPr>
            <w:r w:rsidRPr="00CF6FBE">
              <w:rPr>
                <w:rFonts w:cs="Calibri"/>
                <w:szCs w:val="20"/>
              </w:rPr>
              <w:t xml:space="preserve">[Branch </w:t>
            </w:r>
            <w:r w:rsidR="0087576A" w:rsidRPr="00CF6FBE">
              <w:rPr>
                <w:rFonts w:cs="Calibri"/>
                <w:szCs w:val="20"/>
              </w:rPr>
              <w:t>3</w:t>
            </w:r>
            <w:r w:rsidRPr="00CF6FBE">
              <w:rPr>
                <w:rFonts w:cs="Calibri"/>
                <w:szCs w:val="20"/>
              </w:rPr>
              <w:t>] – May be invoked more than once</w:t>
            </w:r>
          </w:p>
          <w:p w14:paraId="60ADEDC7" w14:textId="77777777" w:rsidR="00037423" w:rsidRPr="00CF6FBE" w:rsidRDefault="00037423" w:rsidP="00037423">
            <w:pPr>
              <w:rPr>
                <w:rFonts w:cs="Calibri"/>
                <w:szCs w:val="20"/>
              </w:rPr>
            </w:pPr>
          </w:p>
          <w:p w14:paraId="0B87DE50" w14:textId="77777777" w:rsidR="00037423" w:rsidRPr="00CF6FBE" w:rsidRDefault="00037423" w:rsidP="00037423">
            <w:pPr>
              <w:rPr>
                <w:rFonts w:cs="Calibri"/>
                <w:szCs w:val="20"/>
                <w:u w:val="single"/>
              </w:rPr>
            </w:pPr>
            <w:r w:rsidRPr="00CF6FBE">
              <w:rPr>
                <w:rFonts w:cs="Calibri"/>
                <w:szCs w:val="20"/>
                <w:u w:val="single"/>
              </w:rPr>
              <w:t>Administrative</w:t>
            </w:r>
          </w:p>
          <w:p w14:paraId="01641F0D" w14:textId="3920A025" w:rsidR="00AF6662" w:rsidRPr="00CF6FBE" w:rsidRDefault="00037423" w:rsidP="00037423">
            <w:pPr>
              <w:rPr>
                <w:rFonts w:cs="Calibri"/>
                <w:szCs w:val="20"/>
              </w:rPr>
            </w:pPr>
            <w:r w:rsidRPr="00CF6FBE">
              <w:rPr>
                <w:rFonts w:cs="Calibri"/>
                <w:szCs w:val="20"/>
              </w:rPr>
              <w:t xml:space="preserve">[Branch </w:t>
            </w:r>
            <w:r w:rsidR="0087576A" w:rsidRPr="00CF6FBE">
              <w:rPr>
                <w:rFonts w:cs="Calibri"/>
                <w:szCs w:val="20"/>
              </w:rPr>
              <w:t>4</w:t>
            </w:r>
            <w:r w:rsidRPr="00CF6FBE">
              <w:rPr>
                <w:rFonts w:cs="Calibri"/>
                <w:szCs w:val="20"/>
              </w:rPr>
              <w:t xml:space="preserve">] – May be invoked </w:t>
            </w:r>
            <w:r w:rsidR="00AF6662" w:rsidRPr="00CF6FBE">
              <w:rPr>
                <w:rFonts w:cs="Calibri"/>
                <w:szCs w:val="20"/>
              </w:rPr>
              <w:t>more than once</w:t>
            </w:r>
          </w:p>
          <w:p w14:paraId="00732F77" w14:textId="33AC759F" w:rsidR="00AF6662" w:rsidRPr="00CF6FBE" w:rsidRDefault="00AF6662" w:rsidP="00AF6662">
            <w:pPr>
              <w:rPr>
                <w:rFonts w:cs="Calibri"/>
                <w:szCs w:val="20"/>
              </w:rPr>
            </w:pPr>
            <w:r w:rsidRPr="00CF6FBE">
              <w:rPr>
                <w:rFonts w:cs="Calibri"/>
                <w:szCs w:val="20"/>
              </w:rPr>
              <w:t xml:space="preserve">[Branch </w:t>
            </w:r>
            <w:r w:rsidR="0087576A" w:rsidRPr="00CF6FBE">
              <w:rPr>
                <w:rFonts w:cs="Calibri"/>
                <w:szCs w:val="20"/>
              </w:rPr>
              <w:t>5</w:t>
            </w:r>
            <w:r w:rsidRPr="00CF6FBE">
              <w:rPr>
                <w:rFonts w:cs="Calibri"/>
                <w:szCs w:val="20"/>
              </w:rPr>
              <w:t>] – May be invoked more than once</w:t>
            </w:r>
          </w:p>
          <w:p w14:paraId="2053D30D" w14:textId="7973FF8D" w:rsidR="00AF6662" w:rsidRPr="00CF6FBE" w:rsidRDefault="00037423" w:rsidP="00037423">
            <w:pPr>
              <w:rPr>
                <w:rFonts w:cs="Calibri"/>
                <w:szCs w:val="20"/>
              </w:rPr>
            </w:pPr>
            <w:r w:rsidRPr="00CF6FBE">
              <w:rPr>
                <w:rFonts w:cs="Calibri"/>
                <w:szCs w:val="20"/>
              </w:rPr>
              <w:t xml:space="preserve">[Branch </w:t>
            </w:r>
            <w:r w:rsidR="0087576A" w:rsidRPr="00CF6FBE">
              <w:rPr>
                <w:rFonts w:cs="Calibri"/>
                <w:szCs w:val="20"/>
              </w:rPr>
              <w:t>6</w:t>
            </w:r>
            <w:r w:rsidRPr="00CF6FBE">
              <w:rPr>
                <w:rFonts w:cs="Calibri"/>
                <w:szCs w:val="20"/>
              </w:rPr>
              <w:t xml:space="preserve">] – May be invoked </w:t>
            </w:r>
            <w:r w:rsidR="00AF6662" w:rsidRPr="00CF6FBE">
              <w:rPr>
                <w:rFonts w:cs="Calibri"/>
                <w:szCs w:val="20"/>
              </w:rPr>
              <w:t>once per SED</w:t>
            </w:r>
            <w:r w:rsidR="00DD3A72" w:rsidRPr="00CF6FBE">
              <w:rPr>
                <w:rFonts w:cs="Calibri"/>
                <w:szCs w:val="20"/>
              </w:rPr>
              <w:t xml:space="preserve"> </w:t>
            </w:r>
          </w:p>
          <w:p w14:paraId="0997538A" w14:textId="29B69BA1" w:rsidR="009C60DA" w:rsidRPr="00CF6FBE" w:rsidRDefault="00AF6662" w:rsidP="00037423">
            <w:pPr>
              <w:rPr>
                <w:rFonts w:cs="Calibri"/>
                <w:szCs w:val="20"/>
              </w:rPr>
            </w:pPr>
            <w:r w:rsidRPr="00CF6FBE">
              <w:rPr>
                <w:rFonts w:cs="Calibri"/>
                <w:szCs w:val="20"/>
              </w:rPr>
              <w:t>[</w:t>
            </w:r>
            <w:r w:rsidR="009C60DA" w:rsidRPr="00CF6FBE">
              <w:rPr>
                <w:rFonts w:cs="Calibri"/>
                <w:szCs w:val="20"/>
              </w:rPr>
              <w:t xml:space="preserve">Branch </w:t>
            </w:r>
            <w:r w:rsidR="0087576A" w:rsidRPr="00CF6FBE">
              <w:rPr>
                <w:rFonts w:cs="Calibri"/>
                <w:szCs w:val="20"/>
              </w:rPr>
              <w:t>8</w:t>
            </w:r>
            <w:r w:rsidR="009C60DA" w:rsidRPr="00CF6FBE">
              <w:rPr>
                <w:rFonts w:cs="Calibri"/>
                <w:szCs w:val="20"/>
              </w:rPr>
              <w:t>] – May be invoked once</w:t>
            </w:r>
            <w:r w:rsidRPr="00CF6FBE">
              <w:rPr>
                <w:rFonts w:cs="Calibri"/>
                <w:szCs w:val="20"/>
              </w:rPr>
              <w:t xml:space="preserve"> per SED</w:t>
            </w:r>
          </w:p>
          <w:p w14:paraId="427B8FA9" w14:textId="5D7D425C" w:rsidR="00B276EA" w:rsidRPr="00CF6FBE" w:rsidRDefault="00B276EA" w:rsidP="00037423">
            <w:pPr>
              <w:rPr>
                <w:rFonts w:cs="Calibri"/>
                <w:szCs w:val="20"/>
              </w:rPr>
            </w:pPr>
            <w:r w:rsidRPr="00CF6FBE">
              <w:rPr>
                <w:rFonts w:cs="Calibri"/>
                <w:szCs w:val="20"/>
              </w:rPr>
              <w:t xml:space="preserve">[Branch </w:t>
            </w:r>
            <w:r w:rsidR="0087576A" w:rsidRPr="00CF6FBE">
              <w:rPr>
                <w:rFonts w:cs="Calibri"/>
                <w:szCs w:val="20"/>
              </w:rPr>
              <w:t>9</w:t>
            </w:r>
            <w:r w:rsidRPr="00CF6FBE">
              <w:rPr>
                <w:rFonts w:cs="Calibri"/>
                <w:szCs w:val="20"/>
              </w:rPr>
              <w:t>] – May be invoked once</w:t>
            </w:r>
          </w:p>
          <w:p w14:paraId="515F9780" w14:textId="24987470" w:rsidR="00B276EA" w:rsidRDefault="0087576A" w:rsidP="00037423">
            <w:pPr>
              <w:rPr>
                <w:rFonts w:cs="Calibri"/>
                <w:szCs w:val="20"/>
              </w:rPr>
            </w:pPr>
            <w:r w:rsidRPr="00CF6FBE">
              <w:rPr>
                <w:rFonts w:cs="Calibri"/>
                <w:szCs w:val="20"/>
              </w:rPr>
              <w:t>[Branch 10] – May be invoked once and is an interrupting branch</w:t>
            </w:r>
          </w:p>
          <w:p w14:paraId="695C40F2" w14:textId="77777777" w:rsidR="00A00E66" w:rsidRDefault="00A00E66" w:rsidP="00037423">
            <w:pPr>
              <w:rPr>
                <w:rFonts w:cs="Calibri"/>
                <w:szCs w:val="20"/>
              </w:rPr>
            </w:pPr>
            <w:r>
              <w:rPr>
                <w:rFonts w:cs="Calibri"/>
                <w:szCs w:val="20"/>
              </w:rPr>
              <w:t>[Branch 11]- May be invoked more than once</w:t>
            </w:r>
          </w:p>
          <w:p w14:paraId="133468C5" w14:textId="5EC92B81" w:rsidR="00A00E66" w:rsidRDefault="00A00E66" w:rsidP="00037423">
            <w:pPr>
              <w:rPr>
                <w:rFonts w:cs="Calibri"/>
                <w:szCs w:val="20"/>
              </w:rPr>
            </w:pPr>
            <w:r>
              <w:rPr>
                <w:rFonts w:cs="Calibri"/>
                <w:szCs w:val="20"/>
              </w:rPr>
              <w:t>[Branch 12] – May be invoked more than once</w:t>
            </w:r>
          </w:p>
          <w:p w14:paraId="1C4461FD" w14:textId="77777777" w:rsidR="00037423" w:rsidRDefault="00037423" w:rsidP="00A554D4">
            <w:pPr>
              <w:rPr>
                <w:rFonts w:cs="Calibri"/>
                <w:szCs w:val="20"/>
                <w:highlight w:val="yellow"/>
              </w:rPr>
            </w:pPr>
          </w:p>
          <w:p w14:paraId="066FD60B" w14:textId="77777777" w:rsidR="009C35C8" w:rsidRDefault="009C35C8" w:rsidP="00A554D4">
            <w:pPr>
              <w:rPr>
                <w:rFonts w:cs="Calibri"/>
                <w:szCs w:val="20"/>
                <w:highlight w:val="yellow"/>
              </w:rPr>
            </w:pPr>
          </w:p>
          <w:p w14:paraId="707476FC" w14:textId="46A61875" w:rsidR="009C35C8" w:rsidRPr="00CF6FBE" w:rsidRDefault="009C35C8" w:rsidP="00A554D4">
            <w:pPr>
              <w:rPr>
                <w:rFonts w:cs="Calibri"/>
                <w:szCs w:val="20"/>
              </w:rPr>
            </w:pPr>
            <w:r w:rsidRPr="00CF6FBE">
              <w:rPr>
                <w:rFonts w:cs="Calibri"/>
                <w:szCs w:val="20"/>
              </w:rPr>
              <w:t>When the SED DA053 is invalidated by the Case Owner, it should be allowed that the receiver sees both SEDs (original and new one).  The status of the SEDs should be "cancelled" for the original one, and "received" for the new one.</w:t>
            </w:r>
          </w:p>
          <w:p w14:paraId="541B6B84" w14:textId="77777777" w:rsidR="009C35C8" w:rsidRPr="00CF6FBE" w:rsidRDefault="009C35C8" w:rsidP="00A554D4">
            <w:pPr>
              <w:rPr>
                <w:rFonts w:cs="Calibri"/>
                <w:szCs w:val="20"/>
              </w:rPr>
            </w:pPr>
          </w:p>
          <w:p w14:paraId="7D7AF58D" w14:textId="6D052AD3" w:rsidR="009C35C8" w:rsidRPr="00CF6FBE" w:rsidRDefault="009C35C8" w:rsidP="00915D3C">
            <w:pPr>
              <w:rPr>
                <w:rFonts w:cs="Calibri"/>
                <w:szCs w:val="20"/>
                <w:highlight w:val="yellow"/>
              </w:rPr>
            </w:pPr>
            <w:r w:rsidRPr="00CF6FBE">
              <w:rPr>
                <w:rFonts w:cs="Calibri"/>
                <w:szCs w:val="20"/>
              </w:rPr>
              <w:t>When the Case Owner will create a new version of the SED DA053, some fields should be automatically filled with the values of the previous version.</w:t>
            </w:r>
          </w:p>
        </w:tc>
      </w:tr>
      <w:tr w:rsidR="00037423" w:rsidRPr="00AD4709" w14:paraId="49D5D822" w14:textId="77777777" w:rsidTr="000A1067">
        <w:tc>
          <w:tcPr>
            <w:tcW w:w="2518" w:type="dxa"/>
            <w:gridSpan w:val="2"/>
          </w:tcPr>
          <w:p w14:paraId="203051A0" w14:textId="464C56CC" w:rsidR="00037423" w:rsidRPr="00004C80" w:rsidRDefault="00037423" w:rsidP="000A1067">
            <w:pPr>
              <w:jc w:val="right"/>
              <w:rPr>
                <w:b/>
                <w:color w:val="000000" w:themeColor="text1"/>
              </w:rPr>
            </w:pPr>
            <w:r w:rsidRPr="00004C80">
              <w:rPr>
                <w:b/>
                <w:color w:val="000000" w:themeColor="text1"/>
              </w:rPr>
              <w:lastRenderedPageBreak/>
              <w:t>Assumptions:</w:t>
            </w:r>
          </w:p>
        </w:tc>
        <w:tc>
          <w:tcPr>
            <w:tcW w:w="7220" w:type="dxa"/>
            <w:gridSpan w:val="3"/>
          </w:tcPr>
          <w:p w14:paraId="78B81A4C" w14:textId="330E4626" w:rsidR="00037423" w:rsidRPr="00CF6FBE" w:rsidRDefault="00037423" w:rsidP="00037423">
            <w:pPr>
              <w:pStyle w:val="Hints"/>
              <w:rPr>
                <w:rFonts w:ascii="Verdana" w:hAnsi="Verdana" w:cs="Calibri"/>
                <w:color w:val="C6D9F1"/>
                <w:lang w:val="en-GB"/>
              </w:rPr>
            </w:pPr>
          </w:p>
        </w:tc>
      </w:tr>
      <w:tr w:rsidR="00037423" w:rsidRPr="00AD4709" w14:paraId="365B6F68" w14:textId="77777777" w:rsidTr="000A1067">
        <w:tc>
          <w:tcPr>
            <w:tcW w:w="2518" w:type="dxa"/>
            <w:gridSpan w:val="2"/>
          </w:tcPr>
          <w:p w14:paraId="2BD17A60" w14:textId="77777777" w:rsidR="00037423" w:rsidRPr="00004C80" w:rsidRDefault="00037423" w:rsidP="000A1067">
            <w:pPr>
              <w:jc w:val="right"/>
              <w:rPr>
                <w:b/>
                <w:color w:val="000000" w:themeColor="text1"/>
              </w:rPr>
            </w:pPr>
            <w:r w:rsidRPr="00004C80">
              <w:rPr>
                <w:b/>
                <w:color w:val="000000" w:themeColor="text1"/>
              </w:rPr>
              <w:t>Notes and Issues:</w:t>
            </w:r>
          </w:p>
        </w:tc>
        <w:tc>
          <w:tcPr>
            <w:tcW w:w="7220" w:type="dxa"/>
            <w:gridSpan w:val="3"/>
          </w:tcPr>
          <w:p w14:paraId="6701425A" w14:textId="0898B458" w:rsidR="00037423" w:rsidRPr="00CF6FBE" w:rsidRDefault="00037423" w:rsidP="00CF6FBE">
            <w:pPr>
              <w:pStyle w:val="Hints"/>
              <w:ind w:left="360"/>
              <w:rPr>
                <w:rFonts w:ascii="Verdana" w:hAnsi="Verdana" w:cs="Calibri"/>
                <w:color w:val="C6D9F1"/>
                <w:lang w:val="en-GB"/>
              </w:rPr>
            </w:pPr>
          </w:p>
        </w:tc>
      </w:tr>
    </w:tbl>
    <w:p w14:paraId="02EF1271" w14:textId="69D3A025"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14:paraId="1CB46609" w14:textId="2ED5CB28" w:rsidR="00D408C5" w:rsidRDefault="00D408C5">
      <w:pPr>
        <w:pStyle w:val="Heading2"/>
      </w:pPr>
      <w:bookmarkStart w:id="50" w:name="_Toc522797867"/>
      <w:r>
        <w:lastRenderedPageBreak/>
        <w:t>Request – Reply SEDS</w:t>
      </w:r>
      <w:bookmarkEnd w:id="50"/>
    </w:p>
    <w:p w14:paraId="105F4C2E" w14:textId="45A600C3" w:rsidR="00D9743C" w:rsidRPr="00CF6FBE" w:rsidRDefault="00D9743C" w:rsidP="00D9743C">
      <w:pPr>
        <w:pStyle w:val="BodyText"/>
        <w:rPr>
          <w:sz w:val="22"/>
          <w:szCs w:val="22"/>
        </w:rPr>
      </w:pPr>
      <w:r w:rsidRPr="00CF6FBE">
        <w:rPr>
          <w:sz w:val="22"/>
          <w:szCs w:val="22"/>
        </w:rPr>
        <w:t xml:space="preserve">The following table specifies </w:t>
      </w:r>
      <w:r w:rsidR="00D675CC">
        <w:rPr>
          <w:sz w:val="22"/>
          <w:szCs w:val="22"/>
        </w:rPr>
        <w:t>the</w:t>
      </w:r>
      <w:r w:rsidRPr="00CF6FBE">
        <w:rPr>
          <w:sz w:val="22"/>
          <w:szCs w:val="22"/>
        </w:rPr>
        <w:t xml:space="preserve"> SED</w:t>
      </w:r>
      <w:r w:rsidR="00D675CC">
        <w:rPr>
          <w:sz w:val="22"/>
          <w:szCs w:val="22"/>
        </w:rPr>
        <w:t>s</w:t>
      </w:r>
      <w:r w:rsidRPr="00CF6FBE">
        <w:rPr>
          <w:sz w:val="22"/>
          <w:szCs w:val="22"/>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D675CC" w14:paraId="6158B5F9" w14:textId="77777777" w:rsidTr="0092343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CF6FBE" w:rsidRDefault="00D9743C" w:rsidP="0092343F">
            <w:pPr>
              <w:pStyle w:val="BodyText"/>
              <w:jc w:val="left"/>
              <w:rPr>
                <w:b/>
                <w:bCs/>
                <w:color w:val="FFFFFF"/>
                <w:szCs w:val="20"/>
              </w:rPr>
            </w:pPr>
            <w:r w:rsidRPr="00CF6FBE">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CF6FBE" w:rsidRDefault="00D9743C" w:rsidP="0092343F">
            <w:pPr>
              <w:pStyle w:val="BodyText"/>
              <w:jc w:val="left"/>
              <w:rPr>
                <w:b/>
                <w:bCs/>
                <w:color w:val="FFFFFF"/>
                <w:szCs w:val="20"/>
              </w:rPr>
            </w:pPr>
            <w:r w:rsidRPr="00CF6FBE">
              <w:rPr>
                <w:b/>
                <w:bCs/>
                <w:color w:val="FFFFFF"/>
                <w:szCs w:val="20"/>
              </w:rPr>
              <w:t>REPLY SED(s)</w:t>
            </w:r>
          </w:p>
        </w:tc>
      </w:tr>
      <w:tr w:rsidR="00C5216D" w:rsidRPr="00D675CC" w14:paraId="34FDD1B3" w14:textId="77777777" w:rsidTr="0092343F">
        <w:tc>
          <w:tcPr>
            <w:tcW w:w="2235" w:type="dxa"/>
            <w:shd w:val="clear" w:color="auto" w:fill="DBE5F1"/>
            <w:vAlign w:val="bottom"/>
          </w:tcPr>
          <w:p w14:paraId="591A6119" w14:textId="08629C45" w:rsidR="00C5216D" w:rsidRPr="00CF6FBE" w:rsidRDefault="00C5216D" w:rsidP="0092343F">
            <w:pPr>
              <w:pStyle w:val="BodyText"/>
              <w:jc w:val="left"/>
              <w:rPr>
                <w:bCs/>
                <w:szCs w:val="20"/>
              </w:rPr>
            </w:pPr>
            <w:r w:rsidRPr="00CF6FBE">
              <w:rPr>
                <w:bCs/>
                <w:szCs w:val="20"/>
              </w:rPr>
              <w:t>DA053</w:t>
            </w:r>
          </w:p>
        </w:tc>
        <w:tc>
          <w:tcPr>
            <w:tcW w:w="3685" w:type="dxa"/>
            <w:shd w:val="clear" w:color="auto" w:fill="DBE5F1"/>
            <w:vAlign w:val="bottom"/>
          </w:tcPr>
          <w:p w14:paraId="640BD52B" w14:textId="4A11A72E" w:rsidR="00C5216D" w:rsidRPr="00CF6FBE" w:rsidRDefault="00C5216D" w:rsidP="0092343F">
            <w:pPr>
              <w:pStyle w:val="BodyText"/>
              <w:jc w:val="left"/>
              <w:rPr>
                <w:szCs w:val="20"/>
              </w:rPr>
            </w:pPr>
            <w:r w:rsidRPr="00CF6FBE">
              <w:rPr>
                <w:szCs w:val="20"/>
              </w:rPr>
              <w:t>DA054</w:t>
            </w:r>
          </w:p>
        </w:tc>
      </w:tr>
    </w:tbl>
    <w:p w14:paraId="1D8BC86B" w14:textId="77777777" w:rsidR="00D9743C" w:rsidRDefault="00D9743C" w:rsidP="00D9743C">
      <w:pPr>
        <w:pStyle w:val="BodyText"/>
        <w:rPr>
          <w:rFonts w:ascii="Calibri" w:hAnsi="Calibri"/>
          <w:szCs w:val="20"/>
        </w:rPr>
      </w:pPr>
    </w:p>
    <w:p w14:paraId="33B12CE7" w14:textId="6F2CF4BE" w:rsidR="00D9743C" w:rsidRPr="006C35CE" w:rsidRDefault="00D9743C">
      <w:pPr>
        <w:pStyle w:val="Heading2"/>
      </w:pPr>
      <w:bookmarkStart w:id="51" w:name="_Toc522797868"/>
      <w:r>
        <w:t>Attachments Allowed</w:t>
      </w:r>
      <w:bookmarkEnd w:id="51"/>
    </w:p>
    <w:p w14:paraId="59DCADD5" w14:textId="77777777" w:rsidR="00D9743C" w:rsidRPr="00CF6FBE" w:rsidRDefault="00D9743C" w:rsidP="00D9743C">
      <w:pPr>
        <w:pStyle w:val="BodyText"/>
        <w:rPr>
          <w:sz w:val="22"/>
          <w:szCs w:val="22"/>
        </w:rPr>
      </w:pPr>
      <w:r w:rsidRPr="00CF6FBE">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D675CC" w14:paraId="11C66118" w14:textId="77777777"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CF6FBE" w:rsidRDefault="00D9743C" w:rsidP="0092343F">
            <w:pPr>
              <w:pStyle w:val="BodyText"/>
              <w:jc w:val="left"/>
              <w:rPr>
                <w:b/>
                <w:bCs/>
                <w:color w:val="FFFFFF"/>
                <w:szCs w:val="20"/>
              </w:rPr>
            </w:pPr>
            <w:r w:rsidRPr="00CF6FBE">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CF6FBE" w:rsidRDefault="00D9743C" w:rsidP="0092343F">
            <w:pPr>
              <w:pStyle w:val="BodyText"/>
              <w:jc w:val="left"/>
              <w:rPr>
                <w:b/>
                <w:bCs/>
                <w:color w:val="FFFFFF"/>
                <w:szCs w:val="20"/>
              </w:rPr>
            </w:pPr>
            <w:r w:rsidRPr="00CF6FBE">
              <w:rPr>
                <w:b/>
                <w:bCs/>
                <w:color w:val="FFFFFF"/>
                <w:szCs w:val="20"/>
              </w:rPr>
              <w:t>Attachments</w:t>
            </w:r>
          </w:p>
        </w:tc>
      </w:tr>
      <w:tr w:rsidR="00C5216D" w:rsidRPr="00D675CC" w14:paraId="6996D496" w14:textId="77777777" w:rsidTr="0092343F">
        <w:tc>
          <w:tcPr>
            <w:tcW w:w="2269" w:type="dxa"/>
            <w:shd w:val="clear" w:color="auto" w:fill="DBE5F1"/>
          </w:tcPr>
          <w:p w14:paraId="3E22D54A" w14:textId="1F4CC278" w:rsidR="00C5216D" w:rsidRPr="00CF6FBE" w:rsidRDefault="00C5216D" w:rsidP="0092343F">
            <w:pPr>
              <w:spacing w:after="120"/>
              <w:jc w:val="left"/>
              <w:rPr>
                <w:b/>
                <w:bCs/>
                <w:szCs w:val="20"/>
              </w:rPr>
            </w:pPr>
            <w:r w:rsidRPr="00CF6FBE">
              <w:rPr>
                <w:b/>
                <w:bCs/>
                <w:szCs w:val="20"/>
              </w:rPr>
              <w:t>DA053</w:t>
            </w:r>
          </w:p>
        </w:tc>
        <w:tc>
          <w:tcPr>
            <w:tcW w:w="3651" w:type="dxa"/>
            <w:shd w:val="clear" w:color="auto" w:fill="DBE5F1"/>
          </w:tcPr>
          <w:p w14:paraId="595D4116" w14:textId="5ECD3B5A" w:rsidR="00C5216D" w:rsidRPr="00CF6FBE" w:rsidRDefault="00C5216D" w:rsidP="009217A5">
            <w:pPr>
              <w:pStyle w:val="BodyText"/>
              <w:jc w:val="left"/>
              <w:rPr>
                <w:szCs w:val="20"/>
              </w:rPr>
            </w:pPr>
            <w:r w:rsidRPr="00CF6FBE">
              <w:rPr>
                <w:szCs w:val="20"/>
              </w:rPr>
              <w:t>Allowed</w:t>
            </w:r>
          </w:p>
        </w:tc>
      </w:tr>
      <w:tr w:rsidR="00C5216D" w:rsidRPr="00D675CC" w14:paraId="556673DE" w14:textId="77777777" w:rsidTr="0092343F">
        <w:tc>
          <w:tcPr>
            <w:tcW w:w="2269" w:type="dxa"/>
            <w:shd w:val="clear" w:color="auto" w:fill="DBE5F1"/>
          </w:tcPr>
          <w:p w14:paraId="73972ABF" w14:textId="026AC9A9" w:rsidR="00C5216D" w:rsidRPr="00CF6FBE" w:rsidRDefault="00C5216D" w:rsidP="0092343F">
            <w:pPr>
              <w:spacing w:after="120"/>
              <w:jc w:val="left"/>
              <w:rPr>
                <w:b/>
                <w:bCs/>
                <w:szCs w:val="20"/>
              </w:rPr>
            </w:pPr>
            <w:r w:rsidRPr="00CF6FBE">
              <w:rPr>
                <w:b/>
                <w:bCs/>
                <w:szCs w:val="20"/>
              </w:rPr>
              <w:t>DA054</w:t>
            </w:r>
          </w:p>
        </w:tc>
        <w:tc>
          <w:tcPr>
            <w:tcW w:w="3651" w:type="dxa"/>
            <w:shd w:val="clear" w:color="auto" w:fill="DBE5F1"/>
          </w:tcPr>
          <w:p w14:paraId="094FCC8A" w14:textId="55C70354" w:rsidR="00C5216D" w:rsidRPr="00CF6FBE" w:rsidRDefault="00C5216D" w:rsidP="009217A5">
            <w:pPr>
              <w:pStyle w:val="BodyText"/>
              <w:jc w:val="left"/>
              <w:rPr>
                <w:szCs w:val="20"/>
              </w:rPr>
            </w:pPr>
            <w:r w:rsidRPr="00CF6FBE">
              <w:rPr>
                <w:szCs w:val="20"/>
              </w:rPr>
              <w:t>Allowed</w:t>
            </w:r>
          </w:p>
        </w:tc>
      </w:tr>
      <w:bookmarkEnd w:id="45"/>
      <w:bookmarkEnd w:id="46"/>
      <w:bookmarkEnd w:id="47"/>
      <w:bookmarkEnd w:id="48"/>
    </w:tbl>
    <w:p w14:paraId="3802372F" w14:textId="697BEDF7" w:rsidR="0070732D" w:rsidRDefault="0070732D">
      <w:pPr>
        <w:jc w:val="left"/>
        <w:rPr>
          <w:rFonts w:asciiTheme="minorHAnsi" w:hAnsiTheme="minorHAnsi"/>
          <w:lang w:eastAsia="en-US"/>
        </w:rPr>
      </w:pPr>
      <w:r>
        <w:rPr>
          <w:rFonts w:asciiTheme="minorHAnsi" w:hAnsiTheme="minorHAnsi"/>
          <w:lang w:eastAsia="en-US"/>
        </w:rPr>
        <w:br w:type="page"/>
      </w:r>
    </w:p>
    <w:p w14:paraId="0B4ECF86" w14:textId="7A48D730" w:rsidR="0070732D" w:rsidRPr="006C35CE" w:rsidRDefault="00A564D7">
      <w:pPr>
        <w:pStyle w:val="Heading2"/>
      </w:pPr>
      <w:bookmarkStart w:id="52" w:name="_Toc522797869"/>
      <w:r>
        <w:lastRenderedPageBreak/>
        <w:t>Artefacts used</w:t>
      </w:r>
      <w:bookmarkEnd w:id="52"/>
    </w:p>
    <w:p w14:paraId="069BD0D4" w14:textId="577433EA" w:rsidR="0070732D" w:rsidRPr="00CF6FBE" w:rsidRDefault="0070732D" w:rsidP="0070732D">
      <w:pPr>
        <w:spacing w:after="120"/>
        <w:rPr>
          <w:sz w:val="22"/>
          <w:szCs w:val="22"/>
        </w:rPr>
      </w:pPr>
      <w:r w:rsidRPr="00CF6FBE">
        <w:rPr>
          <w:sz w:val="22"/>
          <w:szCs w:val="22"/>
        </w:rPr>
        <w:t xml:space="preserve">The following table specifies the </w:t>
      </w:r>
      <w:r w:rsidR="00A564D7">
        <w:rPr>
          <w:sz w:val="22"/>
          <w:szCs w:val="22"/>
        </w:rPr>
        <w:t>artefacts</w:t>
      </w:r>
      <w:r w:rsidRPr="00CF6FBE">
        <w:rPr>
          <w:sz w:val="22"/>
          <w:szCs w:val="22"/>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0732D" w:rsidRPr="00D675CC" w14:paraId="188DA8DE" w14:textId="77777777"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14:paraId="22A70665" w14:textId="1FF86C01" w:rsidR="0070732D" w:rsidRPr="00CF6FBE" w:rsidRDefault="00A564D7" w:rsidP="0092343F">
            <w:pPr>
              <w:spacing w:after="120"/>
              <w:jc w:val="left"/>
              <w:rPr>
                <w:b/>
                <w:bCs/>
                <w:szCs w:val="20"/>
              </w:rPr>
            </w:pPr>
            <w:r>
              <w:rPr>
                <w:b/>
                <w:bCs/>
                <w:szCs w:val="20"/>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14:paraId="7CAD1F10" w14:textId="18542D98" w:rsidR="0070732D" w:rsidRPr="00CF6FBE" w:rsidRDefault="00A564D7" w:rsidP="0092343F">
            <w:pPr>
              <w:spacing w:after="120"/>
              <w:jc w:val="left"/>
              <w:rPr>
                <w:b/>
                <w:bCs/>
                <w:szCs w:val="20"/>
              </w:rPr>
            </w:pPr>
            <w:r>
              <w:rPr>
                <w:b/>
                <w:bCs/>
                <w:szCs w:val="20"/>
              </w:rPr>
              <w:t>Artefact type</w:t>
            </w:r>
          </w:p>
        </w:tc>
      </w:tr>
      <w:tr w:rsidR="0070732D" w:rsidRPr="00D675CC" w14:paraId="62F67229" w14:textId="77777777" w:rsidTr="0092343F">
        <w:tc>
          <w:tcPr>
            <w:tcW w:w="2269" w:type="dxa"/>
            <w:shd w:val="clear" w:color="auto" w:fill="DBE5F1"/>
          </w:tcPr>
          <w:p w14:paraId="0D941076" w14:textId="2CEFC2FB" w:rsidR="0070732D" w:rsidRPr="00CF6FBE" w:rsidRDefault="0070732D" w:rsidP="0092343F">
            <w:pPr>
              <w:spacing w:after="120"/>
              <w:jc w:val="left"/>
              <w:rPr>
                <w:b/>
                <w:bCs/>
                <w:szCs w:val="20"/>
              </w:rPr>
            </w:pPr>
            <w:r w:rsidRPr="00CF6FBE">
              <w:rPr>
                <w:b/>
                <w:bCs/>
                <w:szCs w:val="20"/>
              </w:rPr>
              <w:t>DA0</w:t>
            </w:r>
            <w:r w:rsidR="0010193F" w:rsidRPr="00CF6FBE">
              <w:rPr>
                <w:b/>
                <w:bCs/>
                <w:szCs w:val="20"/>
              </w:rPr>
              <w:t>5</w:t>
            </w:r>
            <w:r w:rsidR="00AE3AEB" w:rsidRPr="00CF6FBE">
              <w:rPr>
                <w:b/>
                <w:bCs/>
                <w:szCs w:val="20"/>
              </w:rPr>
              <w:t>3</w:t>
            </w:r>
          </w:p>
        </w:tc>
        <w:tc>
          <w:tcPr>
            <w:tcW w:w="3651" w:type="dxa"/>
            <w:shd w:val="clear" w:color="auto" w:fill="DBE5F1"/>
          </w:tcPr>
          <w:p w14:paraId="0448411C" w14:textId="7065E1C7" w:rsidR="0070732D" w:rsidRPr="00CF6FBE" w:rsidRDefault="00A564D7" w:rsidP="0092343F">
            <w:pPr>
              <w:spacing w:after="120"/>
              <w:jc w:val="left"/>
              <w:rPr>
                <w:szCs w:val="20"/>
              </w:rPr>
            </w:pPr>
            <w:r>
              <w:rPr>
                <w:szCs w:val="20"/>
              </w:rPr>
              <w:t>SED</w:t>
            </w:r>
          </w:p>
        </w:tc>
      </w:tr>
      <w:tr w:rsidR="00EA204D" w:rsidRPr="00D675CC" w14:paraId="0676E430" w14:textId="77777777" w:rsidTr="0092343F">
        <w:tc>
          <w:tcPr>
            <w:tcW w:w="2269" w:type="dxa"/>
            <w:shd w:val="clear" w:color="auto" w:fill="DBE5F1"/>
          </w:tcPr>
          <w:p w14:paraId="23D53532" w14:textId="0517EC28" w:rsidR="00EA204D" w:rsidRPr="00CF6FBE" w:rsidRDefault="00EA204D" w:rsidP="0092343F">
            <w:pPr>
              <w:spacing w:after="120"/>
              <w:jc w:val="left"/>
              <w:rPr>
                <w:b/>
                <w:bCs/>
                <w:szCs w:val="20"/>
              </w:rPr>
            </w:pPr>
            <w:r w:rsidRPr="00CF6FBE">
              <w:rPr>
                <w:b/>
                <w:bCs/>
                <w:szCs w:val="20"/>
              </w:rPr>
              <w:t>DA0</w:t>
            </w:r>
            <w:r w:rsidR="0010193F" w:rsidRPr="00CF6FBE">
              <w:rPr>
                <w:b/>
                <w:bCs/>
                <w:szCs w:val="20"/>
              </w:rPr>
              <w:t>5</w:t>
            </w:r>
            <w:r w:rsidR="00AE3AEB" w:rsidRPr="00CF6FBE">
              <w:rPr>
                <w:b/>
                <w:bCs/>
                <w:szCs w:val="20"/>
              </w:rPr>
              <w:t>4</w:t>
            </w:r>
          </w:p>
        </w:tc>
        <w:tc>
          <w:tcPr>
            <w:tcW w:w="3651" w:type="dxa"/>
            <w:shd w:val="clear" w:color="auto" w:fill="DBE5F1"/>
          </w:tcPr>
          <w:p w14:paraId="456673D7" w14:textId="2A95F114" w:rsidR="00EA204D" w:rsidRPr="00CF6FBE" w:rsidRDefault="00A564D7" w:rsidP="0092343F">
            <w:pPr>
              <w:spacing w:after="120"/>
              <w:jc w:val="left"/>
              <w:rPr>
                <w:szCs w:val="20"/>
              </w:rPr>
            </w:pPr>
            <w:r>
              <w:rPr>
                <w:szCs w:val="20"/>
              </w:rPr>
              <w:t>SED</w:t>
            </w:r>
          </w:p>
        </w:tc>
      </w:tr>
      <w:tr w:rsidR="00A564D7" w:rsidRPr="00D675CC" w14:paraId="07AB29A1" w14:textId="77777777" w:rsidTr="0092343F">
        <w:tc>
          <w:tcPr>
            <w:tcW w:w="2269" w:type="dxa"/>
            <w:shd w:val="clear" w:color="auto" w:fill="DBE5F1"/>
          </w:tcPr>
          <w:p w14:paraId="49C63E76" w14:textId="0BC3D633" w:rsidR="00A564D7" w:rsidRPr="00CF6FBE" w:rsidRDefault="00A564D7" w:rsidP="0092343F">
            <w:pPr>
              <w:spacing w:after="120"/>
              <w:jc w:val="left"/>
              <w:rPr>
                <w:b/>
                <w:bCs/>
                <w:szCs w:val="20"/>
              </w:rPr>
            </w:pPr>
            <w:r w:rsidRPr="00CF6FBE">
              <w:rPr>
                <w:b/>
                <w:bCs/>
                <w:szCs w:val="20"/>
              </w:rPr>
              <w:t>H_BUC_01_Subprocess</w:t>
            </w:r>
          </w:p>
        </w:tc>
        <w:tc>
          <w:tcPr>
            <w:tcW w:w="3651" w:type="dxa"/>
            <w:shd w:val="clear" w:color="auto" w:fill="DBE5F1"/>
          </w:tcPr>
          <w:p w14:paraId="55570D6E" w14:textId="72FD0D29" w:rsidR="00A564D7" w:rsidRDefault="00A564D7" w:rsidP="0092343F">
            <w:pPr>
              <w:spacing w:after="120"/>
              <w:jc w:val="left"/>
              <w:rPr>
                <w:szCs w:val="20"/>
              </w:rPr>
            </w:pPr>
            <w:r>
              <w:rPr>
                <w:szCs w:val="20"/>
              </w:rPr>
              <w:t>BUC</w:t>
            </w:r>
          </w:p>
        </w:tc>
      </w:tr>
      <w:tr w:rsidR="00A564D7" w:rsidRPr="00D675CC" w14:paraId="66A4B12B" w14:textId="77777777" w:rsidTr="0092343F">
        <w:tc>
          <w:tcPr>
            <w:tcW w:w="2269" w:type="dxa"/>
            <w:shd w:val="clear" w:color="auto" w:fill="DBE5F1"/>
          </w:tcPr>
          <w:p w14:paraId="362B9CC6" w14:textId="2D9FE50A" w:rsidR="00A564D7" w:rsidRPr="00CF6FBE" w:rsidRDefault="00A564D7" w:rsidP="0092343F">
            <w:pPr>
              <w:spacing w:after="120"/>
              <w:jc w:val="left"/>
              <w:rPr>
                <w:b/>
                <w:bCs/>
                <w:szCs w:val="20"/>
              </w:rPr>
            </w:pPr>
            <w:r w:rsidRPr="00CF6FBE">
              <w:rPr>
                <w:b/>
                <w:bCs/>
                <w:szCs w:val="20"/>
              </w:rPr>
              <w:t>AD_BUC_05_Subprocess – Forward Case</w:t>
            </w:r>
          </w:p>
        </w:tc>
        <w:tc>
          <w:tcPr>
            <w:tcW w:w="3651" w:type="dxa"/>
            <w:shd w:val="clear" w:color="auto" w:fill="DBE5F1"/>
          </w:tcPr>
          <w:p w14:paraId="422A2A47" w14:textId="57E36A4E" w:rsidR="00A564D7" w:rsidRDefault="00A564D7" w:rsidP="0092343F">
            <w:pPr>
              <w:spacing w:after="120"/>
              <w:jc w:val="left"/>
              <w:rPr>
                <w:szCs w:val="20"/>
              </w:rPr>
            </w:pPr>
            <w:r>
              <w:rPr>
                <w:szCs w:val="20"/>
              </w:rPr>
              <w:t>BUC</w:t>
            </w:r>
          </w:p>
        </w:tc>
      </w:tr>
      <w:tr w:rsidR="00A564D7" w:rsidRPr="00D675CC" w14:paraId="53998B10" w14:textId="77777777" w:rsidTr="0092343F">
        <w:tc>
          <w:tcPr>
            <w:tcW w:w="2269" w:type="dxa"/>
            <w:shd w:val="clear" w:color="auto" w:fill="DBE5F1"/>
          </w:tcPr>
          <w:p w14:paraId="60969018" w14:textId="4478CACA" w:rsidR="00A564D7" w:rsidRPr="00CF6FBE" w:rsidRDefault="00A564D7" w:rsidP="0092343F">
            <w:pPr>
              <w:spacing w:after="120"/>
              <w:jc w:val="left"/>
              <w:rPr>
                <w:b/>
                <w:bCs/>
                <w:szCs w:val="20"/>
              </w:rPr>
            </w:pPr>
            <w:r w:rsidRPr="00CF6FBE">
              <w:rPr>
                <w:b/>
                <w:bCs/>
                <w:szCs w:val="20"/>
              </w:rPr>
              <w:t>AD_BUC_07_Subprocess – Reminder</w:t>
            </w:r>
          </w:p>
        </w:tc>
        <w:tc>
          <w:tcPr>
            <w:tcW w:w="3651" w:type="dxa"/>
            <w:shd w:val="clear" w:color="auto" w:fill="DBE5F1"/>
          </w:tcPr>
          <w:p w14:paraId="0B22DD89" w14:textId="53023B23" w:rsidR="00A564D7" w:rsidRPr="00CF6FBE" w:rsidRDefault="00A564D7" w:rsidP="0092343F">
            <w:pPr>
              <w:spacing w:after="120"/>
              <w:jc w:val="left"/>
              <w:rPr>
                <w:szCs w:val="20"/>
              </w:rPr>
            </w:pPr>
            <w:r>
              <w:rPr>
                <w:szCs w:val="20"/>
              </w:rPr>
              <w:t>BUC</w:t>
            </w:r>
          </w:p>
        </w:tc>
      </w:tr>
      <w:tr w:rsidR="00A564D7" w:rsidRPr="00D675CC" w14:paraId="3A5F7074" w14:textId="77777777" w:rsidTr="0092343F">
        <w:tc>
          <w:tcPr>
            <w:tcW w:w="2269" w:type="dxa"/>
            <w:shd w:val="clear" w:color="auto" w:fill="DBE5F1"/>
          </w:tcPr>
          <w:p w14:paraId="0F6B2DB7" w14:textId="7A69EF93" w:rsidR="00A564D7" w:rsidRPr="00CF6FBE" w:rsidRDefault="00A564D7" w:rsidP="0092343F">
            <w:pPr>
              <w:spacing w:after="120"/>
              <w:jc w:val="left"/>
              <w:rPr>
                <w:b/>
                <w:bCs/>
                <w:szCs w:val="20"/>
              </w:rPr>
            </w:pPr>
            <w:r w:rsidRPr="00CF6FBE">
              <w:rPr>
                <w:b/>
                <w:bCs/>
                <w:szCs w:val="20"/>
              </w:rPr>
              <w:t xml:space="preserve">AD_BUC_08_Subprocess – Clarify Content </w:t>
            </w:r>
          </w:p>
        </w:tc>
        <w:tc>
          <w:tcPr>
            <w:tcW w:w="3651" w:type="dxa"/>
            <w:shd w:val="clear" w:color="auto" w:fill="DBE5F1"/>
          </w:tcPr>
          <w:p w14:paraId="1DC56FD1" w14:textId="0EC7C037" w:rsidR="00A564D7" w:rsidRPr="00CF6FBE" w:rsidRDefault="00A564D7" w:rsidP="0092343F">
            <w:pPr>
              <w:spacing w:after="120"/>
              <w:jc w:val="left"/>
              <w:rPr>
                <w:szCs w:val="20"/>
              </w:rPr>
            </w:pPr>
            <w:r>
              <w:rPr>
                <w:szCs w:val="20"/>
              </w:rPr>
              <w:t>BUC</w:t>
            </w:r>
          </w:p>
        </w:tc>
      </w:tr>
      <w:tr w:rsidR="00A564D7" w:rsidRPr="00D675CC" w14:paraId="2D7E4BE3" w14:textId="77777777" w:rsidTr="0092343F">
        <w:tc>
          <w:tcPr>
            <w:tcW w:w="2269" w:type="dxa"/>
            <w:shd w:val="clear" w:color="auto" w:fill="DBE5F1"/>
          </w:tcPr>
          <w:p w14:paraId="5CCAF93C" w14:textId="61320B2B" w:rsidR="00A564D7" w:rsidRPr="00CF6FBE" w:rsidRDefault="00A564D7" w:rsidP="0092343F">
            <w:pPr>
              <w:spacing w:after="120"/>
              <w:jc w:val="left"/>
              <w:rPr>
                <w:b/>
                <w:bCs/>
                <w:szCs w:val="20"/>
              </w:rPr>
            </w:pPr>
            <w:r w:rsidRPr="00CF6FBE">
              <w:rPr>
                <w:b/>
                <w:bCs/>
                <w:szCs w:val="20"/>
              </w:rPr>
              <w:t>AD_BUC_09_Subprocess – Reject SED</w:t>
            </w:r>
          </w:p>
        </w:tc>
        <w:tc>
          <w:tcPr>
            <w:tcW w:w="3651" w:type="dxa"/>
            <w:shd w:val="clear" w:color="auto" w:fill="DBE5F1"/>
          </w:tcPr>
          <w:p w14:paraId="71C85553" w14:textId="23FCC31A" w:rsidR="00A564D7" w:rsidRPr="00CF6FBE" w:rsidRDefault="00A564D7" w:rsidP="0092343F">
            <w:pPr>
              <w:spacing w:after="120"/>
              <w:jc w:val="left"/>
              <w:rPr>
                <w:szCs w:val="20"/>
              </w:rPr>
            </w:pPr>
            <w:r>
              <w:rPr>
                <w:szCs w:val="20"/>
              </w:rPr>
              <w:t>BUC</w:t>
            </w:r>
          </w:p>
        </w:tc>
      </w:tr>
      <w:tr w:rsidR="00A564D7" w:rsidRPr="00D675CC" w14:paraId="786AD7B4" w14:textId="77777777" w:rsidTr="0092343F">
        <w:tc>
          <w:tcPr>
            <w:tcW w:w="2269" w:type="dxa"/>
            <w:shd w:val="clear" w:color="auto" w:fill="DBE5F1"/>
          </w:tcPr>
          <w:p w14:paraId="5E26D8D9" w14:textId="0D54799D" w:rsidR="00A564D7" w:rsidRPr="00CF6FBE" w:rsidRDefault="00A564D7" w:rsidP="0092343F">
            <w:pPr>
              <w:spacing w:after="120"/>
              <w:jc w:val="left"/>
              <w:rPr>
                <w:b/>
                <w:bCs/>
                <w:szCs w:val="20"/>
              </w:rPr>
            </w:pPr>
            <w:r w:rsidRPr="00CF6FBE">
              <w:rPr>
                <w:b/>
                <w:bCs/>
                <w:szCs w:val="20"/>
              </w:rPr>
              <w:t>AD_BUC_11_Subprocess – Business Exception</w:t>
            </w:r>
          </w:p>
        </w:tc>
        <w:tc>
          <w:tcPr>
            <w:tcW w:w="3651" w:type="dxa"/>
            <w:shd w:val="clear" w:color="auto" w:fill="DBE5F1"/>
          </w:tcPr>
          <w:p w14:paraId="1359D5C6" w14:textId="5C71DE45" w:rsidR="00A564D7" w:rsidRDefault="00A564D7" w:rsidP="0092343F">
            <w:pPr>
              <w:spacing w:after="120"/>
              <w:jc w:val="left"/>
              <w:rPr>
                <w:szCs w:val="20"/>
              </w:rPr>
            </w:pPr>
            <w:r>
              <w:rPr>
                <w:szCs w:val="20"/>
              </w:rPr>
              <w:t>BUC</w:t>
            </w:r>
          </w:p>
        </w:tc>
      </w:tr>
      <w:tr w:rsidR="00A564D7" w:rsidRPr="00D675CC" w14:paraId="51FDCA22" w14:textId="77777777" w:rsidTr="0092343F">
        <w:tc>
          <w:tcPr>
            <w:tcW w:w="2269" w:type="dxa"/>
            <w:shd w:val="clear" w:color="auto" w:fill="DBE5F1"/>
          </w:tcPr>
          <w:p w14:paraId="44B789AA" w14:textId="10406DF8" w:rsidR="00A564D7" w:rsidRPr="00CF6FBE" w:rsidRDefault="00A564D7" w:rsidP="0092343F">
            <w:pPr>
              <w:spacing w:after="120"/>
              <w:jc w:val="left"/>
              <w:rPr>
                <w:b/>
                <w:bCs/>
                <w:szCs w:val="20"/>
              </w:rPr>
            </w:pPr>
            <w:r>
              <w:rPr>
                <w:b/>
                <w:bCs/>
                <w:szCs w:val="20"/>
              </w:rPr>
              <w:t>AD_BUC_12_Subprocess – Change of Participant</w:t>
            </w:r>
          </w:p>
        </w:tc>
        <w:tc>
          <w:tcPr>
            <w:tcW w:w="3651" w:type="dxa"/>
            <w:shd w:val="clear" w:color="auto" w:fill="DBE5F1"/>
          </w:tcPr>
          <w:p w14:paraId="50290DA8" w14:textId="28F78D6C" w:rsidR="00A564D7" w:rsidRDefault="00A564D7" w:rsidP="0092343F">
            <w:pPr>
              <w:spacing w:after="120"/>
              <w:jc w:val="left"/>
              <w:rPr>
                <w:szCs w:val="20"/>
              </w:rPr>
            </w:pPr>
            <w:r>
              <w:rPr>
                <w:szCs w:val="20"/>
              </w:rPr>
              <w:t>BUC</w:t>
            </w:r>
          </w:p>
        </w:tc>
      </w:tr>
    </w:tbl>
    <w:p w14:paraId="1FACAD0B" w14:textId="77777777" w:rsidR="0070732D" w:rsidRPr="009D49A0" w:rsidRDefault="0070732D" w:rsidP="0070732D">
      <w:pPr>
        <w:spacing w:after="120"/>
        <w:rPr>
          <w:rFonts w:ascii="Calibri" w:hAnsi="Calibri"/>
          <w:szCs w:val="20"/>
        </w:rPr>
      </w:pPr>
    </w:p>
    <w:p w14:paraId="3E775158" w14:textId="554E5432" w:rsidR="0070732D" w:rsidRPr="00CF6FBE" w:rsidRDefault="0070732D" w:rsidP="0070732D">
      <w:pPr>
        <w:spacing w:after="120"/>
        <w:rPr>
          <w:sz w:val="22"/>
          <w:szCs w:val="22"/>
        </w:rPr>
      </w:pPr>
    </w:p>
    <w:p w14:paraId="39B1850F" w14:textId="77777777" w:rsidR="0070732D" w:rsidRPr="009D49A0" w:rsidRDefault="0070732D" w:rsidP="0070732D">
      <w:pPr>
        <w:rPr>
          <w:rFonts w:ascii="Calibri" w:hAnsi="Calibri"/>
          <w:szCs w:val="20"/>
          <w:lang w:eastAsia="en-US"/>
        </w:rPr>
        <w:sectPr w:rsidR="0070732D" w:rsidRPr="009D49A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480BC577" w14:textId="77777777" w:rsidR="00E24F9F" w:rsidRPr="00D66EB6" w:rsidRDefault="00E24F9F" w:rsidP="00052461">
      <w:pPr>
        <w:pStyle w:val="Heading1"/>
      </w:pPr>
      <w:bookmarkStart w:id="53" w:name="_Toc367366385"/>
      <w:bookmarkStart w:id="54" w:name="_Toc368569934"/>
      <w:bookmarkStart w:id="55" w:name="_Toc371682145"/>
      <w:bookmarkStart w:id="56" w:name="_Toc381002677"/>
      <w:bookmarkStart w:id="57" w:name="_Toc522797870"/>
      <w:r w:rsidRPr="00D66EB6">
        <w:lastRenderedPageBreak/>
        <w:t xml:space="preserve">Business Processes / </w:t>
      </w:r>
      <w:bookmarkEnd w:id="53"/>
      <w:bookmarkEnd w:id="54"/>
      <w:bookmarkEnd w:id="55"/>
      <w:bookmarkEnd w:id="56"/>
      <w:r w:rsidR="00C906A1" w:rsidRPr="00D66EB6">
        <w:t>Cases</w:t>
      </w:r>
      <w:bookmarkEnd w:id="57"/>
    </w:p>
    <w:p w14:paraId="77694D14" w14:textId="16677144" w:rsidR="00327FEA" w:rsidRDefault="00855A3D" w:rsidP="00855A3D">
      <w:pPr>
        <w:pStyle w:val="Text1"/>
        <w:rPr>
          <w:rFonts w:ascii="Verdana" w:hAnsi="Verdana" w:cs="Calibri"/>
          <w:sz w:val="22"/>
          <w:szCs w:val="22"/>
        </w:rPr>
      </w:pPr>
      <w:r w:rsidRPr="00CF6FBE">
        <w:rPr>
          <w:rFonts w:ascii="Verdana" w:hAnsi="Verdana" w:cs="Calibri"/>
          <w:sz w:val="22"/>
          <w:szCs w:val="22"/>
        </w:rPr>
        <w:t>Th</w:t>
      </w:r>
      <w:r w:rsidR="00327FEA" w:rsidRPr="00CF6FBE">
        <w:rPr>
          <w:rFonts w:ascii="Verdana" w:hAnsi="Verdana" w:cs="Calibri"/>
          <w:sz w:val="22"/>
          <w:szCs w:val="22"/>
        </w:rPr>
        <w:t>is chapter</w:t>
      </w:r>
      <w:r w:rsidRPr="00CF6FBE">
        <w:rPr>
          <w:rFonts w:ascii="Verdana" w:hAnsi="Verdana" w:cs="Calibri"/>
          <w:sz w:val="22"/>
          <w:szCs w:val="22"/>
        </w:rPr>
        <w:t xml:space="preserve"> describe</w:t>
      </w:r>
      <w:r w:rsidR="00327FEA" w:rsidRPr="00CF6FBE">
        <w:rPr>
          <w:rFonts w:ascii="Verdana" w:hAnsi="Verdana" w:cs="Calibri"/>
          <w:sz w:val="22"/>
          <w:szCs w:val="22"/>
        </w:rPr>
        <w:t>s</w:t>
      </w:r>
      <w:r w:rsidRPr="00CF6FBE">
        <w:rPr>
          <w:rFonts w:ascii="Verdana" w:hAnsi="Verdana" w:cs="Calibri"/>
          <w:sz w:val="22"/>
          <w:szCs w:val="22"/>
        </w:rPr>
        <w:t xml:space="preserve"> the Business Use Case </w:t>
      </w:r>
      <w:r w:rsidR="005E7B00" w:rsidRPr="00CF6FBE">
        <w:rPr>
          <w:rFonts w:ascii="Verdana" w:hAnsi="Verdana" w:cs="Calibri"/>
          <w:sz w:val="22"/>
          <w:szCs w:val="22"/>
        </w:rPr>
        <w:t xml:space="preserve">about </w:t>
      </w:r>
      <w:r w:rsidR="001325BA" w:rsidRPr="00CF6FBE">
        <w:rPr>
          <w:rFonts w:ascii="Verdana" w:hAnsi="Verdana" w:cs="Calibri"/>
          <w:sz w:val="22"/>
          <w:szCs w:val="22"/>
        </w:rPr>
        <w:t xml:space="preserve">the </w:t>
      </w:r>
      <w:r w:rsidR="00C05489" w:rsidRPr="00CF6FBE">
        <w:rPr>
          <w:rFonts w:ascii="Verdana" w:hAnsi="Verdana" w:cs="Calibri"/>
          <w:sz w:val="22"/>
          <w:szCs w:val="22"/>
        </w:rPr>
        <w:t xml:space="preserve">Advance payments in the event of an appeal against rejection of </w:t>
      </w:r>
      <w:r w:rsidR="0010193F" w:rsidRPr="00CF6FBE">
        <w:rPr>
          <w:rFonts w:ascii="Verdana" w:hAnsi="Verdana" w:cs="Calibri"/>
          <w:sz w:val="22"/>
          <w:szCs w:val="22"/>
        </w:rPr>
        <w:t>benefit</w:t>
      </w:r>
      <w:r w:rsidR="00C05489" w:rsidRPr="00CF6FBE">
        <w:rPr>
          <w:rFonts w:ascii="Verdana" w:hAnsi="Verdana" w:cs="Calibri"/>
          <w:sz w:val="22"/>
          <w:szCs w:val="22"/>
        </w:rPr>
        <w:t xml:space="preserve"> due to occupational disease </w:t>
      </w:r>
      <w:r w:rsidRPr="00CF6FBE">
        <w:rPr>
          <w:rFonts w:ascii="Verdana" w:hAnsi="Verdana" w:cs="Calibri"/>
          <w:sz w:val="22"/>
          <w:szCs w:val="22"/>
        </w:rPr>
        <w:t>using BPMN</w:t>
      </w:r>
      <w:r w:rsidR="00327FEA" w:rsidRPr="00CF6FBE">
        <w:rPr>
          <w:rFonts w:ascii="Verdana" w:hAnsi="Verdana" w:cs="Calibri"/>
          <w:sz w:val="22"/>
          <w:szCs w:val="22"/>
        </w:rPr>
        <w:t xml:space="preserve"> 2.0</w:t>
      </w:r>
      <w:r w:rsidRPr="00CF6FBE">
        <w:rPr>
          <w:rFonts w:ascii="Verdana" w:hAnsi="Verdana" w:cs="Calibri"/>
          <w:sz w:val="22"/>
          <w:szCs w:val="22"/>
        </w:rPr>
        <w:t xml:space="preserve">. </w:t>
      </w:r>
    </w:p>
    <w:p w14:paraId="6AE4B752" w14:textId="77777777" w:rsidR="0070085A" w:rsidRDefault="00327FEA" w:rsidP="0070085A">
      <w:pPr>
        <w:pStyle w:val="Heading1"/>
        <w:numPr>
          <w:ilvl w:val="1"/>
          <w:numId w:val="22"/>
        </w:numPr>
        <w:rPr>
          <w:rFonts w:ascii="Verdana" w:hAnsi="Verdana"/>
          <w:sz w:val="22"/>
          <w:szCs w:val="22"/>
        </w:rPr>
      </w:pPr>
      <w:bookmarkStart w:id="58" w:name="_Toc522797871"/>
      <w:r>
        <w:rPr>
          <w:rFonts w:ascii="Verdana" w:hAnsi="Verdana"/>
          <w:sz w:val="22"/>
          <w:szCs w:val="22"/>
        </w:rPr>
        <w:t>Case Owner</w:t>
      </w:r>
      <w:r w:rsidR="0070085A">
        <w:rPr>
          <w:rFonts w:ascii="Verdana" w:hAnsi="Verdana"/>
          <w:sz w:val="22"/>
          <w:szCs w:val="22"/>
        </w:rPr>
        <w:t xml:space="preserve"> and Counterparty</w:t>
      </w:r>
      <w:bookmarkEnd w:id="58"/>
    </w:p>
    <w:p w14:paraId="27AADF08" w14:textId="11925496" w:rsidR="001B445F" w:rsidRPr="001B445F" w:rsidRDefault="001B445F" w:rsidP="001B445F">
      <w:r>
        <w:rPr>
          <w:noProof/>
        </w:rPr>
        <w:drawing>
          <wp:inline distT="0" distB="0" distL="0" distR="0" wp14:anchorId="171EFCEB" wp14:editId="72E6C915">
            <wp:extent cx="5875364" cy="3916907"/>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85446" cy="3923628"/>
                    </a:xfrm>
                    <a:prstGeom prst="rect">
                      <a:avLst/>
                    </a:prstGeom>
                    <a:noFill/>
                    <a:ln>
                      <a:noFill/>
                    </a:ln>
                  </pic:spPr>
                </pic:pic>
              </a:graphicData>
            </a:graphic>
          </wp:inline>
        </w:drawing>
      </w:r>
    </w:p>
    <w:p w14:paraId="10EB68E7" w14:textId="13D0B93C" w:rsidR="0023271E" w:rsidRPr="0070085A" w:rsidRDefault="00121EA5" w:rsidP="0070085A">
      <w:pPr>
        <w:pStyle w:val="Caption"/>
      </w:pPr>
      <w:r w:rsidRPr="0070085A">
        <w:t xml:space="preserve">Figure </w:t>
      </w:r>
      <w:fldSimple w:instr=" SEQ Figure \* ARABIC ">
        <w:r w:rsidR="00886A92" w:rsidRPr="0070085A">
          <w:rPr>
            <w:noProof/>
          </w:rPr>
          <w:t>2</w:t>
        </w:r>
      </w:fldSimple>
      <w:r w:rsidR="00CE22F5" w:rsidRPr="0070085A">
        <w:t xml:space="preserve">: depicts the use case end-to-end for the </w:t>
      </w:r>
      <w:r w:rsidR="00C906A1" w:rsidRPr="0070085A">
        <w:t xml:space="preserve">Case </w:t>
      </w:r>
      <w:r w:rsidR="00CE22F5" w:rsidRPr="0070085A">
        <w:t>Owner, from a high level</w:t>
      </w:r>
      <w:r w:rsidR="00A564D7">
        <w:t>.</w:t>
      </w:r>
      <w:r w:rsidR="00CE22F5" w:rsidRPr="0070085A">
        <w:t xml:space="preserve"> </w:t>
      </w:r>
      <w:bookmarkStart w:id="59" w:name="_Toc383523610"/>
    </w:p>
    <w:p w14:paraId="0AAA94C2" w14:textId="4EB864B1" w:rsidR="00D54656" w:rsidRDefault="00D54656" w:rsidP="00D54656">
      <w:pPr>
        <w:pStyle w:val="Heading1"/>
        <w:numPr>
          <w:ilvl w:val="1"/>
          <w:numId w:val="22"/>
        </w:numPr>
        <w:rPr>
          <w:rFonts w:ascii="Verdana" w:hAnsi="Verdana"/>
          <w:sz w:val="22"/>
          <w:szCs w:val="22"/>
        </w:rPr>
      </w:pPr>
      <w:bookmarkStart w:id="60" w:name="_Toc522797872"/>
      <w:r w:rsidRPr="00CF6FBE">
        <w:rPr>
          <w:rFonts w:ascii="Verdana" w:hAnsi="Verdana"/>
          <w:sz w:val="22"/>
          <w:szCs w:val="22"/>
        </w:rPr>
        <w:lastRenderedPageBreak/>
        <w:t>Sub Processes</w:t>
      </w:r>
      <w:bookmarkEnd w:id="59"/>
      <w:bookmarkEnd w:id="60"/>
    </w:p>
    <w:p w14:paraId="47C389A9" w14:textId="3384F169" w:rsidR="00327FEA" w:rsidRPr="00327FEA" w:rsidRDefault="00327FEA" w:rsidP="00CF6FBE">
      <w:pPr>
        <w:rPr>
          <w:sz w:val="22"/>
          <w:szCs w:val="22"/>
        </w:rPr>
      </w:pPr>
      <w:r w:rsidRPr="00CF6FBE">
        <w:rPr>
          <w:sz w:val="22"/>
          <w:szCs w:val="22"/>
        </w:rPr>
        <w:t>Not applicable.</w:t>
      </w:r>
    </w:p>
    <w:p w14:paraId="5DC8DF92" w14:textId="37E9F6D9" w:rsidR="002101BC" w:rsidRPr="00A11DEC" w:rsidRDefault="002101BC" w:rsidP="00CF6FBE"/>
    <w:p w14:paraId="75B90F09" w14:textId="218FCD43" w:rsidR="009D3D5B" w:rsidRPr="00A11DEC" w:rsidRDefault="009D3D5B" w:rsidP="00E24F9F">
      <w:pPr>
        <w:pStyle w:val="Text1"/>
        <w:jc w:val="left"/>
        <w:rPr>
          <w:rFonts w:asciiTheme="minorHAnsi" w:hAnsiTheme="minorHAnsi"/>
          <w:sz w:val="22"/>
          <w:szCs w:val="22"/>
        </w:rPr>
        <w:sectPr w:rsidR="009D3D5B" w:rsidRPr="00A11DEC" w:rsidSect="00EC3100">
          <w:headerReference w:type="default" r:id="rId28"/>
          <w:pgSz w:w="16838" w:h="11906" w:orient="landscape" w:code="9"/>
          <w:pgMar w:top="1701" w:right="1985" w:bottom="1418" w:left="1418" w:header="709" w:footer="709" w:gutter="0"/>
          <w:cols w:space="708"/>
          <w:docGrid w:linePitch="360"/>
        </w:sectPr>
      </w:pPr>
    </w:p>
    <w:p w14:paraId="33632B90" w14:textId="77777777" w:rsidR="00E24F9F" w:rsidRPr="00CF6FBE" w:rsidRDefault="00E24F9F" w:rsidP="009F0576">
      <w:pPr>
        <w:pStyle w:val="Heading1"/>
        <w:rPr>
          <w:rFonts w:ascii="Verdana" w:hAnsi="Verdana"/>
        </w:rPr>
      </w:pPr>
      <w:bookmarkStart w:id="61" w:name="_BPM_Representation"/>
      <w:bookmarkStart w:id="62" w:name="_BPM_Representation_1"/>
      <w:bookmarkStart w:id="63" w:name="_Toc367366389"/>
      <w:bookmarkStart w:id="64" w:name="_Toc368569938"/>
      <w:bookmarkStart w:id="65" w:name="_Toc371682170"/>
      <w:bookmarkStart w:id="66" w:name="_Toc381002682"/>
      <w:bookmarkStart w:id="67" w:name="_Toc522797873"/>
      <w:bookmarkEnd w:id="61"/>
      <w:bookmarkEnd w:id="62"/>
      <w:r w:rsidRPr="00CF6FBE">
        <w:rPr>
          <w:rFonts w:ascii="Verdana" w:hAnsi="Verdana"/>
        </w:rPr>
        <w:lastRenderedPageBreak/>
        <w:t>Appendices</w:t>
      </w:r>
      <w:bookmarkEnd w:id="63"/>
      <w:bookmarkEnd w:id="64"/>
      <w:bookmarkEnd w:id="65"/>
      <w:bookmarkEnd w:id="66"/>
      <w:bookmarkEnd w:id="67"/>
    </w:p>
    <w:p w14:paraId="2C1384F2" w14:textId="77777777" w:rsidR="00E24F9F" w:rsidRPr="00A11DEC" w:rsidRDefault="00E24F9F">
      <w:pPr>
        <w:pStyle w:val="Heading2"/>
      </w:pPr>
      <w:bookmarkStart w:id="68" w:name="_Toc367366410"/>
      <w:bookmarkStart w:id="69" w:name="_Toc368569945"/>
      <w:bookmarkStart w:id="70" w:name="_Toc371682177"/>
      <w:bookmarkStart w:id="71" w:name="_Toc381002688"/>
      <w:bookmarkStart w:id="72" w:name="_Toc522797874"/>
      <w:r w:rsidRPr="00A11DEC">
        <w:t>Issues</w:t>
      </w:r>
      <w:bookmarkEnd w:id="68"/>
      <w:bookmarkEnd w:id="69"/>
      <w:bookmarkEnd w:id="70"/>
      <w:bookmarkEnd w:id="71"/>
      <w:bookmarkEnd w:id="72"/>
    </w:p>
    <w:p w14:paraId="03E01069" w14:textId="4A69A194" w:rsidR="00E24F9F" w:rsidRPr="00CB40C5" w:rsidRDefault="00E24F9F" w:rsidP="00EC3100">
      <w:pPr>
        <w:spacing w:before="120" w:after="120"/>
        <w:jc w:val="left"/>
        <w:rPr>
          <w:rFonts w:asciiTheme="minorHAnsi" w:hAnsiTheme="minorHAns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1415"/>
        <w:gridCol w:w="3130"/>
        <w:gridCol w:w="2649"/>
        <w:gridCol w:w="1415"/>
      </w:tblGrid>
      <w:tr w:rsidR="00E24F9F" w:rsidRPr="00327FEA" w14:paraId="78F1114F" w14:textId="77777777" w:rsidTr="00CF6FBE">
        <w:trPr>
          <w:tblHeader/>
        </w:trPr>
        <w:tc>
          <w:tcPr>
            <w:tcW w:w="397" w:type="dxa"/>
            <w:shd w:val="clear" w:color="auto" w:fill="D9D9D9"/>
          </w:tcPr>
          <w:p w14:paraId="45E22D1D" w14:textId="77777777" w:rsidR="00E24F9F" w:rsidRPr="00CF6FBE" w:rsidRDefault="00E24F9F" w:rsidP="00EC3100">
            <w:pPr>
              <w:spacing w:before="120" w:after="120"/>
              <w:jc w:val="left"/>
              <w:rPr>
                <w:rFonts w:cs="Calibri"/>
                <w:szCs w:val="20"/>
              </w:rPr>
            </w:pPr>
            <w:r w:rsidRPr="00CF6FBE">
              <w:rPr>
                <w:rFonts w:cs="Calibri"/>
                <w:szCs w:val="20"/>
              </w:rPr>
              <w:t>#</w:t>
            </w:r>
          </w:p>
        </w:tc>
        <w:tc>
          <w:tcPr>
            <w:tcW w:w="1220" w:type="dxa"/>
            <w:shd w:val="clear" w:color="auto" w:fill="D9D9D9"/>
          </w:tcPr>
          <w:p w14:paraId="10E98861" w14:textId="77777777" w:rsidR="00E24F9F" w:rsidRPr="00CF6FBE" w:rsidRDefault="00E24F9F" w:rsidP="00EC3100">
            <w:pPr>
              <w:spacing w:before="120" w:after="120"/>
              <w:jc w:val="left"/>
              <w:rPr>
                <w:rFonts w:cs="Calibri"/>
                <w:szCs w:val="20"/>
              </w:rPr>
            </w:pPr>
            <w:r w:rsidRPr="00CF6FBE">
              <w:rPr>
                <w:rFonts w:cs="Calibri"/>
                <w:szCs w:val="20"/>
              </w:rPr>
              <w:t>Issue date</w:t>
            </w:r>
          </w:p>
        </w:tc>
        <w:tc>
          <w:tcPr>
            <w:tcW w:w="3455" w:type="dxa"/>
            <w:shd w:val="clear" w:color="auto" w:fill="D9D9D9"/>
          </w:tcPr>
          <w:p w14:paraId="6A21B8B8" w14:textId="77777777" w:rsidR="00E24F9F" w:rsidRPr="00CF6FBE" w:rsidRDefault="00E24F9F" w:rsidP="00EC3100">
            <w:pPr>
              <w:spacing w:before="120" w:after="120"/>
              <w:jc w:val="left"/>
              <w:rPr>
                <w:rFonts w:cs="Calibri"/>
                <w:szCs w:val="20"/>
              </w:rPr>
            </w:pPr>
            <w:r w:rsidRPr="00CF6FBE">
              <w:rPr>
                <w:rFonts w:cs="Calibri"/>
                <w:szCs w:val="20"/>
              </w:rPr>
              <w:t>Description</w:t>
            </w:r>
          </w:p>
        </w:tc>
        <w:tc>
          <w:tcPr>
            <w:tcW w:w="2911" w:type="dxa"/>
            <w:shd w:val="clear" w:color="auto" w:fill="D9D9D9"/>
          </w:tcPr>
          <w:p w14:paraId="2AB84FA0" w14:textId="77777777" w:rsidR="00E24F9F" w:rsidRPr="00CF6FBE" w:rsidRDefault="00E24F9F" w:rsidP="00EC3100">
            <w:pPr>
              <w:spacing w:before="120" w:after="120"/>
              <w:jc w:val="left"/>
              <w:rPr>
                <w:rFonts w:cs="Calibri"/>
                <w:szCs w:val="20"/>
              </w:rPr>
            </w:pPr>
            <w:r w:rsidRPr="00CF6FBE">
              <w:rPr>
                <w:rFonts w:cs="Calibri"/>
                <w:szCs w:val="20"/>
              </w:rPr>
              <w:t>Solution</w:t>
            </w:r>
          </w:p>
        </w:tc>
        <w:tc>
          <w:tcPr>
            <w:tcW w:w="1020" w:type="dxa"/>
            <w:shd w:val="clear" w:color="auto" w:fill="D9D9D9"/>
          </w:tcPr>
          <w:p w14:paraId="7BD36C5C" w14:textId="77777777" w:rsidR="00E24F9F" w:rsidRPr="00CF6FBE" w:rsidRDefault="00E24F9F" w:rsidP="00EC3100">
            <w:pPr>
              <w:spacing w:before="120" w:after="120"/>
              <w:jc w:val="left"/>
              <w:rPr>
                <w:rFonts w:cs="Calibri"/>
                <w:szCs w:val="20"/>
              </w:rPr>
            </w:pPr>
            <w:r w:rsidRPr="00CF6FBE">
              <w:rPr>
                <w:rFonts w:cs="Calibri"/>
                <w:szCs w:val="20"/>
              </w:rPr>
              <w:t>Close date</w:t>
            </w:r>
          </w:p>
        </w:tc>
      </w:tr>
      <w:tr w:rsidR="001E481C" w:rsidRPr="00327FEA" w14:paraId="035D08F6" w14:textId="77777777" w:rsidTr="00857B63">
        <w:tc>
          <w:tcPr>
            <w:tcW w:w="397" w:type="dxa"/>
            <w:shd w:val="clear" w:color="auto" w:fill="auto"/>
          </w:tcPr>
          <w:p w14:paraId="177A66AC" w14:textId="2677E1F6" w:rsidR="001E481C" w:rsidRPr="00CF6FBE" w:rsidRDefault="00857B63" w:rsidP="00EC3100">
            <w:pPr>
              <w:spacing w:before="120" w:after="120"/>
              <w:jc w:val="left"/>
              <w:rPr>
                <w:rFonts w:cs="Calibri"/>
                <w:szCs w:val="20"/>
              </w:rPr>
            </w:pPr>
            <w:r w:rsidRPr="00CF6FBE">
              <w:rPr>
                <w:rFonts w:cs="Calibri"/>
                <w:szCs w:val="20"/>
              </w:rPr>
              <w:t>1</w:t>
            </w:r>
          </w:p>
        </w:tc>
        <w:tc>
          <w:tcPr>
            <w:tcW w:w="1220" w:type="dxa"/>
            <w:shd w:val="clear" w:color="auto" w:fill="auto"/>
          </w:tcPr>
          <w:p w14:paraId="4DC1A375" w14:textId="2F77F9B8" w:rsidR="001E481C" w:rsidRPr="00CF6FBE" w:rsidRDefault="00CB1E3D" w:rsidP="00EC3100">
            <w:pPr>
              <w:spacing w:before="120" w:after="120"/>
              <w:jc w:val="left"/>
              <w:rPr>
                <w:rFonts w:cs="Calibri"/>
                <w:szCs w:val="20"/>
              </w:rPr>
            </w:pPr>
            <w:r w:rsidRPr="00CF6FBE">
              <w:rPr>
                <w:rFonts w:cs="Calibri"/>
                <w:szCs w:val="20"/>
              </w:rPr>
              <w:t>08</w:t>
            </w:r>
            <w:r w:rsidR="00327FEA">
              <w:rPr>
                <w:rFonts w:cs="Calibri"/>
                <w:szCs w:val="20"/>
              </w:rPr>
              <w:t>/</w:t>
            </w:r>
            <w:r w:rsidRPr="00CF6FBE">
              <w:rPr>
                <w:rFonts w:cs="Calibri"/>
                <w:szCs w:val="20"/>
              </w:rPr>
              <w:t>01</w:t>
            </w:r>
            <w:r w:rsidR="00327FEA">
              <w:rPr>
                <w:rFonts w:cs="Calibri"/>
                <w:szCs w:val="20"/>
              </w:rPr>
              <w:t>/</w:t>
            </w:r>
            <w:r w:rsidRPr="00CF6FBE">
              <w:rPr>
                <w:rFonts w:cs="Calibri"/>
                <w:szCs w:val="20"/>
              </w:rPr>
              <w:t>2016</w:t>
            </w:r>
          </w:p>
        </w:tc>
        <w:tc>
          <w:tcPr>
            <w:tcW w:w="3455" w:type="dxa"/>
            <w:shd w:val="clear" w:color="auto" w:fill="auto"/>
          </w:tcPr>
          <w:p w14:paraId="18A8AA94" w14:textId="1DBB2715" w:rsidR="005811E9" w:rsidRPr="00CF6FBE" w:rsidRDefault="00CB1E3D" w:rsidP="00CB1E3D">
            <w:pPr>
              <w:spacing w:before="120" w:after="120"/>
              <w:jc w:val="left"/>
              <w:rPr>
                <w:rFonts w:cs="Calibri"/>
                <w:color w:val="auto"/>
                <w:szCs w:val="20"/>
                <w:lang w:val="en-US"/>
              </w:rPr>
            </w:pPr>
            <w:r w:rsidRPr="00CF6FBE">
              <w:rPr>
                <w:rFonts w:cs="Calibri"/>
                <w:color w:val="auto"/>
                <w:szCs w:val="20"/>
                <w:lang w:val="en-US"/>
              </w:rPr>
              <w:t>Could the "Clarify" option be used more specifically for the SEDS used in the SubProcess for the Payments ?</w:t>
            </w:r>
          </w:p>
        </w:tc>
        <w:tc>
          <w:tcPr>
            <w:tcW w:w="2911" w:type="dxa"/>
          </w:tcPr>
          <w:p w14:paraId="19A4B8E6" w14:textId="25C47E26" w:rsidR="0070732D" w:rsidRPr="00CF6FBE" w:rsidRDefault="00C05489" w:rsidP="00EC3100">
            <w:pPr>
              <w:spacing w:before="120" w:after="120"/>
              <w:jc w:val="left"/>
              <w:rPr>
                <w:rFonts w:cs="Calibri"/>
                <w:szCs w:val="20"/>
              </w:rPr>
            </w:pPr>
            <w:r w:rsidRPr="00CF6FBE">
              <w:rPr>
                <w:rFonts w:cs="Calibri"/>
                <w:szCs w:val="20"/>
              </w:rPr>
              <w:t>H001 is enough</w:t>
            </w:r>
          </w:p>
        </w:tc>
        <w:tc>
          <w:tcPr>
            <w:tcW w:w="1020" w:type="dxa"/>
            <w:shd w:val="clear" w:color="auto" w:fill="auto"/>
          </w:tcPr>
          <w:p w14:paraId="5F560DD2" w14:textId="143F9248" w:rsidR="001E481C" w:rsidRPr="00CF6FBE" w:rsidRDefault="00393DAB" w:rsidP="00EC3100">
            <w:pPr>
              <w:spacing w:before="120" w:after="120"/>
              <w:jc w:val="left"/>
              <w:rPr>
                <w:rFonts w:cs="Calibri"/>
                <w:szCs w:val="20"/>
              </w:rPr>
            </w:pPr>
            <w:r w:rsidRPr="00CF6FBE">
              <w:rPr>
                <w:rFonts w:cs="Calibri"/>
                <w:szCs w:val="20"/>
              </w:rPr>
              <w:t>10</w:t>
            </w:r>
            <w:r w:rsidR="00327FEA">
              <w:rPr>
                <w:rFonts w:cs="Calibri"/>
                <w:szCs w:val="20"/>
              </w:rPr>
              <w:t>/</w:t>
            </w:r>
            <w:r w:rsidRPr="00CF6FBE">
              <w:rPr>
                <w:rFonts w:cs="Calibri"/>
                <w:szCs w:val="20"/>
              </w:rPr>
              <w:t>05</w:t>
            </w:r>
            <w:r w:rsidR="00327FEA">
              <w:rPr>
                <w:rFonts w:cs="Calibri"/>
                <w:szCs w:val="20"/>
              </w:rPr>
              <w:t>/</w:t>
            </w:r>
            <w:r w:rsidRPr="00CF6FBE">
              <w:rPr>
                <w:rFonts w:cs="Calibri"/>
                <w:szCs w:val="20"/>
              </w:rPr>
              <w:t>2016</w:t>
            </w:r>
          </w:p>
        </w:tc>
      </w:tr>
      <w:tr w:rsidR="004E3612" w:rsidRPr="00327FEA" w14:paraId="5CF6B2EF" w14:textId="77777777" w:rsidTr="00857B63">
        <w:tc>
          <w:tcPr>
            <w:tcW w:w="397" w:type="dxa"/>
            <w:shd w:val="clear" w:color="auto" w:fill="auto"/>
          </w:tcPr>
          <w:p w14:paraId="6BDDADD0" w14:textId="6E494C6E" w:rsidR="004E3612" w:rsidRPr="00CF6FBE" w:rsidRDefault="00857B63" w:rsidP="00EC3100">
            <w:pPr>
              <w:spacing w:before="120" w:after="120"/>
              <w:jc w:val="left"/>
              <w:rPr>
                <w:rFonts w:cs="Calibri"/>
                <w:szCs w:val="20"/>
              </w:rPr>
            </w:pPr>
            <w:r w:rsidRPr="00CF6FBE">
              <w:rPr>
                <w:rFonts w:cs="Calibri"/>
                <w:szCs w:val="20"/>
              </w:rPr>
              <w:t>2</w:t>
            </w:r>
          </w:p>
        </w:tc>
        <w:tc>
          <w:tcPr>
            <w:tcW w:w="1220" w:type="dxa"/>
            <w:shd w:val="clear" w:color="auto" w:fill="auto"/>
          </w:tcPr>
          <w:p w14:paraId="3261EB97" w14:textId="315C8A1F" w:rsidR="004E3612" w:rsidRPr="00CF6FBE" w:rsidRDefault="000308A6" w:rsidP="00EC3100">
            <w:pPr>
              <w:spacing w:before="120" w:after="120"/>
              <w:jc w:val="left"/>
              <w:rPr>
                <w:rFonts w:cs="Calibri"/>
                <w:szCs w:val="20"/>
              </w:rPr>
            </w:pPr>
            <w:r w:rsidRPr="00CF6FBE">
              <w:rPr>
                <w:rFonts w:cs="Calibri"/>
                <w:szCs w:val="20"/>
              </w:rPr>
              <w:t>08</w:t>
            </w:r>
            <w:r w:rsidR="00327FEA">
              <w:rPr>
                <w:rFonts w:cs="Calibri"/>
                <w:szCs w:val="20"/>
              </w:rPr>
              <w:t>/</w:t>
            </w:r>
            <w:r w:rsidRPr="00CF6FBE">
              <w:rPr>
                <w:rFonts w:cs="Calibri"/>
                <w:szCs w:val="20"/>
              </w:rPr>
              <w:t>01</w:t>
            </w:r>
            <w:r w:rsidR="00327FEA">
              <w:rPr>
                <w:rFonts w:cs="Calibri"/>
                <w:szCs w:val="20"/>
              </w:rPr>
              <w:t>/</w:t>
            </w:r>
            <w:r w:rsidRPr="00CF6FBE">
              <w:rPr>
                <w:rFonts w:cs="Calibri"/>
                <w:szCs w:val="20"/>
              </w:rPr>
              <w:t>2016</w:t>
            </w:r>
          </w:p>
        </w:tc>
        <w:tc>
          <w:tcPr>
            <w:tcW w:w="3455" w:type="dxa"/>
            <w:shd w:val="clear" w:color="auto" w:fill="auto"/>
          </w:tcPr>
          <w:p w14:paraId="2172BB45" w14:textId="77777777" w:rsidR="005811E9" w:rsidRPr="00327FEA" w:rsidRDefault="000308A6" w:rsidP="004E3612">
            <w:pPr>
              <w:rPr>
                <w:color w:val="auto"/>
                <w:szCs w:val="20"/>
                <w:lang w:val="en-US"/>
              </w:rPr>
            </w:pPr>
            <w:r w:rsidRPr="00327FEA">
              <w:rPr>
                <w:color w:val="auto"/>
                <w:szCs w:val="20"/>
                <w:lang w:val="en-US"/>
              </w:rPr>
              <w:t>Page 61 of the Guidelines document, when describing the DA052 – Notification of appeal, it is written :</w:t>
            </w:r>
          </w:p>
          <w:p w14:paraId="5F80FD38" w14:textId="77777777" w:rsidR="000308A6" w:rsidRPr="00327FEA" w:rsidRDefault="000308A6" w:rsidP="004E3612">
            <w:pPr>
              <w:rPr>
                <w:color w:val="auto"/>
                <w:szCs w:val="20"/>
                <w:lang w:val="en-US"/>
              </w:rPr>
            </w:pPr>
          </w:p>
          <w:p w14:paraId="161FC471" w14:textId="77777777" w:rsidR="000308A6" w:rsidRPr="00327FEA" w:rsidRDefault="000308A6" w:rsidP="004E3612">
            <w:pPr>
              <w:rPr>
                <w:i/>
                <w:color w:val="auto"/>
                <w:szCs w:val="20"/>
                <w:lang w:val="en-US"/>
              </w:rPr>
            </w:pPr>
            <w:r w:rsidRPr="00327FEA">
              <w:rPr>
                <w:color w:val="auto"/>
                <w:szCs w:val="20"/>
                <w:lang w:val="en-US"/>
              </w:rPr>
              <w:t>"</w:t>
            </w:r>
            <w:r w:rsidRPr="00327FEA">
              <w:rPr>
                <w:i/>
                <w:color w:val="auto"/>
                <w:szCs w:val="20"/>
                <w:lang w:val="en-US"/>
              </w:rPr>
              <w:t>The Member State against which decision to refuse benefits an appeal was lodged informs the Member State to which the declaration or notification was forwarded to about the appeal".</w:t>
            </w:r>
          </w:p>
          <w:p w14:paraId="6D671EBE" w14:textId="77777777" w:rsidR="000308A6" w:rsidRPr="00327FEA" w:rsidRDefault="000308A6" w:rsidP="004E3612">
            <w:pPr>
              <w:rPr>
                <w:i/>
                <w:color w:val="auto"/>
                <w:szCs w:val="20"/>
                <w:lang w:val="en-US"/>
              </w:rPr>
            </w:pPr>
          </w:p>
          <w:p w14:paraId="07256942" w14:textId="77777777" w:rsidR="000308A6" w:rsidRPr="00327FEA" w:rsidRDefault="000308A6" w:rsidP="004E3612">
            <w:pPr>
              <w:rPr>
                <w:color w:val="auto"/>
                <w:szCs w:val="20"/>
                <w:lang w:val="en-US"/>
              </w:rPr>
            </w:pPr>
            <w:r w:rsidRPr="00327FEA">
              <w:rPr>
                <w:color w:val="auto"/>
                <w:szCs w:val="20"/>
                <w:lang w:val="en-US"/>
              </w:rPr>
              <w:t>While in the Regulation Art(37) 987/2009 it is written :</w:t>
            </w:r>
          </w:p>
          <w:p w14:paraId="56D0C884" w14:textId="77777777" w:rsidR="000308A6" w:rsidRPr="000145E2" w:rsidRDefault="000308A6" w:rsidP="004E3612">
            <w:pPr>
              <w:rPr>
                <w:i/>
                <w:color w:val="auto"/>
                <w:szCs w:val="20"/>
                <w:lang w:val="en-US"/>
              </w:rPr>
            </w:pPr>
            <w:r w:rsidRPr="00117BAF">
              <w:rPr>
                <w:i/>
                <w:color w:val="auto"/>
                <w:szCs w:val="20"/>
                <w:lang w:val="en-US"/>
              </w:rPr>
              <w:t>"In the event of an appeal…, that institution shall inform the institution to which the declaration or notification w</w:t>
            </w:r>
            <w:r w:rsidRPr="0071736D">
              <w:rPr>
                <w:i/>
                <w:color w:val="auto"/>
                <w:szCs w:val="20"/>
                <w:lang w:val="en-US"/>
              </w:rPr>
              <w:t>as sent…"</w:t>
            </w:r>
          </w:p>
          <w:p w14:paraId="53D41EAB" w14:textId="77777777" w:rsidR="000308A6" w:rsidRPr="009434B3" w:rsidRDefault="000308A6" w:rsidP="004E3612">
            <w:pPr>
              <w:rPr>
                <w:i/>
                <w:color w:val="auto"/>
                <w:szCs w:val="20"/>
                <w:lang w:val="en-US"/>
              </w:rPr>
            </w:pPr>
          </w:p>
          <w:p w14:paraId="7B185A71" w14:textId="77777777" w:rsidR="000308A6" w:rsidRPr="009C35C8" w:rsidRDefault="000308A6" w:rsidP="004E3612">
            <w:pPr>
              <w:rPr>
                <w:color w:val="auto"/>
                <w:szCs w:val="20"/>
                <w:lang w:val="en-US"/>
              </w:rPr>
            </w:pPr>
            <w:r w:rsidRPr="009C35C8">
              <w:rPr>
                <w:color w:val="auto"/>
                <w:szCs w:val="20"/>
                <w:lang w:val="en-US"/>
              </w:rPr>
              <w:t>It seems that in the guidelines the Member State which sends the appeal is Member State which takes the decision to refuse benefits.  While in the Regulation is the opposite.</w:t>
            </w:r>
          </w:p>
          <w:p w14:paraId="2CD5EE3A" w14:textId="77777777" w:rsidR="000308A6" w:rsidRPr="00027C6A" w:rsidRDefault="000308A6" w:rsidP="004E3612">
            <w:pPr>
              <w:rPr>
                <w:color w:val="auto"/>
                <w:szCs w:val="20"/>
                <w:lang w:val="en-US"/>
              </w:rPr>
            </w:pPr>
          </w:p>
          <w:p w14:paraId="2620F1A0" w14:textId="77777777" w:rsidR="000308A6" w:rsidRPr="00CF6FBE" w:rsidRDefault="000308A6" w:rsidP="004E3612">
            <w:pPr>
              <w:rPr>
                <w:color w:val="auto"/>
                <w:szCs w:val="20"/>
                <w:lang w:val="en-US"/>
              </w:rPr>
            </w:pPr>
            <w:r w:rsidRPr="00CF6FBE">
              <w:rPr>
                <w:color w:val="auto"/>
                <w:szCs w:val="20"/>
                <w:lang w:val="en-US"/>
              </w:rPr>
              <w:t>What is the right one ?</w:t>
            </w:r>
          </w:p>
          <w:p w14:paraId="7197D067" w14:textId="7E24E71E" w:rsidR="000308A6" w:rsidRPr="00CF6FBE" w:rsidRDefault="000308A6" w:rsidP="004E3612">
            <w:pPr>
              <w:rPr>
                <w:color w:val="auto"/>
                <w:szCs w:val="20"/>
                <w:lang w:val="en-US"/>
              </w:rPr>
            </w:pPr>
            <w:r w:rsidRPr="00CF6FBE">
              <w:rPr>
                <w:color w:val="auto"/>
                <w:szCs w:val="20"/>
                <w:lang w:val="en-US"/>
              </w:rPr>
              <w:t>If the Guidelines is wrong, it should be updated.</w:t>
            </w:r>
          </w:p>
        </w:tc>
        <w:tc>
          <w:tcPr>
            <w:tcW w:w="2911" w:type="dxa"/>
          </w:tcPr>
          <w:p w14:paraId="13E61FE9" w14:textId="77777777" w:rsidR="00C05489" w:rsidRPr="00CF6FBE" w:rsidRDefault="00C05489" w:rsidP="00C05489">
            <w:pPr>
              <w:spacing w:before="120" w:after="120"/>
              <w:jc w:val="left"/>
              <w:rPr>
                <w:rFonts w:cs="Calibri"/>
                <w:szCs w:val="20"/>
              </w:rPr>
            </w:pPr>
            <w:r w:rsidRPr="00CF6FBE">
              <w:rPr>
                <w:rFonts w:cs="Calibri"/>
                <w:szCs w:val="20"/>
              </w:rPr>
              <w:t xml:space="preserve">The guidelines will be updated and corrected if necessary after all of the BUCs will be finalized. </w:t>
            </w:r>
          </w:p>
          <w:p w14:paraId="6822E35F" w14:textId="6869EAF0" w:rsidR="004E3612" w:rsidRPr="00CF6FBE" w:rsidRDefault="004E3612" w:rsidP="00EC3100">
            <w:pPr>
              <w:spacing w:before="120" w:after="120"/>
              <w:jc w:val="left"/>
              <w:rPr>
                <w:rFonts w:cs="Calibri"/>
                <w:szCs w:val="20"/>
              </w:rPr>
            </w:pPr>
          </w:p>
        </w:tc>
        <w:tc>
          <w:tcPr>
            <w:tcW w:w="1020" w:type="dxa"/>
            <w:shd w:val="clear" w:color="auto" w:fill="auto"/>
          </w:tcPr>
          <w:p w14:paraId="1D799931" w14:textId="0FBF776D" w:rsidR="004E3612" w:rsidRPr="00CF6FBE" w:rsidRDefault="00393DAB" w:rsidP="00EC3100">
            <w:pPr>
              <w:spacing w:before="120" w:after="120"/>
              <w:jc w:val="left"/>
              <w:rPr>
                <w:rFonts w:cs="Calibri"/>
                <w:szCs w:val="20"/>
              </w:rPr>
            </w:pPr>
            <w:r w:rsidRPr="00CF6FBE">
              <w:rPr>
                <w:rFonts w:cs="Calibri"/>
                <w:szCs w:val="20"/>
              </w:rPr>
              <w:t>10</w:t>
            </w:r>
            <w:r w:rsidR="00327FEA">
              <w:rPr>
                <w:rFonts w:cs="Calibri"/>
                <w:szCs w:val="20"/>
              </w:rPr>
              <w:t>/</w:t>
            </w:r>
            <w:r w:rsidRPr="00CF6FBE">
              <w:rPr>
                <w:rFonts w:cs="Calibri"/>
                <w:szCs w:val="20"/>
              </w:rPr>
              <w:t>05</w:t>
            </w:r>
            <w:r w:rsidR="00327FEA">
              <w:rPr>
                <w:rFonts w:cs="Calibri"/>
                <w:szCs w:val="20"/>
              </w:rPr>
              <w:t>/</w:t>
            </w:r>
            <w:r w:rsidRPr="00CF6FBE">
              <w:rPr>
                <w:rFonts w:cs="Calibri"/>
                <w:szCs w:val="20"/>
              </w:rPr>
              <w:t>2016</w:t>
            </w:r>
          </w:p>
        </w:tc>
      </w:tr>
      <w:tr w:rsidR="004E3612" w:rsidRPr="00327FEA" w14:paraId="1A1953E5" w14:textId="77777777" w:rsidTr="00857B63">
        <w:tc>
          <w:tcPr>
            <w:tcW w:w="397" w:type="dxa"/>
            <w:shd w:val="clear" w:color="auto" w:fill="auto"/>
          </w:tcPr>
          <w:p w14:paraId="7D56AD99" w14:textId="26DFFC08" w:rsidR="004E3612" w:rsidRPr="00CF6FBE" w:rsidRDefault="0030468C" w:rsidP="00EC3100">
            <w:pPr>
              <w:spacing w:before="120" w:after="120"/>
              <w:jc w:val="left"/>
              <w:rPr>
                <w:rFonts w:cs="Calibri"/>
                <w:szCs w:val="20"/>
              </w:rPr>
            </w:pPr>
            <w:r w:rsidRPr="00CF6FBE">
              <w:rPr>
                <w:rFonts w:cs="Calibri"/>
                <w:szCs w:val="20"/>
              </w:rPr>
              <w:t>3</w:t>
            </w:r>
          </w:p>
        </w:tc>
        <w:tc>
          <w:tcPr>
            <w:tcW w:w="1220" w:type="dxa"/>
            <w:shd w:val="clear" w:color="auto" w:fill="auto"/>
          </w:tcPr>
          <w:p w14:paraId="014ED420" w14:textId="46F029C1" w:rsidR="004E3612" w:rsidRPr="00CF6FBE" w:rsidRDefault="0030468C" w:rsidP="00EC3100">
            <w:pPr>
              <w:spacing w:before="120" w:after="120"/>
              <w:jc w:val="left"/>
              <w:rPr>
                <w:rFonts w:cs="Calibri"/>
                <w:szCs w:val="20"/>
              </w:rPr>
            </w:pPr>
            <w:r w:rsidRPr="00CF6FBE">
              <w:rPr>
                <w:rFonts w:cs="Calibri"/>
                <w:szCs w:val="20"/>
              </w:rPr>
              <w:t>10</w:t>
            </w:r>
            <w:r w:rsidR="00327FEA">
              <w:rPr>
                <w:rFonts w:cs="Calibri"/>
                <w:szCs w:val="20"/>
              </w:rPr>
              <w:t>/</w:t>
            </w:r>
            <w:r w:rsidRPr="00CF6FBE">
              <w:rPr>
                <w:rFonts w:cs="Calibri"/>
                <w:szCs w:val="20"/>
              </w:rPr>
              <w:t>05</w:t>
            </w:r>
            <w:r w:rsidR="00327FEA">
              <w:rPr>
                <w:rFonts w:cs="Calibri"/>
                <w:szCs w:val="20"/>
              </w:rPr>
              <w:t>/</w:t>
            </w:r>
            <w:r w:rsidRPr="00CF6FBE">
              <w:rPr>
                <w:rFonts w:cs="Calibri"/>
                <w:szCs w:val="20"/>
              </w:rPr>
              <w:t>2016</w:t>
            </w:r>
          </w:p>
        </w:tc>
        <w:tc>
          <w:tcPr>
            <w:tcW w:w="3455" w:type="dxa"/>
            <w:shd w:val="clear" w:color="auto" w:fill="auto"/>
          </w:tcPr>
          <w:p w14:paraId="1C51358C" w14:textId="38BEAD0F" w:rsidR="004E3612" w:rsidRPr="00CF6FBE" w:rsidRDefault="0030468C" w:rsidP="006707DF">
            <w:pPr>
              <w:rPr>
                <w:szCs w:val="20"/>
              </w:rPr>
            </w:pPr>
            <w:r w:rsidRPr="00CF6FBE">
              <w:rPr>
                <w:szCs w:val="20"/>
              </w:rPr>
              <w:t>Branch 4 : At any step after [step 5]…</w:t>
            </w:r>
          </w:p>
          <w:p w14:paraId="3277B79F" w14:textId="77777777" w:rsidR="0030468C" w:rsidRPr="00CF6FBE" w:rsidRDefault="0030468C" w:rsidP="006707DF">
            <w:pPr>
              <w:rPr>
                <w:szCs w:val="20"/>
              </w:rPr>
            </w:pPr>
          </w:p>
          <w:p w14:paraId="35CC139F" w14:textId="77777777" w:rsidR="0030468C" w:rsidRPr="00CF6FBE" w:rsidRDefault="0030468C" w:rsidP="0030468C">
            <w:pPr>
              <w:pStyle w:val="CommentText"/>
              <w:rPr>
                <w:rFonts w:ascii="Verdana" w:hAnsi="Verdana"/>
              </w:rPr>
            </w:pPr>
            <w:r w:rsidRPr="00CF6FBE">
              <w:rPr>
                <w:rFonts w:ascii="Verdana" w:hAnsi="Verdana"/>
              </w:rPr>
              <w:t xml:space="preserve">Is this correct when it </w:t>
            </w:r>
            <w:r w:rsidRPr="00CF6FBE">
              <w:rPr>
                <w:rFonts w:ascii="Verdana" w:hAnsi="Verdana"/>
              </w:rPr>
              <w:lastRenderedPageBreak/>
              <w:t>comes to the reminder for H001?</w:t>
            </w:r>
          </w:p>
          <w:p w14:paraId="711991D3" w14:textId="77777777" w:rsidR="0030468C" w:rsidRPr="00CF6FBE" w:rsidRDefault="0030468C" w:rsidP="0030468C">
            <w:pPr>
              <w:pStyle w:val="CommentText"/>
              <w:rPr>
                <w:rFonts w:ascii="Verdana" w:hAnsi="Verdana"/>
              </w:rPr>
            </w:pPr>
          </w:p>
          <w:p w14:paraId="7CFC4E66" w14:textId="77777777" w:rsidR="0030468C" w:rsidRPr="00CF6FBE" w:rsidRDefault="0030468C" w:rsidP="0030468C">
            <w:pPr>
              <w:pStyle w:val="CommentText"/>
              <w:rPr>
                <w:rFonts w:ascii="Verdana" w:hAnsi="Verdana"/>
              </w:rPr>
            </w:pPr>
            <w:r w:rsidRPr="00CF6FBE">
              <w:rPr>
                <w:rFonts w:ascii="Verdana" w:hAnsi="Verdana"/>
              </w:rPr>
              <w:t>Case Owner can send H001 only after step 8, therefore it is not possible to send a reminder after step 5 in order to “receive the answer to AdHoc Information”</w:t>
            </w:r>
          </w:p>
          <w:p w14:paraId="76589DE8" w14:textId="77777777" w:rsidR="0030468C" w:rsidRPr="00CF6FBE" w:rsidRDefault="0030468C" w:rsidP="0030468C">
            <w:pPr>
              <w:pStyle w:val="CommentText"/>
              <w:rPr>
                <w:rFonts w:ascii="Verdana" w:hAnsi="Verdana"/>
              </w:rPr>
            </w:pPr>
          </w:p>
          <w:p w14:paraId="482C87BF" w14:textId="1DFCB8EE" w:rsidR="0030468C" w:rsidRPr="00CF6FBE" w:rsidRDefault="0030468C" w:rsidP="009E1E59">
            <w:pPr>
              <w:pStyle w:val="CommentText"/>
              <w:rPr>
                <w:rFonts w:ascii="Verdana" w:hAnsi="Verdana"/>
              </w:rPr>
            </w:pPr>
          </w:p>
        </w:tc>
        <w:tc>
          <w:tcPr>
            <w:tcW w:w="2911" w:type="dxa"/>
          </w:tcPr>
          <w:p w14:paraId="62B85C27" w14:textId="77777777" w:rsidR="0030468C" w:rsidRPr="00CF6FBE" w:rsidRDefault="0030468C" w:rsidP="0030468C">
            <w:pPr>
              <w:pStyle w:val="CommentText"/>
              <w:rPr>
                <w:rFonts w:ascii="Verdana" w:hAnsi="Verdana"/>
              </w:rPr>
            </w:pPr>
            <w:r w:rsidRPr="00CF6FBE">
              <w:rPr>
                <w:rFonts w:ascii="Verdana" w:hAnsi="Verdana"/>
              </w:rPr>
              <w:lastRenderedPageBreak/>
              <w:t>Answer :</w:t>
            </w:r>
          </w:p>
          <w:p w14:paraId="55B42C18" w14:textId="77777777" w:rsidR="0030468C" w:rsidRPr="00CF6FBE" w:rsidRDefault="0030468C" w:rsidP="0030468C">
            <w:pPr>
              <w:pStyle w:val="CommentText"/>
              <w:rPr>
                <w:rFonts w:ascii="Verdana" w:hAnsi="Verdana"/>
              </w:rPr>
            </w:pPr>
            <w:r w:rsidRPr="00CF6FBE">
              <w:rPr>
                <w:rFonts w:ascii="Verdana" w:hAnsi="Verdana"/>
              </w:rPr>
              <w:t xml:space="preserve">This step allows the clerk to send a reminder either when </w:t>
            </w:r>
            <w:r w:rsidRPr="00CF6FBE">
              <w:rPr>
                <w:rFonts w:ascii="Verdana" w:hAnsi="Verdana"/>
              </w:rPr>
              <w:lastRenderedPageBreak/>
              <w:t>he did not receive the expected answer (DA054);</w:t>
            </w:r>
          </w:p>
          <w:p w14:paraId="7C0C6C15" w14:textId="77777777" w:rsidR="0030468C" w:rsidRPr="00CF6FBE" w:rsidRDefault="0030468C" w:rsidP="0030468C">
            <w:pPr>
              <w:pStyle w:val="CommentText"/>
              <w:rPr>
                <w:rFonts w:ascii="Verdana" w:hAnsi="Verdana"/>
              </w:rPr>
            </w:pPr>
            <w:r w:rsidRPr="00CF6FBE">
              <w:rPr>
                <w:rFonts w:ascii="Verdana" w:hAnsi="Verdana"/>
              </w:rPr>
              <w:t>Either when he sent a H001 to request additional information which are not yet received.</w:t>
            </w:r>
          </w:p>
          <w:p w14:paraId="6F608619" w14:textId="56C350B9" w:rsidR="004E3612" w:rsidRPr="00CF6FBE" w:rsidRDefault="004E3612" w:rsidP="00EC3100">
            <w:pPr>
              <w:spacing w:before="120" w:after="120"/>
              <w:jc w:val="left"/>
              <w:rPr>
                <w:rFonts w:cs="Calibri"/>
                <w:szCs w:val="20"/>
              </w:rPr>
            </w:pPr>
          </w:p>
        </w:tc>
        <w:tc>
          <w:tcPr>
            <w:tcW w:w="1020" w:type="dxa"/>
            <w:shd w:val="clear" w:color="auto" w:fill="auto"/>
          </w:tcPr>
          <w:p w14:paraId="65055EF9" w14:textId="42ADD89E" w:rsidR="004E3612" w:rsidRPr="00CF6FBE" w:rsidRDefault="00393DAB" w:rsidP="00EC3100">
            <w:pPr>
              <w:spacing w:before="120" w:after="120"/>
              <w:jc w:val="left"/>
              <w:rPr>
                <w:rFonts w:cs="Calibri"/>
                <w:szCs w:val="20"/>
              </w:rPr>
            </w:pPr>
            <w:r w:rsidRPr="00CF6FBE">
              <w:rPr>
                <w:rFonts w:cs="Calibri"/>
                <w:szCs w:val="20"/>
              </w:rPr>
              <w:lastRenderedPageBreak/>
              <w:t>10</w:t>
            </w:r>
            <w:r w:rsidR="00327FEA">
              <w:rPr>
                <w:rFonts w:cs="Calibri"/>
                <w:szCs w:val="20"/>
              </w:rPr>
              <w:t>/</w:t>
            </w:r>
            <w:r w:rsidRPr="00CF6FBE">
              <w:rPr>
                <w:rFonts w:cs="Calibri"/>
                <w:szCs w:val="20"/>
              </w:rPr>
              <w:t>05</w:t>
            </w:r>
            <w:r w:rsidR="00327FEA">
              <w:rPr>
                <w:rFonts w:cs="Calibri"/>
                <w:szCs w:val="20"/>
              </w:rPr>
              <w:t>/</w:t>
            </w:r>
            <w:r w:rsidRPr="00CF6FBE">
              <w:rPr>
                <w:rFonts w:cs="Calibri"/>
                <w:szCs w:val="20"/>
              </w:rPr>
              <w:t>2016</w:t>
            </w:r>
          </w:p>
        </w:tc>
      </w:tr>
      <w:tr w:rsidR="00327FEA" w:rsidRPr="00327FEA" w14:paraId="6AAEC9AB" w14:textId="77777777" w:rsidTr="00857B63">
        <w:tc>
          <w:tcPr>
            <w:tcW w:w="397" w:type="dxa"/>
            <w:shd w:val="clear" w:color="auto" w:fill="auto"/>
          </w:tcPr>
          <w:p w14:paraId="5856EEEF" w14:textId="4E7B95AA" w:rsidR="00327FEA" w:rsidRPr="00327FEA" w:rsidRDefault="00327FEA" w:rsidP="00EC3100">
            <w:pPr>
              <w:spacing w:before="120" w:after="120"/>
              <w:jc w:val="left"/>
              <w:rPr>
                <w:rFonts w:cs="Calibri"/>
                <w:szCs w:val="20"/>
              </w:rPr>
            </w:pPr>
            <w:r>
              <w:rPr>
                <w:rFonts w:cs="Calibri"/>
                <w:szCs w:val="20"/>
              </w:rPr>
              <w:lastRenderedPageBreak/>
              <w:t>4</w:t>
            </w:r>
          </w:p>
        </w:tc>
        <w:tc>
          <w:tcPr>
            <w:tcW w:w="1220" w:type="dxa"/>
            <w:shd w:val="clear" w:color="auto" w:fill="auto"/>
          </w:tcPr>
          <w:p w14:paraId="1A192ADB" w14:textId="255AD857" w:rsidR="00327FEA" w:rsidRPr="00327FEA" w:rsidRDefault="00327FEA" w:rsidP="00EC3100">
            <w:pPr>
              <w:spacing w:before="120" w:after="120"/>
              <w:jc w:val="left"/>
              <w:rPr>
                <w:rFonts w:cs="Calibri"/>
                <w:szCs w:val="20"/>
              </w:rPr>
            </w:pPr>
            <w:r>
              <w:rPr>
                <w:rFonts w:cs="Calibri"/>
                <w:szCs w:val="20"/>
              </w:rPr>
              <w:t>27/06/2016</w:t>
            </w:r>
          </w:p>
        </w:tc>
        <w:tc>
          <w:tcPr>
            <w:tcW w:w="3455" w:type="dxa"/>
            <w:shd w:val="clear" w:color="auto" w:fill="auto"/>
          </w:tcPr>
          <w:p w14:paraId="528DD9D7" w14:textId="292A5766" w:rsidR="00327FEA" w:rsidRPr="00CF6FBE" w:rsidRDefault="00327FEA" w:rsidP="006707DF">
            <w:pPr>
              <w:rPr>
                <w:szCs w:val="20"/>
              </w:rPr>
            </w:pPr>
            <w:r>
              <w:rPr>
                <w:szCs w:val="20"/>
              </w:rPr>
              <w:t>Conversion of BPMN model to split between Case Owner and Counterparty</w:t>
            </w:r>
          </w:p>
        </w:tc>
        <w:tc>
          <w:tcPr>
            <w:tcW w:w="2911" w:type="dxa"/>
          </w:tcPr>
          <w:p w14:paraId="26EAF57C" w14:textId="5867BD11" w:rsidR="00327FEA" w:rsidRPr="00CF6FBE" w:rsidRDefault="00327FEA" w:rsidP="0030468C">
            <w:pPr>
              <w:pStyle w:val="CommentText"/>
              <w:rPr>
                <w:rFonts w:ascii="Verdana" w:hAnsi="Verdana"/>
              </w:rPr>
            </w:pPr>
            <w:r>
              <w:rPr>
                <w:rFonts w:ascii="Verdana" w:hAnsi="Verdana"/>
              </w:rPr>
              <w:t>Scheduled for update.</w:t>
            </w:r>
          </w:p>
        </w:tc>
        <w:tc>
          <w:tcPr>
            <w:tcW w:w="1020" w:type="dxa"/>
            <w:shd w:val="clear" w:color="auto" w:fill="auto"/>
          </w:tcPr>
          <w:p w14:paraId="1ED84A80" w14:textId="77777777" w:rsidR="00327FEA" w:rsidRPr="00CF6FBE" w:rsidRDefault="00327FEA" w:rsidP="00EC3100">
            <w:pPr>
              <w:spacing w:before="120" w:after="120"/>
              <w:jc w:val="left"/>
              <w:rPr>
                <w:rFonts w:cs="Calibri"/>
                <w:b/>
                <w:szCs w:val="20"/>
              </w:rPr>
            </w:pPr>
          </w:p>
        </w:tc>
      </w:tr>
      <w:tr w:rsidR="009B3CE9" w:rsidRPr="00327FEA" w14:paraId="329EDA17" w14:textId="77777777" w:rsidTr="00857B63">
        <w:tc>
          <w:tcPr>
            <w:tcW w:w="397" w:type="dxa"/>
            <w:shd w:val="clear" w:color="auto" w:fill="auto"/>
          </w:tcPr>
          <w:p w14:paraId="3C875E6D" w14:textId="132164F2" w:rsidR="009B3CE9" w:rsidRDefault="009B3CE9" w:rsidP="00EC3100">
            <w:pPr>
              <w:spacing w:before="120" w:after="120"/>
              <w:jc w:val="left"/>
              <w:rPr>
                <w:rFonts w:cs="Calibri"/>
                <w:szCs w:val="20"/>
              </w:rPr>
            </w:pPr>
            <w:r>
              <w:rPr>
                <w:rFonts w:cs="Calibri"/>
                <w:szCs w:val="20"/>
              </w:rPr>
              <w:t>5</w:t>
            </w:r>
          </w:p>
        </w:tc>
        <w:tc>
          <w:tcPr>
            <w:tcW w:w="1220" w:type="dxa"/>
            <w:shd w:val="clear" w:color="auto" w:fill="auto"/>
          </w:tcPr>
          <w:p w14:paraId="303E560A" w14:textId="0BE826FB" w:rsidR="009B3CE9" w:rsidRDefault="009B3CE9" w:rsidP="00EC3100">
            <w:pPr>
              <w:spacing w:before="120" w:after="120"/>
              <w:jc w:val="left"/>
              <w:rPr>
                <w:rFonts w:cs="Calibri"/>
                <w:szCs w:val="20"/>
              </w:rPr>
            </w:pPr>
            <w:r>
              <w:rPr>
                <w:rFonts w:cs="Calibri"/>
                <w:szCs w:val="20"/>
              </w:rPr>
              <w:t>26/09/2016</w:t>
            </w:r>
          </w:p>
        </w:tc>
        <w:tc>
          <w:tcPr>
            <w:tcW w:w="3455" w:type="dxa"/>
            <w:shd w:val="clear" w:color="auto" w:fill="auto"/>
          </w:tcPr>
          <w:p w14:paraId="62777A53" w14:textId="52F12252" w:rsidR="009B3CE9" w:rsidRDefault="009B3CE9" w:rsidP="006707DF">
            <w:pPr>
              <w:rPr>
                <w:szCs w:val="20"/>
              </w:rPr>
            </w:pPr>
            <w:r>
              <w:rPr>
                <w:szCs w:val="20"/>
              </w:rPr>
              <w:t>Admin BUC Clarify to be added to the BPMN process diagram.</w:t>
            </w:r>
          </w:p>
        </w:tc>
        <w:tc>
          <w:tcPr>
            <w:tcW w:w="2911" w:type="dxa"/>
          </w:tcPr>
          <w:p w14:paraId="1C9CA0F0" w14:textId="07BE8EF1" w:rsidR="009B3CE9" w:rsidRDefault="009B3CE9" w:rsidP="0030468C">
            <w:pPr>
              <w:pStyle w:val="CommentText"/>
              <w:rPr>
                <w:rFonts w:ascii="Verdana" w:hAnsi="Verdana"/>
              </w:rPr>
            </w:pPr>
            <w:r>
              <w:rPr>
                <w:rFonts w:ascii="Verdana" w:hAnsi="Verdana"/>
              </w:rPr>
              <w:t>Scheduled for update.</w:t>
            </w:r>
          </w:p>
        </w:tc>
        <w:tc>
          <w:tcPr>
            <w:tcW w:w="1020" w:type="dxa"/>
            <w:shd w:val="clear" w:color="auto" w:fill="auto"/>
          </w:tcPr>
          <w:p w14:paraId="3FD6E869" w14:textId="77777777" w:rsidR="009B3CE9" w:rsidRPr="00CF6FBE" w:rsidRDefault="009B3CE9" w:rsidP="00EC3100">
            <w:pPr>
              <w:spacing w:before="120" w:after="120"/>
              <w:jc w:val="left"/>
              <w:rPr>
                <w:rFonts w:cs="Calibri"/>
                <w:b/>
                <w:szCs w:val="20"/>
              </w:rPr>
            </w:pPr>
          </w:p>
        </w:tc>
      </w:tr>
    </w:tbl>
    <w:p w14:paraId="14E64E78" w14:textId="727FF8C6" w:rsidR="00E24F9F" w:rsidRPr="00A11DEC" w:rsidRDefault="00E24F9F" w:rsidP="00EC3100">
      <w:pPr>
        <w:spacing w:before="120" w:after="120"/>
        <w:jc w:val="left"/>
        <w:rPr>
          <w:rFonts w:asciiTheme="minorHAnsi" w:hAnsiTheme="minorHAnsi" w:cs="Calibri"/>
          <w:sz w:val="22"/>
          <w:szCs w:val="22"/>
        </w:rPr>
      </w:pPr>
    </w:p>
    <w:sectPr w:rsidR="00E24F9F" w:rsidRPr="00A11DEC"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771F6" w14:textId="77777777" w:rsidR="00E566F8" w:rsidRPr="00D02D0C" w:rsidRDefault="00E566F8">
      <w:r w:rsidRPr="00D02D0C">
        <w:separator/>
      </w:r>
    </w:p>
  </w:endnote>
  <w:endnote w:type="continuationSeparator" w:id="0">
    <w:p w14:paraId="00AF9AAE" w14:textId="77777777" w:rsidR="00E566F8" w:rsidRPr="00D02D0C" w:rsidRDefault="00E566F8">
      <w:r w:rsidRPr="00D02D0C">
        <w:continuationSeparator/>
      </w:r>
    </w:p>
  </w:endnote>
  <w:endnote w:type="continuationNotice" w:id="1">
    <w:p w14:paraId="552090F0" w14:textId="77777777" w:rsidR="00E566F8" w:rsidRDefault="00E56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E566F8" w:rsidRDefault="00E566F8">
    <w:pPr>
      <w:pStyle w:val="Footer"/>
    </w:pPr>
  </w:p>
  <w:p w14:paraId="095723D7" w14:textId="77777777" w:rsidR="00E566F8" w:rsidRDefault="00E566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5B0AC233" w:rsidR="00E566F8" w:rsidRPr="00D02D0C" w:rsidRDefault="00E566F8" w:rsidP="00D13C59">
    <w:pPr>
      <w:pStyle w:val="Footer"/>
      <w:pBdr>
        <w:top w:val="single" w:sz="4" w:space="1" w:color="808080"/>
      </w:pBdr>
      <w:jc w:val="right"/>
      <w:rPr>
        <w:rStyle w:val="PageNumber"/>
      </w:rPr>
    </w:pPr>
    <w:r>
      <w:rPr>
        <w:szCs w:val="16"/>
      </w:rPr>
      <w:t xml:space="preserve">08/2018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236097">
      <w:rPr>
        <w:rStyle w:val="PageNumber"/>
        <w:noProof/>
      </w:rPr>
      <w:t>14</w:t>
    </w:r>
    <w:r w:rsidRPr="00D02D0C">
      <w:rPr>
        <w:rStyle w:val="PageNumber"/>
      </w:rPr>
      <w:fldChar w:fldCharType="end"/>
    </w:r>
  </w:p>
  <w:p w14:paraId="4D962DE4" w14:textId="77777777" w:rsidR="00E566F8" w:rsidRDefault="00E566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9F58F" w14:textId="77777777" w:rsidR="00E566F8" w:rsidRPr="00D02D0C" w:rsidRDefault="00E566F8">
      <w:r w:rsidRPr="00D02D0C">
        <w:separator/>
      </w:r>
    </w:p>
  </w:footnote>
  <w:footnote w:type="continuationSeparator" w:id="0">
    <w:p w14:paraId="11EA2F98" w14:textId="77777777" w:rsidR="00E566F8" w:rsidRPr="00D02D0C" w:rsidRDefault="00E566F8">
      <w:r w:rsidRPr="00D02D0C">
        <w:continuationSeparator/>
      </w:r>
    </w:p>
  </w:footnote>
  <w:footnote w:type="continuationNotice" w:id="1">
    <w:p w14:paraId="48B8AE1C" w14:textId="77777777" w:rsidR="00E566F8" w:rsidRDefault="00E566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E566F8" w:rsidRDefault="00E566F8">
    <w:pPr>
      <w:pStyle w:val="Header"/>
    </w:pPr>
  </w:p>
  <w:p w14:paraId="349CC7EB" w14:textId="77777777" w:rsidR="00E566F8" w:rsidRDefault="00E566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77777777" w:rsidR="00E566F8" w:rsidRDefault="00E566F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14:paraId="0CCE9613" w14:textId="77777777" w:rsidR="00E566F8" w:rsidRDefault="00E566F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6C600F8C" w14:textId="77777777" w:rsidR="00E566F8" w:rsidRDefault="00E566F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79B0B55A" w14:textId="3D840288" w:rsidR="00E566F8" w:rsidRDefault="00E566F8" w:rsidP="005B606D">
    <w:pPr>
      <w:pStyle w:val="Footer"/>
      <w:pBdr>
        <w:bottom w:val="single" w:sz="4" w:space="1" w:color="7B6F46"/>
      </w:pBdr>
      <w:tabs>
        <w:tab w:val="clear" w:pos="8306"/>
        <w:tab w:val="right" w:pos="8820"/>
      </w:tabs>
      <w:ind w:right="3027"/>
      <w:jc w:val="right"/>
      <w:rPr>
        <w:rFonts w:cs="Arial"/>
        <w:b/>
        <w:i w:val="0"/>
        <w:noProof/>
        <w:color w:val="auto"/>
        <w:w w:val="80"/>
        <w:szCs w:val="16"/>
      </w:rPr>
    </w:pPr>
    <w:r>
      <w:rPr>
        <w:i w:val="0"/>
        <w:noProof/>
      </w:rPr>
      <w:pict w14:anchorId="43B14C7F">
        <v:line id="Line 13" o:spid="_x0000_s2051" style="position:absolute;left:0;text-align:left;z-index:251676160;visibility:visible;mso-wrap-distance-top:-3e-5mm;mso-wrap-distance-bottom:-3e-5mm;mso-position-horizontal-relative:text;mso-position-vertical-relative:text" from="-4.8pt,30.85pt" to="463.9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r>
      <w:rPr>
        <w:rStyle w:val="HeaderChar"/>
      </w:rPr>
      <w:t>EESSI</w:t>
    </w:r>
    <w:r w:rsidRPr="002E6ECB">
      <w:rPr>
        <w:rStyle w:val="HeaderChar"/>
      </w:rPr>
      <w:t xml:space="preserve"> </w:t>
    </w:r>
    <w:r>
      <w:rPr>
        <w:rStyle w:val="HeaderChar"/>
      </w:rPr>
      <w:t xml:space="preserve">Business Use Case – </w:t>
    </w:r>
    <w:r w:rsidRPr="002741F1">
      <w:rPr>
        <w:rStyle w:val="HeaderChar"/>
      </w:rPr>
      <w:fldChar w:fldCharType="begin"/>
    </w:r>
    <w:r w:rsidRPr="002741F1">
      <w:rPr>
        <w:rStyle w:val="HeaderChar"/>
      </w:rPr>
      <w:instrText xml:space="preserve"> TITLE   \* MERGEFORMAT </w:instrText>
    </w:r>
    <w:r w:rsidRPr="002741F1">
      <w:rPr>
        <w:rStyle w:val="HeaderChar"/>
      </w:rPr>
      <w:fldChar w:fldCharType="separate"/>
    </w:r>
    <w:r>
      <w:rPr>
        <w:rStyle w:val="HeaderChar"/>
      </w:rPr>
      <w:t>AW_BUC_10b - Advance payments in the event of an appeal against rejection of benefits due to occupational disease</w:t>
    </w:r>
    <w:r w:rsidRPr="002741F1">
      <w:rPr>
        <w:rStyle w:val="HeaderChar"/>
      </w:rPr>
      <w:fldChar w:fldCharType="end"/>
    </w:r>
  </w:p>
  <w:p w14:paraId="0B2A453F" w14:textId="77777777" w:rsidR="00E566F8" w:rsidRDefault="00E566F8"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3.75pt;height:593.25pt;visibility:visible">
          <v:imagedata r:id="rId2" o:title="Corporate_Word_page"/>
        </v:shape>
      </w:pict>
    </w:r>
  </w:p>
  <w:p w14:paraId="6FAF25A0" w14:textId="77777777" w:rsidR="00E566F8" w:rsidRDefault="00E566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330C2064" w:rsidR="00E566F8" w:rsidRDefault="00E566F8"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0FF320F3">
          <wp:simplePos x="0" y="0"/>
          <wp:positionH relativeFrom="column">
            <wp:posOffset>6905625</wp:posOffset>
          </wp:positionH>
          <wp:positionV relativeFrom="paragraph">
            <wp:posOffset>-27305</wp:posOffset>
          </wp:positionV>
          <wp:extent cx="1752600" cy="419100"/>
          <wp:effectExtent l="0" t="0" r="0" b="0"/>
          <wp:wrapTight wrapText="bothSides">
            <wp:wrapPolygon edited="0">
              <wp:start x="0" y="0"/>
              <wp:lineTo x="0" y="20618"/>
              <wp:lineTo x="21365" y="20618"/>
              <wp:lineTo x="21365" y="0"/>
              <wp:lineTo x="0" y="0"/>
            </wp:wrapPolygon>
          </wp:wrapTight>
          <wp:docPr id="34" name="Picture 3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618E3632" w14:textId="254C6096" w:rsidR="00E566F8" w:rsidRPr="00A82D08" w:rsidRDefault="00E566F8" w:rsidP="00055394">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sidRPr="006B394F">
      <w:rPr>
        <w:rStyle w:val="HeaderChar"/>
      </w:rPr>
      <w:fldChar w:fldCharType="begin"/>
    </w:r>
    <w:r w:rsidRPr="006B394F">
      <w:rPr>
        <w:rStyle w:val="HeaderChar"/>
      </w:rPr>
      <w:instrText xml:space="preserve"> TITLE   \* MERGEFORMAT </w:instrText>
    </w:r>
    <w:r w:rsidRPr="006B394F">
      <w:rPr>
        <w:rStyle w:val="HeaderChar"/>
      </w:rPr>
      <w:fldChar w:fldCharType="separate"/>
    </w:r>
    <w:r>
      <w:rPr>
        <w:rStyle w:val="HeaderChar"/>
      </w:rPr>
      <w:t>AW_BUC_10b - Advance payments in the event of an appeal against rejection of benefits due to occupational disease</w:t>
    </w:r>
    <w:r w:rsidRPr="006B394F">
      <w:rPr>
        <w:rStyle w:val="HeaderChar"/>
      </w:rPr>
      <w:fldChar w:fldCharType="end"/>
    </w:r>
  </w:p>
  <w:p w14:paraId="2192C702" w14:textId="77777777" w:rsidR="00E566F8" w:rsidRDefault="00E566F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29E79F2E">
              <wp:simplePos x="0" y="0"/>
              <wp:positionH relativeFrom="column">
                <wp:posOffset>-60960</wp:posOffset>
              </wp:positionH>
              <wp:positionV relativeFrom="paragraph">
                <wp:posOffset>93979</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14:paraId="16E95698" w14:textId="77777777" w:rsidR="00E566F8" w:rsidRDefault="00E566F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E566F8" w:rsidRDefault="00E566F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35" name="Picture 35"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E566F8" w:rsidRDefault="00E566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77777777" w:rsidR="00E566F8" w:rsidRDefault="00E566F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0F4F0273">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34A07E00" w14:textId="77777777" w:rsidR="00E566F8" w:rsidRDefault="00E566F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0C0E97AD" w14:textId="77777777" w:rsidR="00E566F8" w:rsidRDefault="00E566F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65670395" w14:textId="7E2221D2" w:rsidR="00E566F8" w:rsidRPr="00A82D08" w:rsidRDefault="00E566F8"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AW_BUC_10b - Advance payments in the event of an appeal against rejection of benefits due to occupational disease</w:t>
    </w:r>
    <w:r>
      <w:rPr>
        <w:rStyle w:val="HeaderChar"/>
      </w:rPr>
      <w:fldChar w:fldCharType="end"/>
    </w:r>
  </w:p>
  <w:p w14:paraId="26DD91E1" w14:textId="01B705D2" w:rsidR="00E566F8" w:rsidRPr="00A82D08" w:rsidRDefault="00E566F8" w:rsidP="00CE22F5">
    <w:pPr>
      <w:pStyle w:val="Footer"/>
      <w:pBdr>
        <w:bottom w:val="single" w:sz="4" w:space="1" w:color="7B6F46"/>
      </w:pBdr>
      <w:tabs>
        <w:tab w:val="clear" w:pos="8306"/>
        <w:tab w:val="right" w:pos="8820"/>
      </w:tabs>
      <w:ind w:right="3027"/>
      <w:jc w:val="right"/>
      <w:rPr>
        <w:rFonts w:cs="Arial"/>
        <w:b/>
        <w:noProof/>
        <w:color w:val="auto"/>
        <w:szCs w:val="16"/>
      </w:rPr>
    </w:pPr>
  </w:p>
  <w:p w14:paraId="1D3229E6" w14:textId="77777777" w:rsidR="00E566F8" w:rsidRDefault="00E566F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51DA4C1" wp14:editId="3D467C0C">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287E2922" w14:textId="77777777" w:rsidR="00E566F8" w:rsidRDefault="00E566F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AFCC942" w14:textId="77777777" w:rsidR="00E566F8" w:rsidRDefault="00E566F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E566F8" w:rsidRDefault="00E566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34C16BB"/>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E20781"/>
    <w:multiLevelType w:val="hybridMultilevel"/>
    <w:tmpl w:val="2BB06742"/>
    <w:lvl w:ilvl="0" w:tplc="EFCC15CA">
      <w:start w:val="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2755871"/>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9AE53B9"/>
    <w:multiLevelType w:val="hybridMultilevel"/>
    <w:tmpl w:val="CDD606B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5">
    <w:nsid w:val="19CF515B"/>
    <w:multiLevelType w:val="hybridMultilevel"/>
    <w:tmpl w:val="2158917A"/>
    <w:lvl w:ilvl="0" w:tplc="A2506F1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AE87CFB"/>
    <w:multiLevelType w:val="hybridMultilevel"/>
    <w:tmpl w:val="1AE41018"/>
    <w:lvl w:ilvl="0" w:tplc="07360962">
      <w:start w:val="3"/>
      <w:numFmt w:val="decimal"/>
      <w:suff w:val="space"/>
      <w:lvlText w:val="Branch %1:"/>
      <w:lvlJc w:val="left"/>
      <w:pPr>
        <w:ind w:left="0" w:firstLine="0"/>
      </w:pPr>
      <w:rPr>
        <w:rFonts w:hint="default"/>
        <w:i/>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9">
    <w:nsid w:val="26053709"/>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791591"/>
    <w:multiLevelType w:val="hybridMultilevel"/>
    <w:tmpl w:val="7062F2AA"/>
    <w:lvl w:ilvl="0" w:tplc="1A8A677C">
      <w:start w:val="1"/>
      <w:numFmt w:val="decimal"/>
      <w:lvlText w:val="%1."/>
      <w:lvlJc w:val="left"/>
      <w:pPr>
        <w:ind w:left="720" w:hanging="360"/>
      </w:pPr>
      <w:rPr>
        <w:rFonts w:ascii="Verdana" w:hAnsi="Verdana"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88D37AA"/>
    <w:multiLevelType w:val="hybridMultilevel"/>
    <w:tmpl w:val="E2101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3BE62D64"/>
    <w:multiLevelType w:val="hybridMultilevel"/>
    <w:tmpl w:val="28EE7B5E"/>
    <w:lvl w:ilvl="0" w:tplc="0415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6">
    <w:nsid w:val="40D20775"/>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4CC7AE9"/>
    <w:multiLevelType w:val="hybridMultilevel"/>
    <w:tmpl w:val="AA4825D6"/>
    <w:lvl w:ilvl="0" w:tplc="B164EA92">
      <w:start w:val="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50648D1"/>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EE55E24"/>
    <w:multiLevelType w:val="hybridMultilevel"/>
    <w:tmpl w:val="17FA147A"/>
    <w:lvl w:ilvl="0" w:tplc="D8560354">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13C3E0A"/>
    <w:multiLevelType w:val="hybridMultilevel"/>
    <w:tmpl w:val="A372C2D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53455426"/>
    <w:multiLevelType w:val="hybridMultilevel"/>
    <w:tmpl w:val="1A5CB94E"/>
    <w:lvl w:ilvl="0" w:tplc="DD382C0C">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6">
    <w:nsid w:val="5520076C"/>
    <w:multiLevelType w:val="hybridMultilevel"/>
    <w:tmpl w:val="E2101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61C10434"/>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2DD02C4"/>
    <w:multiLevelType w:val="hybridMultilevel"/>
    <w:tmpl w:val="0644B76A"/>
    <w:lvl w:ilvl="0" w:tplc="75C4552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8F01802"/>
    <w:multiLevelType w:val="hybridMultilevel"/>
    <w:tmpl w:val="902C9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698B4E8E"/>
    <w:multiLevelType w:val="hybridMultilevel"/>
    <w:tmpl w:val="531E1432"/>
    <w:lvl w:ilvl="0" w:tplc="14183B4A">
      <w:start w:val="1"/>
      <w:numFmt w:val="decimal"/>
      <w:lvlText w:val="%1."/>
      <w:lvlJc w:val="lef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D274E81"/>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7">
    <w:nsid w:val="70A07CA6"/>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18B1F60"/>
    <w:multiLevelType w:val="hybridMultilevel"/>
    <w:tmpl w:val="10283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20B67B7"/>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5823C41"/>
    <w:multiLevelType w:val="hybridMultilevel"/>
    <w:tmpl w:val="531E1432"/>
    <w:lvl w:ilvl="0" w:tplc="14183B4A">
      <w:start w:val="1"/>
      <w:numFmt w:val="decimal"/>
      <w:lvlText w:val="%1."/>
      <w:lvlJc w:val="lef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6370019"/>
    <w:multiLevelType w:val="hybridMultilevel"/>
    <w:tmpl w:val="531E1432"/>
    <w:lvl w:ilvl="0" w:tplc="14183B4A">
      <w:start w:val="1"/>
      <w:numFmt w:val="decimal"/>
      <w:lvlText w:val="%1."/>
      <w:lvlJc w:val="lef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nsid w:val="7C65145E"/>
    <w:multiLevelType w:val="multilevel"/>
    <w:tmpl w:val="EDAC791A"/>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54">
    <w:nsid w:val="7E6C3F3E"/>
    <w:multiLevelType w:val="hybridMultilevel"/>
    <w:tmpl w:val="FB46787C"/>
    <w:lvl w:ilvl="0" w:tplc="08C27960">
      <w:start w:val="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ED345CD"/>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EDC1775"/>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F6226BB"/>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1"/>
  </w:num>
  <w:num w:numId="10">
    <w:abstractNumId w:val="30"/>
  </w:num>
  <w:num w:numId="11">
    <w:abstractNumId w:val="52"/>
  </w:num>
  <w:num w:numId="12">
    <w:abstractNumId w:val="35"/>
  </w:num>
  <w:num w:numId="13">
    <w:abstractNumId w:val="12"/>
  </w:num>
  <w:num w:numId="14">
    <w:abstractNumId w:val="46"/>
  </w:num>
  <w:num w:numId="15">
    <w:abstractNumId w:val="18"/>
  </w:num>
  <w:num w:numId="16">
    <w:abstractNumId w:val="17"/>
  </w:num>
  <w:num w:numId="17">
    <w:abstractNumId w:val="24"/>
  </w:num>
  <w:num w:numId="18">
    <w:abstractNumId w:val="40"/>
  </w:num>
  <w:num w:numId="19">
    <w:abstractNumId w:val="42"/>
  </w:num>
  <w:num w:numId="20">
    <w:abstractNumId w:val="41"/>
  </w:num>
  <w:num w:numId="21">
    <w:abstractNumId w:val="27"/>
  </w:num>
  <w:num w:numId="22">
    <w:abstractNumId w:val="53"/>
  </w:num>
  <w:num w:numId="23">
    <w:abstractNumId w:val="22"/>
  </w:num>
  <w:num w:numId="24">
    <w:abstractNumId w:val="36"/>
  </w:num>
  <w:num w:numId="25">
    <w:abstractNumId w:val="7"/>
  </w:num>
  <w:num w:numId="26">
    <w:abstractNumId w:val="37"/>
  </w:num>
  <w:num w:numId="27">
    <w:abstractNumId w:val="32"/>
  </w:num>
  <w:num w:numId="28">
    <w:abstractNumId w:val="14"/>
  </w:num>
  <w:num w:numId="29">
    <w:abstractNumId w:val="21"/>
  </w:num>
  <w:num w:numId="30">
    <w:abstractNumId w:val="26"/>
  </w:num>
  <w:num w:numId="31">
    <w:abstractNumId w:val="19"/>
  </w:num>
  <w:num w:numId="32">
    <w:abstractNumId w:val="47"/>
  </w:num>
  <w:num w:numId="33">
    <w:abstractNumId w:val="43"/>
  </w:num>
  <w:num w:numId="34">
    <w:abstractNumId w:val="57"/>
  </w:num>
  <w:num w:numId="35">
    <w:abstractNumId w:val="45"/>
  </w:num>
  <w:num w:numId="36">
    <w:abstractNumId w:val="8"/>
  </w:num>
  <w:num w:numId="37">
    <w:abstractNumId w:val="25"/>
  </w:num>
  <w:num w:numId="38">
    <w:abstractNumId w:val="33"/>
  </w:num>
  <w:num w:numId="39">
    <w:abstractNumId w:val="16"/>
  </w:num>
  <w:num w:numId="40">
    <w:abstractNumId w:val="34"/>
  </w:num>
  <w:num w:numId="41">
    <w:abstractNumId w:val="54"/>
  </w:num>
  <w:num w:numId="42">
    <w:abstractNumId w:val="28"/>
  </w:num>
  <w:num w:numId="43">
    <w:abstractNumId w:val="9"/>
  </w:num>
  <w:num w:numId="44">
    <w:abstractNumId w:val="48"/>
  </w:num>
  <w:num w:numId="45">
    <w:abstractNumId w:val="56"/>
  </w:num>
  <w:num w:numId="46">
    <w:abstractNumId w:val="15"/>
  </w:num>
  <w:num w:numId="47">
    <w:abstractNumId w:val="55"/>
  </w:num>
  <w:num w:numId="48">
    <w:abstractNumId w:val="29"/>
  </w:num>
  <w:num w:numId="49">
    <w:abstractNumId w:val="38"/>
  </w:num>
  <w:num w:numId="50">
    <w:abstractNumId w:val="49"/>
  </w:num>
  <w:num w:numId="51">
    <w:abstractNumId w:val="10"/>
  </w:num>
  <w:num w:numId="52">
    <w:abstractNumId w:val="39"/>
  </w:num>
  <w:num w:numId="53">
    <w:abstractNumId w:val="31"/>
  </w:num>
  <w:num w:numId="54">
    <w:abstractNumId w:val="23"/>
  </w:num>
  <w:num w:numId="55">
    <w:abstractNumId w:val="51"/>
  </w:num>
  <w:num w:numId="56">
    <w:abstractNumId w:val="20"/>
  </w:num>
  <w:num w:numId="57">
    <w:abstractNumId w:val="50"/>
  </w:num>
  <w:num w:numId="58">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C80"/>
    <w:rsid w:val="00004F54"/>
    <w:rsid w:val="00005E82"/>
    <w:rsid w:val="000060E8"/>
    <w:rsid w:val="00006BB7"/>
    <w:rsid w:val="00007392"/>
    <w:rsid w:val="00007AB9"/>
    <w:rsid w:val="00012675"/>
    <w:rsid w:val="00013389"/>
    <w:rsid w:val="000145E2"/>
    <w:rsid w:val="000145E4"/>
    <w:rsid w:val="00015760"/>
    <w:rsid w:val="000174A7"/>
    <w:rsid w:val="000227E0"/>
    <w:rsid w:val="00022A52"/>
    <w:rsid w:val="00024498"/>
    <w:rsid w:val="000244D6"/>
    <w:rsid w:val="000248EA"/>
    <w:rsid w:val="00025E30"/>
    <w:rsid w:val="00026A2E"/>
    <w:rsid w:val="00026F59"/>
    <w:rsid w:val="00027C6A"/>
    <w:rsid w:val="0003038A"/>
    <w:rsid w:val="000308A6"/>
    <w:rsid w:val="00030F44"/>
    <w:rsid w:val="00032AAE"/>
    <w:rsid w:val="00033AEB"/>
    <w:rsid w:val="00034399"/>
    <w:rsid w:val="000346A7"/>
    <w:rsid w:val="00034DF6"/>
    <w:rsid w:val="00036192"/>
    <w:rsid w:val="00037423"/>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1491"/>
    <w:rsid w:val="00062540"/>
    <w:rsid w:val="000632ED"/>
    <w:rsid w:val="00063F99"/>
    <w:rsid w:val="0006560C"/>
    <w:rsid w:val="000663FF"/>
    <w:rsid w:val="00066782"/>
    <w:rsid w:val="00066E95"/>
    <w:rsid w:val="00066F17"/>
    <w:rsid w:val="000673AF"/>
    <w:rsid w:val="0006761C"/>
    <w:rsid w:val="000679B5"/>
    <w:rsid w:val="000703BE"/>
    <w:rsid w:val="00070DC8"/>
    <w:rsid w:val="0007167C"/>
    <w:rsid w:val="00071C09"/>
    <w:rsid w:val="0007390C"/>
    <w:rsid w:val="00076EB2"/>
    <w:rsid w:val="00077239"/>
    <w:rsid w:val="000779CB"/>
    <w:rsid w:val="00081939"/>
    <w:rsid w:val="00081B17"/>
    <w:rsid w:val="00081E2B"/>
    <w:rsid w:val="00081F15"/>
    <w:rsid w:val="000820B6"/>
    <w:rsid w:val="00082452"/>
    <w:rsid w:val="00083D17"/>
    <w:rsid w:val="0008463C"/>
    <w:rsid w:val="00084C7A"/>
    <w:rsid w:val="00084DEF"/>
    <w:rsid w:val="0008560D"/>
    <w:rsid w:val="00090435"/>
    <w:rsid w:val="000907C6"/>
    <w:rsid w:val="00092C1A"/>
    <w:rsid w:val="0009419B"/>
    <w:rsid w:val="0009490F"/>
    <w:rsid w:val="00094AB3"/>
    <w:rsid w:val="00095C34"/>
    <w:rsid w:val="00096A5C"/>
    <w:rsid w:val="000979F5"/>
    <w:rsid w:val="000A1067"/>
    <w:rsid w:val="000A17AD"/>
    <w:rsid w:val="000A35A1"/>
    <w:rsid w:val="000A360E"/>
    <w:rsid w:val="000A38F8"/>
    <w:rsid w:val="000A3F46"/>
    <w:rsid w:val="000A4A84"/>
    <w:rsid w:val="000B06B5"/>
    <w:rsid w:val="000B0E45"/>
    <w:rsid w:val="000B2CFB"/>
    <w:rsid w:val="000B4CE1"/>
    <w:rsid w:val="000B52F4"/>
    <w:rsid w:val="000B654C"/>
    <w:rsid w:val="000B67A9"/>
    <w:rsid w:val="000B6865"/>
    <w:rsid w:val="000B7039"/>
    <w:rsid w:val="000C0874"/>
    <w:rsid w:val="000C1222"/>
    <w:rsid w:val="000C1551"/>
    <w:rsid w:val="000C1B83"/>
    <w:rsid w:val="000C4686"/>
    <w:rsid w:val="000C4E1C"/>
    <w:rsid w:val="000C56CD"/>
    <w:rsid w:val="000C5B97"/>
    <w:rsid w:val="000D0CED"/>
    <w:rsid w:val="000D19E9"/>
    <w:rsid w:val="000D1BB7"/>
    <w:rsid w:val="000D1E2E"/>
    <w:rsid w:val="000D2790"/>
    <w:rsid w:val="000D2B1A"/>
    <w:rsid w:val="000D3773"/>
    <w:rsid w:val="000D4079"/>
    <w:rsid w:val="000D46F5"/>
    <w:rsid w:val="000D4878"/>
    <w:rsid w:val="000D6374"/>
    <w:rsid w:val="000D6681"/>
    <w:rsid w:val="000E1BEE"/>
    <w:rsid w:val="000E22CB"/>
    <w:rsid w:val="000E249B"/>
    <w:rsid w:val="000E2A58"/>
    <w:rsid w:val="000E31AA"/>
    <w:rsid w:val="000E496F"/>
    <w:rsid w:val="000E540D"/>
    <w:rsid w:val="000F02C6"/>
    <w:rsid w:val="000F05F9"/>
    <w:rsid w:val="000F06F3"/>
    <w:rsid w:val="000F0714"/>
    <w:rsid w:val="000F0B8C"/>
    <w:rsid w:val="000F0F64"/>
    <w:rsid w:val="000F1F7F"/>
    <w:rsid w:val="000F260B"/>
    <w:rsid w:val="000F4DA4"/>
    <w:rsid w:val="000F5233"/>
    <w:rsid w:val="000F69CF"/>
    <w:rsid w:val="000F7113"/>
    <w:rsid w:val="0010193F"/>
    <w:rsid w:val="00102696"/>
    <w:rsid w:val="001037E2"/>
    <w:rsid w:val="001043CF"/>
    <w:rsid w:val="00106945"/>
    <w:rsid w:val="00106E02"/>
    <w:rsid w:val="001077CC"/>
    <w:rsid w:val="00107A66"/>
    <w:rsid w:val="00110F8E"/>
    <w:rsid w:val="00111F04"/>
    <w:rsid w:val="00111FC4"/>
    <w:rsid w:val="00112DDE"/>
    <w:rsid w:val="00114806"/>
    <w:rsid w:val="00114DC5"/>
    <w:rsid w:val="0011600E"/>
    <w:rsid w:val="00117207"/>
    <w:rsid w:val="00117478"/>
    <w:rsid w:val="00117A1F"/>
    <w:rsid w:val="00117BAF"/>
    <w:rsid w:val="00117BC4"/>
    <w:rsid w:val="00120FB9"/>
    <w:rsid w:val="00121EA5"/>
    <w:rsid w:val="00122336"/>
    <w:rsid w:val="00122CE6"/>
    <w:rsid w:val="0012329F"/>
    <w:rsid w:val="001234A4"/>
    <w:rsid w:val="001238A9"/>
    <w:rsid w:val="001249E0"/>
    <w:rsid w:val="001255B2"/>
    <w:rsid w:val="001257DD"/>
    <w:rsid w:val="0012596E"/>
    <w:rsid w:val="001268A8"/>
    <w:rsid w:val="00127118"/>
    <w:rsid w:val="00127F9A"/>
    <w:rsid w:val="001325BA"/>
    <w:rsid w:val="001332B5"/>
    <w:rsid w:val="00133947"/>
    <w:rsid w:val="00134DE4"/>
    <w:rsid w:val="00135C38"/>
    <w:rsid w:val="00135F6A"/>
    <w:rsid w:val="00137805"/>
    <w:rsid w:val="00140314"/>
    <w:rsid w:val="00140693"/>
    <w:rsid w:val="0014070B"/>
    <w:rsid w:val="00140D74"/>
    <w:rsid w:val="001414F2"/>
    <w:rsid w:val="00141C36"/>
    <w:rsid w:val="00141D40"/>
    <w:rsid w:val="00141EFF"/>
    <w:rsid w:val="00141F0C"/>
    <w:rsid w:val="00143052"/>
    <w:rsid w:val="001431C5"/>
    <w:rsid w:val="00143D09"/>
    <w:rsid w:val="001469C3"/>
    <w:rsid w:val="001470B2"/>
    <w:rsid w:val="001474AE"/>
    <w:rsid w:val="00151587"/>
    <w:rsid w:val="00151E9E"/>
    <w:rsid w:val="001520EC"/>
    <w:rsid w:val="00153B81"/>
    <w:rsid w:val="0015426B"/>
    <w:rsid w:val="001554BA"/>
    <w:rsid w:val="00155687"/>
    <w:rsid w:val="00155764"/>
    <w:rsid w:val="0015576B"/>
    <w:rsid w:val="00156D3B"/>
    <w:rsid w:val="00156EC0"/>
    <w:rsid w:val="001575C3"/>
    <w:rsid w:val="00160327"/>
    <w:rsid w:val="001605D0"/>
    <w:rsid w:val="00161095"/>
    <w:rsid w:val="001618B9"/>
    <w:rsid w:val="00161C23"/>
    <w:rsid w:val="00161FA0"/>
    <w:rsid w:val="0016260C"/>
    <w:rsid w:val="00162D71"/>
    <w:rsid w:val="00164941"/>
    <w:rsid w:val="00165275"/>
    <w:rsid w:val="00165A4D"/>
    <w:rsid w:val="0016639A"/>
    <w:rsid w:val="00166B99"/>
    <w:rsid w:val="00166C42"/>
    <w:rsid w:val="00167D03"/>
    <w:rsid w:val="00170D80"/>
    <w:rsid w:val="00171FB7"/>
    <w:rsid w:val="00172931"/>
    <w:rsid w:val="00172FED"/>
    <w:rsid w:val="00173357"/>
    <w:rsid w:val="00173758"/>
    <w:rsid w:val="00173E49"/>
    <w:rsid w:val="0017457E"/>
    <w:rsid w:val="001750A9"/>
    <w:rsid w:val="00175ACF"/>
    <w:rsid w:val="00176841"/>
    <w:rsid w:val="00182722"/>
    <w:rsid w:val="00182A40"/>
    <w:rsid w:val="00183D9A"/>
    <w:rsid w:val="00184274"/>
    <w:rsid w:val="00185B82"/>
    <w:rsid w:val="00186145"/>
    <w:rsid w:val="00190155"/>
    <w:rsid w:val="0019101C"/>
    <w:rsid w:val="001912E2"/>
    <w:rsid w:val="00191307"/>
    <w:rsid w:val="0019235B"/>
    <w:rsid w:val="00192B80"/>
    <w:rsid w:val="00192D03"/>
    <w:rsid w:val="00193912"/>
    <w:rsid w:val="00193EA7"/>
    <w:rsid w:val="00194FAD"/>
    <w:rsid w:val="00195320"/>
    <w:rsid w:val="00195A98"/>
    <w:rsid w:val="00196E48"/>
    <w:rsid w:val="00196FD8"/>
    <w:rsid w:val="00197344"/>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45F"/>
    <w:rsid w:val="001B4C47"/>
    <w:rsid w:val="001B5E0E"/>
    <w:rsid w:val="001B647B"/>
    <w:rsid w:val="001B65D4"/>
    <w:rsid w:val="001B6699"/>
    <w:rsid w:val="001B7595"/>
    <w:rsid w:val="001C23C1"/>
    <w:rsid w:val="001C243B"/>
    <w:rsid w:val="001C2E2E"/>
    <w:rsid w:val="001C5151"/>
    <w:rsid w:val="001C55B8"/>
    <w:rsid w:val="001C5B54"/>
    <w:rsid w:val="001C5F31"/>
    <w:rsid w:val="001C76BB"/>
    <w:rsid w:val="001D0284"/>
    <w:rsid w:val="001D0E5D"/>
    <w:rsid w:val="001D1FDC"/>
    <w:rsid w:val="001D2423"/>
    <w:rsid w:val="001D318F"/>
    <w:rsid w:val="001D342C"/>
    <w:rsid w:val="001D38B5"/>
    <w:rsid w:val="001D3C67"/>
    <w:rsid w:val="001D487F"/>
    <w:rsid w:val="001D5B1E"/>
    <w:rsid w:val="001D731D"/>
    <w:rsid w:val="001E0197"/>
    <w:rsid w:val="001E1C90"/>
    <w:rsid w:val="001E2E7B"/>
    <w:rsid w:val="001E36A3"/>
    <w:rsid w:val="001E403E"/>
    <w:rsid w:val="001E481C"/>
    <w:rsid w:val="001E4F13"/>
    <w:rsid w:val="001E537C"/>
    <w:rsid w:val="001E567D"/>
    <w:rsid w:val="001E5D90"/>
    <w:rsid w:val="001E6E25"/>
    <w:rsid w:val="001E724E"/>
    <w:rsid w:val="001F04AC"/>
    <w:rsid w:val="001F42D7"/>
    <w:rsid w:val="001F4FBF"/>
    <w:rsid w:val="001F55C2"/>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2607"/>
    <w:rsid w:val="002128B5"/>
    <w:rsid w:val="00212BA2"/>
    <w:rsid w:val="00215102"/>
    <w:rsid w:val="002151EB"/>
    <w:rsid w:val="00215635"/>
    <w:rsid w:val="00215FF2"/>
    <w:rsid w:val="00216644"/>
    <w:rsid w:val="00220103"/>
    <w:rsid w:val="002214F9"/>
    <w:rsid w:val="00222D37"/>
    <w:rsid w:val="002236B6"/>
    <w:rsid w:val="002237B9"/>
    <w:rsid w:val="00223DF4"/>
    <w:rsid w:val="00224443"/>
    <w:rsid w:val="002247B7"/>
    <w:rsid w:val="00224C05"/>
    <w:rsid w:val="00224E36"/>
    <w:rsid w:val="002262DF"/>
    <w:rsid w:val="002267BD"/>
    <w:rsid w:val="00227A6D"/>
    <w:rsid w:val="00227E6F"/>
    <w:rsid w:val="00230CB9"/>
    <w:rsid w:val="0023184C"/>
    <w:rsid w:val="0023271E"/>
    <w:rsid w:val="00232AA4"/>
    <w:rsid w:val="00232BE0"/>
    <w:rsid w:val="002333B9"/>
    <w:rsid w:val="00233C18"/>
    <w:rsid w:val="00234EF7"/>
    <w:rsid w:val="0023580A"/>
    <w:rsid w:val="00236097"/>
    <w:rsid w:val="00240360"/>
    <w:rsid w:val="002403A1"/>
    <w:rsid w:val="002405CA"/>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63D"/>
    <w:rsid w:val="00257789"/>
    <w:rsid w:val="00260D53"/>
    <w:rsid w:val="00262415"/>
    <w:rsid w:val="00262421"/>
    <w:rsid w:val="00263A2C"/>
    <w:rsid w:val="00263F24"/>
    <w:rsid w:val="00264114"/>
    <w:rsid w:val="00264583"/>
    <w:rsid w:val="002658ED"/>
    <w:rsid w:val="00270CFF"/>
    <w:rsid w:val="00272705"/>
    <w:rsid w:val="00273122"/>
    <w:rsid w:val="002741F1"/>
    <w:rsid w:val="0027457E"/>
    <w:rsid w:val="00276947"/>
    <w:rsid w:val="00276EA2"/>
    <w:rsid w:val="002775D8"/>
    <w:rsid w:val="00280631"/>
    <w:rsid w:val="0028108A"/>
    <w:rsid w:val="002819DA"/>
    <w:rsid w:val="0028216D"/>
    <w:rsid w:val="00282732"/>
    <w:rsid w:val="00283132"/>
    <w:rsid w:val="00283D5F"/>
    <w:rsid w:val="00284317"/>
    <w:rsid w:val="002843C0"/>
    <w:rsid w:val="002844DE"/>
    <w:rsid w:val="00284737"/>
    <w:rsid w:val="002864F8"/>
    <w:rsid w:val="0028796F"/>
    <w:rsid w:val="00290512"/>
    <w:rsid w:val="002912AE"/>
    <w:rsid w:val="00291BE0"/>
    <w:rsid w:val="002A0838"/>
    <w:rsid w:val="002A2031"/>
    <w:rsid w:val="002A20C0"/>
    <w:rsid w:val="002A335C"/>
    <w:rsid w:val="002A3ED2"/>
    <w:rsid w:val="002A42B8"/>
    <w:rsid w:val="002A4A4C"/>
    <w:rsid w:val="002A4B60"/>
    <w:rsid w:val="002A6FE7"/>
    <w:rsid w:val="002B0A74"/>
    <w:rsid w:val="002B2FA4"/>
    <w:rsid w:val="002B3423"/>
    <w:rsid w:val="002B3B85"/>
    <w:rsid w:val="002B44F4"/>
    <w:rsid w:val="002B53F0"/>
    <w:rsid w:val="002B552F"/>
    <w:rsid w:val="002B64B6"/>
    <w:rsid w:val="002B6F07"/>
    <w:rsid w:val="002B7B68"/>
    <w:rsid w:val="002B7C7B"/>
    <w:rsid w:val="002C08C1"/>
    <w:rsid w:val="002C09F2"/>
    <w:rsid w:val="002C2756"/>
    <w:rsid w:val="002C2823"/>
    <w:rsid w:val="002C3462"/>
    <w:rsid w:val="002C3784"/>
    <w:rsid w:val="002C3989"/>
    <w:rsid w:val="002C3A6A"/>
    <w:rsid w:val="002C521B"/>
    <w:rsid w:val="002C7F91"/>
    <w:rsid w:val="002D04C3"/>
    <w:rsid w:val="002D16E7"/>
    <w:rsid w:val="002D218A"/>
    <w:rsid w:val="002D2D28"/>
    <w:rsid w:val="002D2E84"/>
    <w:rsid w:val="002D49F2"/>
    <w:rsid w:val="002D56F9"/>
    <w:rsid w:val="002D5932"/>
    <w:rsid w:val="002D6680"/>
    <w:rsid w:val="002D6B3E"/>
    <w:rsid w:val="002D7525"/>
    <w:rsid w:val="002E24C6"/>
    <w:rsid w:val="002E3064"/>
    <w:rsid w:val="002E31BE"/>
    <w:rsid w:val="002E46FF"/>
    <w:rsid w:val="002E5742"/>
    <w:rsid w:val="002E6ECB"/>
    <w:rsid w:val="002E7EC8"/>
    <w:rsid w:val="002F0159"/>
    <w:rsid w:val="002F0255"/>
    <w:rsid w:val="002F0DFB"/>
    <w:rsid w:val="002F13D9"/>
    <w:rsid w:val="002F1B73"/>
    <w:rsid w:val="002F20D0"/>
    <w:rsid w:val="002F20E0"/>
    <w:rsid w:val="002F2269"/>
    <w:rsid w:val="002F342F"/>
    <w:rsid w:val="002F37C7"/>
    <w:rsid w:val="002F46A5"/>
    <w:rsid w:val="002F4A39"/>
    <w:rsid w:val="002F5B61"/>
    <w:rsid w:val="002F5EC9"/>
    <w:rsid w:val="002F653E"/>
    <w:rsid w:val="002F67E7"/>
    <w:rsid w:val="002F7FDF"/>
    <w:rsid w:val="00300B68"/>
    <w:rsid w:val="00301E9B"/>
    <w:rsid w:val="00302CCA"/>
    <w:rsid w:val="00303716"/>
    <w:rsid w:val="003042A8"/>
    <w:rsid w:val="0030468C"/>
    <w:rsid w:val="003049A8"/>
    <w:rsid w:val="00304A88"/>
    <w:rsid w:val="00304A8F"/>
    <w:rsid w:val="00304C9D"/>
    <w:rsid w:val="00305B39"/>
    <w:rsid w:val="00306107"/>
    <w:rsid w:val="003063F0"/>
    <w:rsid w:val="003064EA"/>
    <w:rsid w:val="00306F42"/>
    <w:rsid w:val="003108E4"/>
    <w:rsid w:val="00310CE3"/>
    <w:rsid w:val="00310D4D"/>
    <w:rsid w:val="00310E65"/>
    <w:rsid w:val="00311B5F"/>
    <w:rsid w:val="00312018"/>
    <w:rsid w:val="00312434"/>
    <w:rsid w:val="00313255"/>
    <w:rsid w:val="0031392C"/>
    <w:rsid w:val="0031415A"/>
    <w:rsid w:val="0031458D"/>
    <w:rsid w:val="00315472"/>
    <w:rsid w:val="003160B3"/>
    <w:rsid w:val="0031681C"/>
    <w:rsid w:val="00320268"/>
    <w:rsid w:val="0032131E"/>
    <w:rsid w:val="003222B1"/>
    <w:rsid w:val="003233CF"/>
    <w:rsid w:val="00324B0E"/>
    <w:rsid w:val="003279F1"/>
    <w:rsid w:val="00327FEA"/>
    <w:rsid w:val="00330089"/>
    <w:rsid w:val="00330131"/>
    <w:rsid w:val="00330404"/>
    <w:rsid w:val="00330AAF"/>
    <w:rsid w:val="00331135"/>
    <w:rsid w:val="00331265"/>
    <w:rsid w:val="0033233E"/>
    <w:rsid w:val="003337ED"/>
    <w:rsid w:val="00333FFE"/>
    <w:rsid w:val="00335487"/>
    <w:rsid w:val="00336D67"/>
    <w:rsid w:val="00336E08"/>
    <w:rsid w:val="00337C9E"/>
    <w:rsid w:val="003402C7"/>
    <w:rsid w:val="00341754"/>
    <w:rsid w:val="003436D9"/>
    <w:rsid w:val="003436F4"/>
    <w:rsid w:val="003460EA"/>
    <w:rsid w:val="003463D4"/>
    <w:rsid w:val="0034672A"/>
    <w:rsid w:val="00350927"/>
    <w:rsid w:val="00350FCA"/>
    <w:rsid w:val="00354EBE"/>
    <w:rsid w:val="003552DA"/>
    <w:rsid w:val="00355427"/>
    <w:rsid w:val="0035638D"/>
    <w:rsid w:val="003565A3"/>
    <w:rsid w:val="003601B8"/>
    <w:rsid w:val="00362BA1"/>
    <w:rsid w:val="00362BFF"/>
    <w:rsid w:val="003632C3"/>
    <w:rsid w:val="00363338"/>
    <w:rsid w:val="003647CC"/>
    <w:rsid w:val="00364AD0"/>
    <w:rsid w:val="00365085"/>
    <w:rsid w:val="0036508F"/>
    <w:rsid w:val="00365095"/>
    <w:rsid w:val="003667A0"/>
    <w:rsid w:val="00371E6D"/>
    <w:rsid w:val="003726DC"/>
    <w:rsid w:val="003732AD"/>
    <w:rsid w:val="0037347C"/>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3DAB"/>
    <w:rsid w:val="00395AC8"/>
    <w:rsid w:val="00395CA6"/>
    <w:rsid w:val="00397133"/>
    <w:rsid w:val="003A08D3"/>
    <w:rsid w:val="003A105B"/>
    <w:rsid w:val="003A145A"/>
    <w:rsid w:val="003A2A83"/>
    <w:rsid w:val="003A2C62"/>
    <w:rsid w:val="003A441D"/>
    <w:rsid w:val="003A7EB3"/>
    <w:rsid w:val="003B2D38"/>
    <w:rsid w:val="003B38F4"/>
    <w:rsid w:val="003B4485"/>
    <w:rsid w:val="003B485F"/>
    <w:rsid w:val="003B503D"/>
    <w:rsid w:val="003B55B9"/>
    <w:rsid w:val="003B55F8"/>
    <w:rsid w:val="003B5A92"/>
    <w:rsid w:val="003B619B"/>
    <w:rsid w:val="003B6BA9"/>
    <w:rsid w:val="003C1365"/>
    <w:rsid w:val="003C163C"/>
    <w:rsid w:val="003C1BCD"/>
    <w:rsid w:val="003C1CFF"/>
    <w:rsid w:val="003C1D02"/>
    <w:rsid w:val="003C230D"/>
    <w:rsid w:val="003C2419"/>
    <w:rsid w:val="003C2E25"/>
    <w:rsid w:val="003C4566"/>
    <w:rsid w:val="003C503A"/>
    <w:rsid w:val="003C5F6C"/>
    <w:rsid w:val="003C605E"/>
    <w:rsid w:val="003C7D08"/>
    <w:rsid w:val="003D06B7"/>
    <w:rsid w:val="003D1601"/>
    <w:rsid w:val="003D1E23"/>
    <w:rsid w:val="003D4B2E"/>
    <w:rsid w:val="003D4D69"/>
    <w:rsid w:val="003D61D6"/>
    <w:rsid w:val="003D62A6"/>
    <w:rsid w:val="003D70F7"/>
    <w:rsid w:val="003D75EA"/>
    <w:rsid w:val="003E0703"/>
    <w:rsid w:val="003E0983"/>
    <w:rsid w:val="003E199C"/>
    <w:rsid w:val="003E2961"/>
    <w:rsid w:val="003E482F"/>
    <w:rsid w:val="003E53E1"/>
    <w:rsid w:val="003E5921"/>
    <w:rsid w:val="003E61BD"/>
    <w:rsid w:val="003E62E0"/>
    <w:rsid w:val="003E7CF2"/>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6DF"/>
    <w:rsid w:val="00420CA9"/>
    <w:rsid w:val="00421566"/>
    <w:rsid w:val="00421DFE"/>
    <w:rsid w:val="00422171"/>
    <w:rsid w:val="004225FB"/>
    <w:rsid w:val="00423ACC"/>
    <w:rsid w:val="0042425E"/>
    <w:rsid w:val="00424321"/>
    <w:rsid w:val="00425B2B"/>
    <w:rsid w:val="00425D24"/>
    <w:rsid w:val="0042620B"/>
    <w:rsid w:val="0042784E"/>
    <w:rsid w:val="00427F0B"/>
    <w:rsid w:val="00430455"/>
    <w:rsid w:val="004312A6"/>
    <w:rsid w:val="00431B06"/>
    <w:rsid w:val="004320F4"/>
    <w:rsid w:val="0043252A"/>
    <w:rsid w:val="00432B9C"/>
    <w:rsid w:val="004341C5"/>
    <w:rsid w:val="00434705"/>
    <w:rsid w:val="00435A71"/>
    <w:rsid w:val="00437E31"/>
    <w:rsid w:val="00440895"/>
    <w:rsid w:val="004414E0"/>
    <w:rsid w:val="004421D8"/>
    <w:rsid w:val="00442E22"/>
    <w:rsid w:val="00442F14"/>
    <w:rsid w:val="0044373C"/>
    <w:rsid w:val="00443BBB"/>
    <w:rsid w:val="00444FFF"/>
    <w:rsid w:val="00445727"/>
    <w:rsid w:val="00445B78"/>
    <w:rsid w:val="004508CD"/>
    <w:rsid w:val="004526DB"/>
    <w:rsid w:val="004537E0"/>
    <w:rsid w:val="00453AE2"/>
    <w:rsid w:val="00457C07"/>
    <w:rsid w:val="00460C3C"/>
    <w:rsid w:val="004611EB"/>
    <w:rsid w:val="00461E90"/>
    <w:rsid w:val="00464B8F"/>
    <w:rsid w:val="00464FC6"/>
    <w:rsid w:val="00466212"/>
    <w:rsid w:val="00466D11"/>
    <w:rsid w:val="004671DB"/>
    <w:rsid w:val="00472BF3"/>
    <w:rsid w:val="004737F0"/>
    <w:rsid w:val="00475724"/>
    <w:rsid w:val="00475ECD"/>
    <w:rsid w:val="00475ED3"/>
    <w:rsid w:val="00476342"/>
    <w:rsid w:val="0047693B"/>
    <w:rsid w:val="00483F42"/>
    <w:rsid w:val="00484373"/>
    <w:rsid w:val="0048613F"/>
    <w:rsid w:val="00487936"/>
    <w:rsid w:val="004901A2"/>
    <w:rsid w:val="0049050D"/>
    <w:rsid w:val="00491292"/>
    <w:rsid w:val="004914F0"/>
    <w:rsid w:val="00491B48"/>
    <w:rsid w:val="00492D63"/>
    <w:rsid w:val="004930EE"/>
    <w:rsid w:val="00493B0D"/>
    <w:rsid w:val="00494743"/>
    <w:rsid w:val="00494F6A"/>
    <w:rsid w:val="00495983"/>
    <w:rsid w:val="00496B46"/>
    <w:rsid w:val="0049739E"/>
    <w:rsid w:val="004A0101"/>
    <w:rsid w:val="004A0649"/>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15DE"/>
    <w:rsid w:val="004C1732"/>
    <w:rsid w:val="004C3812"/>
    <w:rsid w:val="004C3DC5"/>
    <w:rsid w:val="004C3E78"/>
    <w:rsid w:val="004C3ECC"/>
    <w:rsid w:val="004C4CF4"/>
    <w:rsid w:val="004C5A73"/>
    <w:rsid w:val="004C5DBC"/>
    <w:rsid w:val="004C7AF4"/>
    <w:rsid w:val="004D037F"/>
    <w:rsid w:val="004D0EA1"/>
    <w:rsid w:val="004D101F"/>
    <w:rsid w:val="004D23CD"/>
    <w:rsid w:val="004D297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80F"/>
    <w:rsid w:val="004F1823"/>
    <w:rsid w:val="004F3DCC"/>
    <w:rsid w:val="004F63B2"/>
    <w:rsid w:val="004F6416"/>
    <w:rsid w:val="004F64F4"/>
    <w:rsid w:val="004F6DFB"/>
    <w:rsid w:val="004F77FB"/>
    <w:rsid w:val="00500252"/>
    <w:rsid w:val="00501AD5"/>
    <w:rsid w:val="00502100"/>
    <w:rsid w:val="00502293"/>
    <w:rsid w:val="00502734"/>
    <w:rsid w:val="00502F5E"/>
    <w:rsid w:val="00503E0A"/>
    <w:rsid w:val="00505EFC"/>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4D48"/>
    <w:rsid w:val="005254AC"/>
    <w:rsid w:val="00525B44"/>
    <w:rsid w:val="005262BC"/>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BE7"/>
    <w:rsid w:val="00546D2D"/>
    <w:rsid w:val="005501EE"/>
    <w:rsid w:val="00552AB6"/>
    <w:rsid w:val="0055305C"/>
    <w:rsid w:val="005535EA"/>
    <w:rsid w:val="005547BA"/>
    <w:rsid w:val="00554B2B"/>
    <w:rsid w:val="0055554C"/>
    <w:rsid w:val="00556E0F"/>
    <w:rsid w:val="005607DB"/>
    <w:rsid w:val="0056220F"/>
    <w:rsid w:val="00562555"/>
    <w:rsid w:val="0056358C"/>
    <w:rsid w:val="00564F75"/>
    <w:rsid w:val="005657AA"/>
    <w:rsid w:val="00565949"/>
    <w:rsid w:val="005669A5"/>
    <w:rsid w:val="00566E12"/>
    <w:rsid w:val="00566E82"/>
    <w:rsid w:val="00567F7E"/>
    <w:rsid w:val="00570625"/>
    <w:rsid w:val="00571317"/>
    <w:rsid w:val="00572368"/>
    <w:rsid w:val="005729E9"/>
    <w:rsid w:val="00575241"/>
    <w:rsid w:val="005772A2"/>
    <w:rsid w:val="00580665"/>
    <w:rsid w:val="005811E9"/>
    <w:rsid w:val="00581C1B"/>
    <w:rsid w:val="0058325D"/>
    <w:rsid w:val="005837C7"/>
    <w:rsid w:val="00583B62"/>
    <w:rsid w:val="005870D5"/>
    <w:rsid w:val="00587673"/>
    <w:rsid w:val="00591817"/>
    <w:rsid w:val="00591840"/>
    <w:rsid w:val="00593256"/>
    <w:rsid w:val="00594AA6"/>
    <w:rsid w:val="00595D64"/>
    <w:rsid w:val="00595F82"/>
    <w:rsid w:val="005963FC"/>
    <w:rsid w:val="00597995"/>
    <w:rsid w:val="00597CB4"/>
    <w:rsid w:val="005A0B37"/>
    <w:rsid w:val="005A3022"/>
    <w:rsid w:val="005A3F37"/>
    <w:rsid w:val="005A51ED"/>
    <w:rsid w:val="005A5960"/>
    <w:rsid w:val="005A6731"/>
    <w:rsid w:val="005A7196"/>
    <w:rsid w:val="005B02F5"/>
    <w:rsid w:val="005B103F"/>
    <w:rsid w:val="005B11FE"/>
    <w:rsid w:val="005B2582"/>
    <w:rsid w:val="005B3B7C"/>
    <w:rsid w:val="005B524F"/>
    <w:rsid w:val="005B606D"/>
    <w:rsid w:val="005B691A"/>
    <w:rsid w:val="005B6C9E"/>
    <w:rsid w:val="005B7185"/>
    <w:rsid w:val="005B7333"/>
    <w:rsid w:val="005B7B6E"/>
    <w:rsid w:val="005C0FD2"/>
    <w:rsid w:val="005C1455"/>
    <w:rsid w:val="005C261D"/>
    <w:rsid w:val="005C62EE"/>
    <w:rsid w:val="005C77A1"/>
    <w:rsid w:val="005D154D"/>
    <w:rsid w:val="005D2B4D"/>
    <w:rsid w:val="005D39D8"/>
    <w:rsid w:val="005D5B4D"/>
    <w:rsid w:val="005D5CB6"/>
    <w:rsid w:val="005D61D3"/>
    <w:rsid w:val="005D707C"/>
    <w:rsid w:val="005D7331"/>
    <w:rsid w:val="005D7A9E"/>
    <w:rsid w:val="005E09FC"/>
    <w:rsid w:val="005E18AD"/>
    <w:rsid w:val="005E379E"/>
    <w:rsid w:val="005E527F"/>
    <w:rsid w:val="005E540F"/>
    <w:rsid w:val="005E6089"/>
    <w:rsid w:val="005E7B00"/>
    <w:rsid w:val="005F013E"/>
    <w:rsid w:val="005F0F15"/>
    <w:rsid w:val="005F43CD"/>
    <w:rsid w:val="005F4877"/>
    <w:rsid w:val="005F5587"/>
    <w:rsid w:val="005F59B6"/>
    <w:rsid w:val="005F5D2E"/>
    <w:rsid w:val="005F6287"/>
    <w:rsid w:val="005F6C18"/>
    <w:rsid w:val="005F7A35"/>
    <w:rsid w:val="006006A0"/>
    <w:rsid w:val="0060125E"/>
    <w:rsid w:val="00601928"/>
    <w:rsid w:val="006022EC"/>
    <w:rsid w:val="0060410D"/>
    <w:rsid w:val="00611217"/>
    <w:rsid w:val="0061137B"/>
    <w:rsid w:val="00612C7B"/>
    <w:rsid w:val="00612D6B"/>
    <w:rsid w:val="006139B1"/>
    <w:rsid w:val="006149FB"/>
    <w:rsid w:val="00615868"/>
    <w:rsid w:val="00616157"/>
    <w:rsid w:val="006162D6"/>
    <w:rsid w:val="00620F19"/>
    <w:rsid w:val="00623944"/>
    <w:rsid w:val="00626940"/>
    <w:rsid w:val="00627594"/>
    <w:rsid w:val="0063028B"/>
    <w:rsid w:val="00630EE5"/>
    <w:rsid w:val="0063226C"/>
    <w:rsid w:val="006333A2"/>
    <w:rsid w:val="006333E1"/>
    <w:rsid w:val="00633445"/>
    <w:rsid w:val="00636E34"/>
    <w:rsid w:val="00637228"/>
    <w:rsid w:val="00637BBD"/>
    <w:rsid w:val="006417B2"/>
    <w:rsid w:val="00641A1B"/>
    <w:rsid w:val="00642756"/>
    <w:rsid w:val="00642A9D"/>
    <w:rsid w:val="00642CAB"/>
    <w:rsid w:val="00643755"/>
    <w:rsid w:val="006441C4"/>
    <w:rsid w:val="00645031"/>
    <w:rsid w:val="00645D45"/>
    <w:rsid w:val="00646261"/>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8BA"/>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D2A"/>
    <w:rsid w:val="00692A1F"/>
    <w:rsid w:val="0069492E"/>
    <w:rsid w:val="00694C99"/>
    <w:rsid w:val="00694D8E"/>
    <w:rsid w:val="00695C7A"/>
    <w:rsid w:val="0069660A"/>
    <w:rsid w:val="00697F08"/>
    <w:rsid w:val="006A13F6"/>
    <w:rsid w:val="006A3FF5"/>
    <w:rsid w:val="006A61AB"/>
    <w:rsid w:val="006B0464"/>
    <w:rsid w:val="006B0F29"/>
    <w:rsid w:val="006B1FDC"/>
    <w:rsid w:val="006B2590"/>
    <w:rsid w:val="006B36F6"/>
    <w:rsid w:val="006B381B"/>
    <w:rsid w:val="006B394F"/>
    <w:rsid w:val="006B45C0"/>
    <w:rsid w:val="006B4E59"/>
    <w:rsid w:val="006B5027"/>
    <w:rsid w:val="006B79A8"/>
    <w:rsid w:val="006C06F4"/>
    <w:rsid w:val="006C1724"/>
    <w:rsid w:val="006C1D2A"/>
    <w:rsid w:val="006C2142"/>
    <w:rsid w:val="006C35CE"/>
    <w:rsid w:val="006C360A"/>
    <w:rsid w:val="006C3824"/>
    <w:rsid w:val="006C46D7"/>
    <w:rsid w:val="006C4805"/>
    <w:rsid w:val="006C7794"/>
    <w:rsid w:val="006C78F8"/>
    <w:rsid w:val="006D0FB3"/>
    <w:rsid w:val="006D282C"/>
    <w:rsid w:val="006D2E00"/>
    <w:rsid w:val="006D3A34"/>
    <w:rsid w:val="006D4D0F"/>
    <w:rsid w:val="006D70CD"/>
    <w:rsid w:val="006D7D63"/>
    <w:rsid w:val="006E00AC"/>
    <w:rsid w:val="006E1DA2"/>
    <w:rsid w:val="006E2964"/>
    <w:rsid w:val="006E3311"/>
    <w:rsid w:val="006E37D1"/>
    <w:rsid w:val="006E52A6"/>
    <w:rsid w:val="006E6E08"/>
    <w:rsid w:val="006E70D2"/>
    <w:rsid w:val="006F18B3"/>
    <w:rsid w:val="006F408D"/>
    <w:rsid w:val="006F5923"/>
    <w:rsid w:val="006F62AD"/>
    <w:rsid w:val="006F7BE2"/>
    <w:rsid w:val="00700825"/>
    <w:rsid w:val="0070085A"/>
    <w:rsid w:val="007027CB"/>
    <w:rsid w:val="00703140"/>
    <w:rsid w:val="007039C8"/>
    <w:rsid w:val="00704197"/>
    <w:rsid w:val="00705724"/>
    <w:rsid w:val="00705A6B"/>
    <w:rsid w:val="00705CBD"/>
    <w:rsid w:val="00706016"/>
    <w:rsid w:val="007060F7"/>
    <w:rsid w:val="00706F0F"/>
    <w:rsid w:val="00707276"/>
    <w:rsid w:val="0070732D"/>
    <w:rsid w:val="0070756A"/>
    <w:rsid w:val="0071173A"/>
    <w:rsid w:val="00712158"/>
    <w:rsid w:val="007136F4"/>
    <w:rsid w:val="00713B92"/>
    <w:rsid w:val="00713E7A"/>
    <w:rsid w:val="007144FB"/>
    <w:rsid w:val="0071457F"/>
    <w:rsid w:val="00714B1E"/>
    <w:rsid w:val="00714F58"/>
    <w:rsid w:val="007161BE"/>
    <w:rsid w:val="0071736D"/>
    <w:rsid w:val="007200DC"/>
    <w:rsid w:val="00721132"/>
    <w:rsid w:val="0072161D"/>
    <w:rsid w:val="00723180"/>
    <w:rsid w:val="00723820"/>
    <w:rsid w:val="00724E55"/>
    <w:rsid w:val="0072748E"/>
    <w:rsid w:val="00730690"/>
    <w:rsid w:val="0073227E"/>
    <w:rsid w:val="0073398E"/>
    <w:rsid w:val="00733B69"/>
    <w:rsid w:val="0073448B"/>
    <w:rsid w:val="00736217"/>
    <w:rsid w:val="0073672C"/>
    <w:rsid w:val="00736888"/>
    <w:rsid w:val="0073726C"/>
    <w:rsid w:val="00740025"/>
    <w:rsid w:val="00742101"/>
    <w:rsid w:val="00743AF8"/>
    <w:rsid w:val="00743D16"/>
    <w:rsid w:val="00744142"/>
    <w:rsid w:val="00744941"/>
    <w:rsid w:val="00747E12"/>
    <w:rsid w:val="0075023C"/>
    <w:rsid w:val="0075059B"/>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1847"/>
    <w:rsid w:val="00771BE7"/>
    <w:rsid w:val="0077327E"/>
    <w:rsid w:val="00773EEE"/>
    <w:rsid w:val="00774C8C"/>
    <w:rsid w:val="00774D8E"/>
    <w:rsid w:val="00775762"/>
    <w:rsid w:val="00776552"/>
    <w:rsid w:val="00776841"/>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968CA"/>
    <w:rsid w:val="00797ED8"/>
    <w:rsid w:val="007A06D9"/>
    <w:rsid w:val="007A0C1F"/>
    <w:rsid w:val="007A1D64"/>
    <w:rsid w:val="007A205E"/>
    <w:rsid w:val="007A2F04"/>
    <w:rsid w:val="007A3216"/>
    <w:rsid w:val="007A421F"/>
    <w:rsid w:val="007A5A82"/>
    <w:rsid w:val="007A5F5A"/>
    <w:rsid w:val="007A621E"/>
    <w:rsid w:val="007A675D"/>
    <w:rsid w:val="007A6A52"/>
    <w:rsid w:val="007A6CD3"/>
    <w:rsid w:val="007B071B"/>
    <w:rsid w:val="007B105D"/>
    <w:rsid w:val="007B14E3"/>
    <w:rsid w:val="007B158A"/>
    <w:rsid w:val="007B3474"/>
    <w:rsid w:val="007B359B"/>
    <w:rsid w:val="007B4427"/>
    <w:rsid w:val="007B4971"/>
    <w:rsid w:val="007B54B8"/>
    <w:rsid w:val="007B6610"/>
    <w:rsid w:val="007B7064"/>
    <w:rsid w:val="007B7CE2"/>
    <w:rsid w:val="007C12AF"/>
    <w:rsid w:val="007C3168"/>
    <w:rsid w:val="007C3898"/>
    <w:rsid w:val="007C3907"/>
    <w:rsid w:val="007C4332"/>
    <w:rsid w:val="007C4B77"/>
    <w:rsid w:val="007C501F"/>
    <w:rsid w:val="007C57C3"/>
    <w:rsid w:val="007C61B4"/>
    <w:rsid w:val="007C6CDD"/>
    <w:rsid w:val="007C776D"/>
    <w:rsid w:val="007D003B"/>
    <w:rsid w:val="007D245E"/>
    <w:rsid w:val="007D4AF2"/>
    <w:rsid w:val="007D4BEB"/>
    <w:rsid w:val="007D4E28"/>
    <w:rsid w:val="007D5877"/>
    <w:rsid w:val="007D714A"/>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6C02"/>
    <w:rsid w:val="00807DDE"/>
    <w:rsid w:val="008104B3"/>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3B2A"/>
    <w:rsid w:val="00833D75"/>
    <w:rsid w:val="0083405E"/>
    <w:rsid w:val="00834754"/>
    <w:rsid w:val="00835099"/>
    <w:rsid w:val="00835EBE"/>
    <w:rsid w:val="0083675E"/>
    <w:rsid w:val="008367C9"/>
    <w:rsid w:val="00840481"/>
    <w:rsid w:val="0084052D"/>
    <w:rsid w:val="00844C86"/>
    <w:rsid w:val="0084521A"/>
    <w:rsid w:val="008453D0"/>
    <w:rsid w:val="00845F15"/>
    <w:rsid w:val="008464ED"/>
    <w:rsid w:val="008465AD"/>
    <w:rsid w:val="008467E8"/>
    <w:rsid w:val="00847657"/>
    <w:rsid w:val="00847873"/>
    <w:rsid w:val="00850300"/>
    <w:rsid w:val="0085043E"/>
    <w:rsid w:val="00850739"/>
    <w:rsid w:val="00850B09"/>
    <w:rsid w:val="00851194"/>
    <w:rsid w:val="00851FBD"/>
    <w:rsid w:val="008525EA"/>
    <w:rsid w:val="00853DA2"/>
    <w:rsid w:val="00854722"/>
    <w:rsid w:val="00855271"/>
    <w:rsid w:val="0085587A"/>
    <w:rsid w:val="00855A3D"/>
    <w:rsid w:val="00856C2F"/>
    <w:rsid w:val="00857194"/>
    <w:rsid w:val="00857B63"/>
    <w:rsid w:val="0086140E"/>
    <w:rsid w:val="008617FE"/>
    <w:rsid w:val="00861807"/>
    <w:rsid w:val="00863692"/>
    <w:rsid w:val="00864E4D"/>
    <w:rsid w:val="008656DB"/>
    <w:rsid w:val="00866645"/>
    <w:rsid w:val="00867F01"/>
    <w:rsid w:val="00867FD3"/>
    <w:rsid w:val="008701B0"/>
    <w:rsid w:val="008711F2"/>
    <w:rsid w:val="0087144D"/>
    <w:rsid w:val="00871532"/>
    <w:rsid w:val="008719A2"/>
    <w:rsid w:val="00873AA2"/>
    <w:rsid w:val="0087576A"/>
    <w:rsid w:val="00876237"/>
    <w:rsid w:val="008767D2"/>
    <w:rsid w:val="00876BE1"/>
    <w:rsid w:val="00877841"/>
    <w:rsid w:val="00881BAC"/>
    <w:rsid w:val="00881EB5"/>
    <w:rsid w:val="008830E4"/>
    <w:rsid w:val="008837A9"/>
    <w:rsid w:val="00883866"/>
    <w:rsid w:val="0088406F"/>
    <w:rsid w:val="00885000"/>
    <w:rsid w:val="00886A92"/>
    <w:rsid w:val="00887B5C"/>
    <w:rsid w:val="00890024"/>
    <w:rsid w:val="0089025D"/>
    <w:rsid w:val="008902BD"/>
    <w:rsid w:val="008906C3"/>
    <w:rsid w:val="00890D27"/>
    <w:rsid w:val="008912CF"/>
    <w:rsid w:val="00891D8A"/>
    <w:rsid w:val="00891F6C"/>
    <w:rsid w:val="008936C7"/>
    <w:rsid w:val="0089606D"/>
    <w:rsid w:val="00896BF6"/>
    <w:rsid w:val="008A01DA"/>
    <w:rsid w:val="008A20D2"/>
    <w:rsid w:val="008A23D9"/>
    <w:rsid w:val="008A4441"/>
    <w:rsid w:val="008A46D6"/>
    <w:rsid w:val="008A5DA5"/>
    <w:rsid w:val="008A717D"/>
    <w:rsid w:val="008A78BB"/>
    <w:rsid w:val="008B0EF6"/>
    <w:rsid w:val="008B2B74"/>
    <w:rsid w:val="008B440E"/>
    <w:rsid w:val="008B5EB1"/>
    <w:rsid w:val="008B6E3D"/>
    <w:rsid w:val="008B7009"/>
    <w:rsid w:val="008B7493"/>
    <w:rsid w:val="008B7528"/>
    <w:rsid w:val="008C01C1"/>
    <w:rsid w:val="008C03E0"/>
    <w:rsid w:val="008C105F"/>
    <w:rsid w:val="008C15A0"/>
    <w:rsid w:val="008C1922"/>
    <w:rsid w:val="008C1EE9"/>
    <w:rsid w:val="008C205D"/>
    <w:rsid w:val="008C2A2A"/>
    <w:rsid w:val="008C3864"/>
    <w:rsid w:val="008C3F88"/>
    <w:rsid w:val="008C48A4"/>
    <w:rsid w:val="008C4B6B"/>
    <w:rsid w:val="008C51AE"/>
    <w:rsid w:val="008C5268"/>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42F"/>
    <w:rsid w:val="008F494C"/>
    <w:rsid w:val="008F4B1B"/>
    <w:rsid w:val="008F53CD"/>
    <w:rsid w:val="008F56A0"/>
    <w:rsid w:val="008F5D72"/>
    <w:rsid w:val="008F6BDA"/>
    <w:rsid w:val="008F73EA"/>
    <w:rsid w:val="00900098"/>
    <w:rsid w:val="009005C1"/>
    <w:rsid w:val="00900E9F"/>
    <w:rsid w:val="00901531"/>
    <w:rsid w:val="00903D1A"/>
    <w:rsid w:val="00904B28"/>
    <w:rsid w:val="009058C0"/>
    <w:rsid w:val="00905C94"/>
    <w:rsid w:val="009078D8"/>
    <w:rsid w:val="009079B2"/>
    <w:rsid w:val="00911455"/>
    <w:rsid w:val="009119E4"/>
    <w:rsid w:val="009133BA"/>
    <w:rsid w:val="00913B90"/>
    <w:rsid w:val="009145D4"/>
    <w:rsid w:val="009147D5"/>
    <w:rsid w:val="00915748"/>
    <w:rsid w:val="00915B42"/>
    <w:rsid w:val="00915D3C"/>
    <w:rsid w:val="00917A24"/>
    <w:rsid w:val="00917DEA"/>
    <w:rsid w:val="009205BB"/>
    <w:rsid w:val="009217A5"/>
    <w:rsid w:val="0092343F"/>
    <w:rsid w:val="00924B12"/>
    <w:rsid w:val="00925BF8"/>
    <w:rsid w:val="009262A6"/>
    <w:rsid w:val="00927BB7"/>
    <w:rsid w:val="00930011"/>
    <w:rsid w:val="00931A3D"/>
    <w:rsid w:val="0093216F"/>
    <w:rsid w:val="0093284F"/>
    <w:rsid w:val="00932B98"/>
    <w:rsid w:val="00933F3A"/>
    <w:rsid w:val="00935B95"/>
    <w:rsid w:val="00936085"/>
    <w:rsid w:val="00936653"/>
    <w:rsid w:val="00937C1E"/>
    <w:rsid w:val="009404C1"/>
    <w:rsid w:val="00940A1E"/>
    <w:rsid w:val="009415FE"/>
    <w:rsid w:val="00941B1F"/>
    <w:rsid w:val="00942487"/>
    <w:rsid w:val="00942E25"/>
    <w:rsid w:val="00942F2F"/>
    <w:rsid w:val="009434B3"/>
    <w:rsid w:val="00943CE4"/>
    <w:rsid w:val="009459E4"/>
    <w:rsid w:val="009473E5"/>
    <w:rsid w:val="00947684"/>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06CF"/>
    <w:rsid w:val="00962AD7"/>
    <w:rsid w:val="00965AD5"/>
    <w:rsid w:val="0096654D"/>
    <w:rsid w:val="00967FDC"/>
    <w:rsid w:val="00972D7A"/>
    <w:rsid w:val="009732CA"/>
    <w:rsid w:val="00974170"/>
    <w:rsid w:val="00974801"/>
    <w:rsid w:val="0097583A"/>
    <w:rsid w:val="00976213"/>
    <w:rsid w:val="00976265"/>
    <w:rsid w:val="0097651D"/>
    <w:rsid w:val="0098032A"/>
    <w:rsid w:val="00980F0A"/>
    <w:rsid w:val="0098180F"/>
    <w:rsid w:val="00983A13"/>
    <w:rsid w:val="009863CC"/>
    <w:rsid w:val="00986740"/>
    <w:rsid w:val="00986904"/>
    <w:rsid w:val="00986EBF"/>
    <w:rsid w:val="00987E4D"/>
    <w:rsid w:val="00991026"/>
    <w:rsid w:val="00991236"/>
    <w:rsid w:val="00991991"/>
    <w:rsid w:val="00992E46"/>
    <w:rsid w:val="00993A60"/>
    <w:rsid w:val="00993C4E"/>
    <w:rsid w:val="00993D39"/>
    <w:rsid w:val="00994C9F"/>
    <w:rsid w:val="00997129"/>
    <w:rsid w:val="009978A8"/>
    <w:rsid w:val="009A0274"/>
    <w:rsid w:val="009A0809"/>
    <w:rsid w:val="009A09FC"/>
    <w:rsid w:val="009A1951"/>
    <w:rsid w:val="009A264C"/>
    <w:rsid w:val="009A2809"/>
    <w:rsid w:val="009A31FF"/>
    <w:rsid w:val="009A336E"/>
    <w:rsid w:val="009A47CF"/>
    <w:rsid w:val="009A612E"/>
    <w:rsid w:val="009A671E"/>
    <w:rsid w:val="009A7545"/>
    <w:rsid w:val="009A7586"/>
    <w:rsid w:val="009B289B"/>
    <w:rsid w:val="009B2EA5"/>
    <w:rsid w:val="009B32D0"/>
    <w:rsid w:val="009B39DC"/>
    <w:rsid w:val="009B3CE9"/>
    <w:rsid w:val="009B5F9F"/>
    <w:rsid w:val="009B60EB"/>
    <w:rsid w:val="009B6653"/>
    <w:rsid w:val="009B6696"/>
    <w:rsid w:val="009B66EB"/>
    <w:rsid w:val="009B7415"/>
    <w:rsid w:val="009C0919"/>
    <w:rsid w:val="009C1335"/>
    <w:rsid w:val="009C19BE"/>
    <w:rsid w:val="009C1EC0"/>
    <w:rsid w:val="009C35C8"/>
    <w:rsid w:val="009C35EB"/>
    <w:rsid w:val="009C409E"/>
    <w:rsid w:val="009C4779"/>
    <w:rsid w:val="009C48E9"/>
    <w:rsid w:val="009C60DA"/>
    <w:rsid w:val="009C686E"/>
    <w:rsid w:val="009D073A"/>
    <w:rsid w:val="009D3440"/>
    <w:rsid w:val="009D3D5B"/>
    <w:rsid w:val="009D46C7"/>
    <w:rsid w:val="009D4A2A"/>
    <w:rsid w:val="009D6FE5"/>
    <w:rsid w:val="009E1313"/>
    <w:rsid w:val="009E1E59"/>
    <w:rsid w:val="009E3EFF"/>
    <w:rsid w:val="009E5033"/>
    <w:rsid w:val="009E60B3"/>
    <w:rsid w:val="009F0111"/>
    <w:rsid w:val="009F0576"/>
    <w:rsid w:val="009F0591"/>
    <w:rsid w:val="009F0DF8"/>
    <w:rsid w:val="009F2464"/>
    <w:rsid w:val="009F3152"/>
    <w:rsid w:val="009F3C2D"/>
    <w:rsid w:val="009F3C46"/>
    <w:rsid w:val="009F5473"/>
    <w:rsid w:val="009F62CD"/>
    <w:rsid w:val="009F68D9"/>
    <w:rsid w:val="009F6D04"/>
    <w:rsid w:val="00A00E66"/>
    <w:rsid w:val="00A02DE1"/>
    <w:rsid w:val="00A0308A"/>
    <w:rsid w:val="00A03271"/>
    <w:rsid w:val="00A06586"/>
    <w:rsid w:val="00A06A2E"/>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0CFC"/>
    <w:rsid w:val="00A21F40"/>
    <w:rsid w:val="00A2337F"/>
    <w:rsid w:val="00A23B22"/>
    <w:rsid w:val="00A259CA"/>
    <w:rsid w:val="00A25DDC"/>
    <w:rsid w:val="00A2655E"/>
    <w:rsid w:val="00A26D56"/>
    <w:rsid w:val="00A26DD3"/>
    <w:rsid w:val="00A270E6"/>
    <w:rsid w:val="00A27BF5"/>
    <w:rsid w:val="00A30E55"/>
    <w:rsid w:val="00A30FCD"/>
    <w:rsid w:val="00A321EA"/>
    <w:rsid w:val="00A331DA"/>
    <w:rsid w:val="00A3375B"/>
    <w:rsid w:val="00A34D34"/>
    <w:rsid w:val="00A35A74"/>
    <w:rsid w:val="00A36ABE"/>
    <w:rsid w:val="00A3767C"/>
    <w:rsid w:val="00A37885"/>
    <w:rsid w:val="00A37C2D"/>
    <w:rsid w:val="00A4001C"/>
    <w:rsid w:val="00A41443"/>
    <w:rsid w:val="00A454D6"/>
    <w:rsid w:val="00A47A44"/>
    <w:rsid w:val="00A5256F"/>
    <w:rsid w:val="00A53485"/>
    <w:rsid w:val="00A53C29"/>
    <w:rsid w:val="00A53F3D"/>
    <w:rsid w:val="00A540FB"/>
    <w:rsid w:val="00A54161"/>
    <w:rsid w:val="00A554D4"/>
    <w:rsid w:val="00A557B1"/>
    <w:rsid w:val="00A55C6C"/>
    <w:rsid w:val="00A564D7"/>
    <w:rsid w:val="00A56B01"/>
    <w:rsid w:val="00A56E85"/>
    <w:rsid w:val="00A579C8"/>
    <w:rsid w:val="00A57AEC"/>
    <w:rsid w:val="00A63017"/>
    <w:rsid w:val="00A63DD8"/>
    <w:rsid w:val="00A64866"/>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2D08"/>
    <w:rsid w:val="00A8401B"/>
    <w:rsid w:val="00A84052"/>
    <w:rsid w:val="00A842B1"/>
    <w:rsid w:val="00A84AD3"/>
    <w:rsid w:val="00A86875"/>
    <w:rsid w:val="00A86F01"/>
    <w:rsid w:val="00A909C3"/>
    <w:rsid w:val="00A91DD8"/>
    <w:rsid w:val="00A925CD"/>
    <w:rsid w:val="00A94DAC"/>
    <w:rsid w:val="00A953B4"/>
    <w:rsid w:val="00A95D09"/>
    <w:rsid w:val="00A95D78"/>
    <w:rsid w:val="00AA0512"/>
    <w:rsid w:val="00AA0C42"/>
    <w:rsid w:val="00AA0E0E"/>
    <w:rsid w:val="00AA41D1"/>
    <w:rsid w:val="00AA4E0F"/>
    <w:rsid w:val="00AA563F"/>
    <w:rsid w:val="00AA6ED1"/>
    <w:rsid w:val="00AB074E"/>
    <w:rsid w:val="00AB2BE1"/>
    <w:rsid w:val="00AB2D9A"/>
    <w:rsid w:val="00AB4ED8"/>
    <w:rsid w:val="00AB4F74"/>
    <w:rsid w:val="00AB5617"/>
    <w:rsid w:val="00AB5ED0"/>
    <w:rsid w:val="00AC0057"/>
    <w:rsid w:val="00AC015A"/>
    <w:rsid w:val="00AC0C9E"/>
    <w:rsid w:val="00AC157E"/>
    <w:rsid w:val="00AC1A34"/>
    <w:rsid w:val="00AC1FB6"/>
    <w:rsid w:val="00AC2BBC"/>
    <w:rsid w:val="00AC2C84"/>
    <w:rsid w:val="00AC31AD"/>
    <w:rsid w:val="00AC50F7"/>
    <w:rsid w:val="00AC5C6C"/>
    <w:rsid w:val="00AC5CB9"/>
    <w:rsid w:val="00AC6A7A"/>
    <w:rsid w:val="00AC7BE5"/>
    <w:rsid w:val="00AD1DEB"/>
    <w:rsid w:val="00AD28FC"/>
    <w:rsid w:val="00AD38DB"/>
    <w:rsid w:val="00AD3DE8"/>
    <w:rsid w:val="00AD416F"/>
    <w:rsid w:val="00AD4709"/>
    <w:rsid w:val="00AD4A9A"/>
    <w:rsid w:val="00AD5338"/>
    <w:rsid w:val="00AD624F"/>
    <w:rsid w:val="00AE0355"/>
    <w:rsid w:val="00AE30A3"/>
    <w:rsid w:val="00AE3ACE"/>
    <w:rsid w:val="00AE3AEB"/>
    <w:rsid w:val="00AE3C7D"/>
    <w:rsid w:val="00AE699A"/>
    <w:rsid w:val="00AE7597"/>
    <w:rsid w:val="00AE79B8"/>
    <w:rsid w:val="00AF09DD"/>
    <w:rsid w:val="00AF14F2"/>
    <w:rsid w:val="00AF24B8"/>
    <w:rsid w:val="00AF2F54"/>
    <w:rsid w:val="00AF34DA"/>
    <w:rsid w:val="00AF490D"/>
    <w:rsid w:val="00AF639B"/>
    <w:rsid w:val="00AF6662"/>
    <w:rsid w:val="00AF66FC"/>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3017"/>
    <w:rsid w:val="00B137C3"/>
    <w:rsid w:val="00B14D5D"/>
    <w:rsid w:val="00B169FE"/>
    <w:rsid w:val="00B21ED8"/>
    <w:rsid w:val="00B225A4"/>
    <w:rsid w:val="00B24CAD"/>
    <w:rsid w:val="00B25482"/>
    <w:rsid w:val="00B256E9"/>
    <w:rsid w:val="00B26DD6"/>
    <w:rsid w:val="00B27014"/>
    <w:rsid w:val="00B276EA"/>
    <w:rsid w:val="00B31F1A"/>
    <w:rsid w:val="00B3244E"/>
    <w:rsid w:val="00B3246D"/>
    <w:rsid w:val="00B33046"/>
    <w:rsid w:val="00B33B16"/>
    <w:rsid w:val="00B33C91"/>
    <w:rsid w:val="00B33CE2"/>
    <w:rsid w:val="00B34D44"/>
    <w:rsid w:val="00B3525F"/>
    <w:rsid w:val="00B35404"/>
    <w:rsid w:val="00B36539"/>
    <w:rsid w:val="00B37D1C"/>
    <w:rsid w:val="00B41316"/>
    <w:rsid w:val="00B41BBD"/>
    <w:rsid w:val="00B4201B"/>
    <w:rsid w:val="00B42987"/>
    <w:rsid w:val="00B44A91"/>
    <w:rsid w:val="00B464BB"/>
    <w:rsid w:val="00B46DB1"/>
    <w:rsid w:val="00B505F9"/>
    <w:rsid w:val="00B519D3"/>
    <w:rsid w:val="00B542C6"/>
    <w:rsid w:val="00B54623"/>
    <w:rsid w:val="00B54837"/>
    <w:rsid w:val="00B55A60"/>
    <w:rsid w:val="00B61401"/>
    <w:rsid w:val="00B615E6"/>
    <w:rsid w:val="00B63CD3"/>
    <w:rsid w:val="00B64194"/>
    <w:rsid w:val="00B6467C"/>
    <w:rsid w:val="00B6500B"/>
    <w:rsid w:val="00B7373E"/>
    <w:rsid w:val="00B74084"/>
    <w:rsid w:val="00B75363"/>
    <w:rsid w:val="00B755C1"/>
    <w:rsid w:val="00B77B1C"/>
    <w:rsid w:val="00B80992"/>
    <w:rsid w:val="00B82D54"/>
    <w:rsid w:val="00B83088"/>
    <w:rsid w:val="00B85751"/>
    <w:rsid w:val="00B85909"/>
    <w:rsid w:val="00B85F3B"/>
    <w:rsid w:val="00B86D13"/>
    <w:rsid w:val="00B875FE"/>
    <w:rsid w:val="00B876FF"/>
    <w:rsid w:val="00B9093F"/>
    <w:rsid w:val="00B90BE5"/>
    <w:rsid w:val="00B90E9F"/>
    <w:rsid w:val="00B93114"/>
    <w:rsid w:val="00B9362B"/>
    <w:rsid w:val="00B93ADE"/>
    <w:rsid w:val="00B93F10"/>
    <w:rsid w:val="00B95676"/>
    <w:rsid w:val="00B957DA"/>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A7DB8"/>
    <w:rsid w:val="00BB146A"/>
    <w:rsid w:val="00BB1698"/>
    <w:rsid w:val="00BB376F"/>
    <w:rsid w:val="00BB3CC1"/>
    <w:rsid w:val="00BB7D3B"/>
    <w:rsid w:val="00BC0EF7"/>
    <w:rsid w:val="00BC0F49"/>
    <w:rsid w:val="00BC10DC"/>
    <w:rsid w:val="00BC2525"/>
    <w:rsid w:val="00BC352F"/>
    <w:rsid w:val="00BC40D0"/>
    <w:rsid w:val="00BC60B8"/>
    <w:rsid w:val="00BC6701"/>
    <w:rsid w:val="00BC7AFA"/>
    <w:rsid w:val="00BD11F2"/>
    <w:rsid w:val="00BD1BA1"/>
    <w:rsid w:val="00BD24E4"/>
    <w:rsid w:val="00BD2E64"/>
    <w:rsid w:val="00BD35D5"/>
    <w:rsid w:val="00BD3862"/>
    <w:rsid w:val="00BD3E9D"/>
    <w:rsid w:val="00BD4C59"/>
    <w:rsid w:val="00BD5CB2"/>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6897"/>
    <w:rsid w:val="00BE7488"/>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5212"/>
    <w:rsid w:val="00C05489"/>
    <w:rsid w:val="00C12261"/>
    <w:rsid w:val="00C16542"/>
    <w:rsid w:val="00C17944"/>
    <w:rsid w:val="00C20A21"/>
    <w:rsid w:val="00C22EEA"/>
    <w:rsid w:val="00C2309B"/>
    <w:rsid w:val="00C230F3"/>
    <w:rsid w:val="00C24072"/>
    <w:rsid w:val="00C257E1"/>
    <w:rsid w:val="00C26447"/>
    <w:rsid w:val="00C26981"/>
    <w:rsid w:val="00C30D92"/>
    <w:rsid w:val="00C3220E"/>
    <w:rsid w:val="00C345AA"/>
    <w:rsid w:val="00C37019"/>
    <w:rsid w:val="00C37377"/>
    <w:rsid w:val="00C37C46"/>
    <w:rsid w:val="00C4096B"/>
    <w:rsid w:val="00C4114B"/>
    <w:rsid w:val="00C41335"/>
    <w:rsid w:val="00C4162B"/>
    <w:rsid w:val="00C41B8F"/>
    <w:rsid w:val="00C45FD6"/>
    <w:rsid w:val="00C46AD3"/>
    <w:rsid w:val="00C47640"/>
    <w:rsid w:val="00C506BC"/>
    <w:rsid w:val="00C50990"/>
    <w:rsid w:val="00C50E2E"/>
    <w:rsid w:val="00C5216D"/>
    <w:rsid w:val="00C52B55"/>
    <w:rsid w:val="00C55414"/>
    <w:rsid w:val="00C554F4"/>
    <w:rsid w:val="00C60F73"/>
    <w:rsid w:val="00C617E4"/>
    <w:rsid w:val="00C61DEF"/>
    <w:rsid w:val="00C6297E"/>
    <w:rsid w:val="00C62C96"/>
    <w:rsid w:val="00C62E16"/>
    <w:rsid w:val="00C6371D"/>
    <w:rsid w:val="00C639AD"/>
    <w:rsid w:val="00C64026"/>
    <w:rsid w:val="00C64942"/>
    <w:rsid w:val="00C64FEC"/>
    <w:rsid w:val="00C66A9D"/>
    <w:rsid w:val="00C67BE8"/>
    <w:rsid w:val="00C71394"/>
    <w:rsid w:val="00C737D2"/>
    <w:rsid w:val="00C738D4"/>
    <w:rsid w:val="00C74A99"/>
    <w:rsid w:val="00C76664"/>
    <w:rsid w:val="00C76E03"/>
    <w:rsid w:val="00C81194"/>
    <w:rsid w:val="00C8237B"/>
    <w:rsid w:val="00C85063"/>
    <w:rsid w:val="00C85424"/>
    <w:rsid w:val="00C85C16"/>
    <w:rsid w:val="00C85E9D"/>
    <w:rsid w:val="00C8794F"/>
    <w:rsid w:val="00C906A1"/>
    <w:rsid w:val="00C90C15"/>
    <w:rsid w:val="00C90EA7"/>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04E"/>
    <w:rsid w:val="00CA6AC8"/>
    <w:rsid w:val="00CB176B"/>
    <w:rsid w:val="00CB1833"/>
    <w:rsid w:val="00CB1E3D"/>
    <w:rsid w:val="00CB2619"/>
    <w:rsid w:val="00CB3D61"/>
    <w:rsid w:val="00CB40C5"/>
    <w:rsid w:val="00CB51B9"/>
    <w:rsid w:val="00CB5D03"/>
    <w:rsid w:val="00CB7BF3"/>
    <w:rsid w:val="00CB7D93"/>
    <w:rsid w:val="00CC10E4"/>
    <w:rsid w:val="00CC1A41"/>
    <w:rsid w:val="00CC40A1"/>
    <w:rsid w:val="00CC491D"/>
    <w:rsid w:val="00CC4BED"/>
    <w:rsid w:val="00CC557E"/>
    <w:rsid w:val="00CC7E6E"/>
    <w:rsid w:val="00CD063D"/>
    <w:rsid w:val="00CD09C2"/>
    <w:rsid w:val="00CD0B0E"/>
    <w:rsid w:val="00CD1559"/>
    <w:rsid w:val="00CD1C17"/>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E95"/>
    <w:rsid w:val="00CF6FBE"/>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148F"/>
    <w:rsid w:val="00D2200F"/>
    <w:rsid w:val="00D22525"/>
    <w:rsid w:val="00D22D61"/>
    <w:rsid w:val="00D27203"/>
    <w:rsid w:val="00D275A5"/>
    <w:rsid w:val="00D27921"/>
    <w:rsid w:val="00D27B0C"/>
    <w:rsid w:val="00D3114F"/>
    <w:rsid w:val="00D31B4A"/>
    <w:rsid w:val="00D3248A"/>
    <w:rsid w:val="00D32BA0"/>
    <w:rsid w:val="00D332E3"/>
    <w:rsid w:val="00D34419"/>
    <w:rsid w:val="00D35640"/>
    <w:rsid w:val="00D36CAF"/>
    <w:rsid w:val="00D37EC0"/>
    <w:rsid w:val="00D408C5"/>
    <w:rsid w:val="00D40E30"/>
    <w:rsid w:val="00D44282"/>
    <w:rsid w:val="00D45529"/>
    <w:rsid w:val="00D4581C"/>
    <w:rsid w:val="00D45C2F"/>
    <w:rsid w:val="00D46206"/>
    <w:rsid w:val="00D466E5"/>
    <w:rsid w:val="00D46C28"/>
    <w:rsid w:val="00D46E4B"/>
    <w:rsid w:val="00D470BE"/>
    <w:rsid w:val="00D47114"/>
    <w:rsid w:val="00D50E16"/>
    <w:rsid w:val="00D515CE"/>
    <w:rsid w:val="00D51A0F"/>
    <w:rsid w:val="00D51AC6"/>
    <w:rsid w:val="00D51E1E"/>
    <w:rsid w:val="00D521AB"/>
    <w:rsid w:val="00D54656"/>
    <w:rsid w:val="00D54749"/>
    <w:rsid w:val="00D54910"/>
    <w:rsid w:val="00D54ADB"/>
    <w:rsid w:val="00D54DD6"/>
    <w:rsid w:val="00D56844"/>
    <w:rsid w:val="00D56B15"/>
    <w:rsid w:val="00D57802"/>
    <w:rsid w:val="00D6088A"/>
    <w:rsid w:val="00D6089C"/>
    <w:rsid w:val="00D615CD"/>
    <w:rsid w:val="00D61FBF"/>
    <w:rsid w:val="00D62F4E"/>
    <w:rsid w:val="00D62FB1"/>
    <w:rsid w:val="00D651FB"/>
    <w:rsid w:val="00D658F0"/>
    <w:rsid w:val="00D661F2"/>
    <w:rsid w:val="00D662ED"/>
    <w:rsid w:val="00D663B9"/>
    <w:rsid w:val="00D66EB6"/>
    <w:rsid w:val="00D675CC"/>
    <w:rsid w:val="00D67AF1"/>
    <w:rsid w:val="00D70041"/>
    <w:rsid w:val="00D706C2"/>
    <w:rsid w:val="00D7098A"/>
    <w:rsid w:val="00D70A2D"/>
    <w:rsid w:val="00D71B37"/>
    <w:rsid w:val="00D7201B"/>
    <w:rsid w:val="00D73791"/>
    <w:rsid w:val="00D74A10"/>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DD4"/>
    <w:rsid w:val="00D87EE6"/>
    <w:rsid w:val="00D90BC6"/>
    <w:rsid w:val="00D91E40"/>
    <w:rsid w:val="00D923B5"/>
    <w:rsid w:val="00D9361D"/>
    <w:rsid w:val="00D93A3A"/>
    <w:rsid w:val="00D93D85"/>
    <w:rsid w:val="00D947B1"/>
    <w:rsid w:val="00D9743C"/>
    <w:rsid w:val="00D97490"/>
    <w:rsid w:val="00DA16B6"/>
    <w:rsid w:val="00DA1D09"/>
    <w:rsid w:val="00DA3E29"/>
    <w:rsid w:val="00DA45C1"/>
    <w:rsid w:val="00DA4C58"/>
    <w:rsid w:val="00DA51DF"/>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0836"/>
    <w:rsid w:val="00DD1F0C"/>
    <w:rsid w:val="00DD2B91"/>
    <w:rsid w:val="00DD3A72"/>
    <w:rsid w:val="00DD4137"/>
    <w:rsid w:val="00DD4FBD"/>
    <w:rsid w:val="00DD59EE"/>
    <w:rsid w:val="00DE09CB"/>
    <w:rsid w:val="00DE0D1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B01"/>
    <w:rsid w:val="00DF633C"/>
    <w:rsid w:val="00DF6971"/>
    <w:rsid w:val="00DF7C38"/>
    <w:rsid w:val="00E00000"/>
    <w:rsid w:val="00E01180"/>
    <w:rsid w:val="00E02718"/>
    <w:rsid w:val="00E02DB6"/>
    <w:rsid w:val="00E03258"/>
    <w:rsid w:val="00E04741"/>
    <w:rsid w:val="00E05074"/>
    <w:rsid w:val="00E050AE"/>
    <w:rsid w:val="00E061BD"/>
    <w:rsid w:val="00E0645F"/>
    <w:rsid w:val="00E07C6F"/>
    <w:rsid w:val="00E10132"/>
    <w:rsid w:val="00E1028E"/>
    <w:rsid w:val="00E1188B"/>
    <w:rsid w:val="00E122E8"/>
    <w:rsid w:val="00E12E8D"/>
    <w:rsid w:val="00E13080"/>
    <w:rsid w:val="00E14242"/>
    <w:rsid w:val="00E145D9"/>
    <w:rsid w:val="00E158E0"/>
    <w:rsid w:val="00E1628D"/>
    <w:rsid w:val="00E17F8F"/>
    <w:rsid w:val="00E20106"/>
    <w:rsid w:val="00E248C6"/>
    <w:rsid w:val="00E24F9F"/>
    <w:rsid w:val="00E25359"/>
    <w:rsid w:val="00E2590C"/>
    <w:rsid w:val="00E27EEA"/>
    <w:rsid w:val="00E301A9"/>
    <w:rsid w:val="00E306DA"/>
    <w:rsid w:val="00E321EB"/>
    <w:rsid w:val="00E33405"/>
    <w:rsid w:val="00E34279"/>
    <w:rsid w:val="00E36070"/>
    <w:rsid w:val="00E37E66"/>
    <w:rsid w:val="00E41A39"/>
    <w:rsid w:val="00E41F49"/>
    <w:rsid w:val="00E42B0F"/>
    <w:rsid w:val="00E437FE"/>
    <w:rsid w:val="00E44DBC"/>
    <w:rsid w:val="00E4527B"/>
    <w:rsid w:val="00E45D6E"/>
    <w:rsid w:val="00E462EF"/>
    <w:rsid w:val="00E47A0E"/>
    <w:rsid w:val="00E500A9"/>
    <w:rsid w:val="00E5283B"/>
    <w:rsid w:val="00E5374C"/>
    <w:rsid w:val="00E539FA"/>
    <w:rsid w:val="00E53A1B"/>
    <w:rsid w:val="00E54A43"/>
    <w:rsid w:val="00E55B4C"/>
    <w:rsid w:val="00E566F8"/>
    <w:rsid w:val="00E57815"/>
    <w:rsid w:val="00E57A40"/>
    <w:rsid w:val="00E618A3"/>
    <w:rsid w:val="00E62C44"/>
    <w:rsid w:val="00E63BB1"/>
    <w:rsid w:val="00E64E16"/>
    <w:rsid w:val="00E65ECF"/>
    <w:rsid w:val="00E66228"/>
    <w:rsid w:val="00E7038C"/>
    <w:rsid w:val="00E70658"/>
    <w:rsid w:val="00E75B2B"/>
    <w:rsid w:val="00E7633B"/>
    <w:rsid w:val="00E80C9D"/>
    <w:rsid w:val="00E80D8A"/>
    <w:rsid w:val="00E81E79"/>
    <w:rsid w:val="00E8369A"/>
    <w:rsid w:val="00E8376E"/>
    <w:rsid w:val="00E83B7B"/>
    <w:rsid w:val="00E94242"/>
    <w:rsid w:val="00E94452"/>
    <w:rsid w:val="00E945B6"/>
    <w:rsid w:val="00E94670"/>
    <w:rsid w:val="00E95508"/>
    <w:rsid w:val="00E96D19"/>
    <w:rsid w:val="00E979BE"/>
    <w:rsid w:val="00EA0E86"/>
    <w:rsid w:val="00EA1865"/>
    <w:rsid w:val="00EA204D"/>
    <w:rsid w:val="00EA2C5B"/>
    <w:rsid w:val="00EA36EE"/>
    <w:rsid w:val="00EA435C"/>
    <w:rsid w:val="00EA61F6"/>
    <w:rsid w:val="00EB286A"/>
    <w:rsid w:val="00EB48E4"/>
    <w:rsid w:val="00EB58BA"/>
    <w:rsid w:val="00EB5D50"/>
    <w:rsid w:val="00EB688F"/>
    <w:rsid w:val="00EB6BC6"/>
    <w:rsid w:val="00EB6E79"/>
    <w:rsid w:val="00EB70C3"/>
    <w:rsid w:val="00EB75CD"/>
    <w:rsid w:val="00EC0993"/>
    <w:rsid w:val="00EC16B3"/>
    <w:rsid w:val="00EC2BF4"/>
    <w:rsid w:val="00EC3100"/>
    <w:rsid w:val="00EC36D4"/>
    <w:rsid w:val="00EC401B"/>
    <w:rsid w:val="00EC4086"/>
    <w:rsid w:val="00EC411B"/>
    <w:rsid w:val="00EC5E13"/>
    <w:rsid w:val="00EC6B8C"/>
    <w:rsid w:val="00EC74F0"/>
    <w:rsid w:val="00EC7ADD"/>
    <w:rsid w:val="00ED0400"/>
    <w:rsid w:val="00ED0769"/>
    <w:rsid w:val="00ED0D0F"/>
    <w:rsid w:val="00ED2316"/>
    <w:rsid w:val="00ED35E2"/>
    <w:rsid w:val="00EE0C8D"/>
    <w:rsid w:val="00EE14B8"/>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2923"/>
    <w:rsid w:val="00EF2BA2"/>
    <w:rsid w:val="00EF3961"/>
    <w:rsid w:val="00EF5CD4"/>
    <w:rsid w:val="00EF71C7"/>
    <w:rsid w:val="00EF7A34"/>
    <w:rsid w:val="00EF7CD0"/>
    <w:rsid w:val="00F01ADD"/>
    <w:rsid w:val="00F0278E"/>
    <w:rsid w:val="00F02820"/>
    <w:rsid w:val="00F03474"/>
    <w:rsid w:val="00F0409E"/>
    <w:rsid w:val="00F04CEF"/>
    <w:rsid w:val="00F04FCB"/>
    <w:rsid w:val="00F06B6F"/>
    <w:rsid w:val="00F100D4"/>
    <w:rsid w:val="00F116DF"/>
    <w:rsid w:val="00F1197B"/>
    <w:rsid w:val="00F12A14"/>
    <w:rsid w:val="00F1340B"/>
    <w:rsid w:val="00F13767"/>
    <w:rsid w:val="00F15D71"/>
    <w:rsid w:val="00F16606"/>
    <w:rsid w:val="00F16910"/>
    <w:rsid w:val="00F16EF6"/>
    <w:rsid w:val="00F16FCA"/>
    <w:rsid w:val="00F2056B"/>
    <w:rsid w:val="00F2098B"/>
    <w:rsid w:val="00F2385C"/>
    <w:rsid w:val="00F23D0A"/>
    <w:rsid w:val="00F251C8"/>
    <w:rsid w:val="00F25EAF"/>
    <w:rsid w:val="00F30F93"/>
    <w:rsid w:val="00F32D60"/>
    <w:rsid w:val="00F33128"/>
    <w:rsid w:val="00F348FB"/>
    <w:rsid w:val="00F34BC0"/>
    <w:rsid w:val="00F35B47"/>
    <w:rsid w:val="00F4019E"/>
    <w:rsid w:val="00F41AA9"/>
    <w:rsid w:val="00F42F24"/>
    <w:rsid w:val="00F43091"/>
    <w:rsid w:val="00F441C3"/>
    <w:rsid w:val="00F44B33"/>
    <w:rsid w:val="00F44F8B"/>
    <w:rsid w:val="00F450CC"/>
    <w:rsid w:val="00F46DEF"/>
    <w:rsid w:val="00F472B6"/>
    <w:rsid w:val="00F50221"/>
    <w:rsid w:val="00F50276"/>
    <w:rsid w:val="00F51C75"/>
    <w:rsid w:val="00F53005"/>
    <w:rsid w:val="00F53679"/>
    <w:rsid w:val="00F53816"/>
    <w:rsid w:val="00F54163"/>
    <w:rsid w:val="00F54A01"/>
    <w:rsid w:val="00F555FE"/>
    <w:rsid w:val="00F577BA"/>
    <w:rsid w:val="00F606DA"/>
    <w:rsid w:val="00F625CE"/>
    <w:rsid w:val="00F6271F"/>
    <w:rsid w:val="00F6329B"/>
    <w:rsid w:val="00F63597"/>
    <w:rsid w:val="00F64ACC"/>
    <w:rsid w:val="00F671F2"/>
    <w:rsid w:val="00F7090C"/>
    <w:rsid w:val="00F7182E"/>
    <w:rsid w:val="00F71BEF"/>
    <w:rsid w:val="00F722E9"/>
    <w:rsid w:val="00F726E4"/>
    <w:rsid w:val="00F7292B"/>
    <w:rsid w:val="00F729DF"/>
    <w:rsid w:val="00F73146"/>
    <w:rsid w:val="00F73F01"/>
    <w:rsid w:val="00F741E3"/>
    <w:rsid w:val="00F74F48"/>
    <w:rsid w:val="00F7520E"/>
    <w:rsid w:val="00F75C65"/>
    <w:rsid w:val="00F762DE"/>
    <w:rsid w:val="00F7643F"/>
    <w:rsid w:val="00F768D3"/>
    <w:rsid w:val="00F76D93"/>
    <w:rsid w:val="00F77190"/>
    <w:rsid w:val="00F7784C"/>
    <w:rsid w:val="00F80C05"/>
    <w:rsid w:val="00F8108E"/>
    <w:rsid w:val="00F811E8"/>
    <w:rsid w:val="00F82772"/>
    <w:rsid w:val="00F8312C"/>
    <w:rsid w:val="00F84E85"/>
    <w:rsid w:val="00F85790"/>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3A9"/>
    <w:rsid w:val="00FA166A"/>
    <w:rsid w:val="00FA1C8F"/>
    <w:rsid w:val="00FA2361"/>
    <w:rsid w:val="00FA2C0C"/>
    <w:rsid w:val="00FA4701"/>
    <w:rsid w:val="00FA4DA7"/>
    <w:rsid w:val="00FA5034"/>
    <w:rsid w:val="00FA6784"/>
    <w:rsid w:val="00FA715A"/>
    <w:rsid w:val="00FB0D0E"/>
    <w:rsid w:val="00FB1899"/>
    <w:rsid w:val="00FB2C23"/>
    <w:rsid w:val="00FB3190"/>
    <w:rsid w:val="00FB5023"/>
    <w:rsid w:val="00FB6833"/>
    <w:rsid w:val="00FB7B63"/>
    <w:rsid w:val="00FB7C18"/>
    <w:rsid w:val="00FC0284"/>
    <w:rsid w:val="00FC0ECC"/>
    <w:rsid w:val="00FC14D7"/>
    <w:rsid w:val="00FC37CE"/>
    <w:rsid w:val="00FC59D4"/>
    <w:rsid w:val="00FC5CDD"/>
    <w:rsid w:val="00FC62C0"/>
    <w:rsid w:val="00FC6DE7"/>
    <w:rsid w:val="00FC73CB"/>
    <w:rsid w:val="00FC78CB"/>
    <w:rsid w:val="00FC7CED"/>
    <w:rsid w:val="00FD0E92"/>
    <w:rsid w:val="00FD1546"/>
    <w:rsid w:val="00FD1595"/>
    <w:rsid w:val="00FD286B"/>
    <w:rsid w:val="00FD34F0"/>
    <w:rsid w:val="00FE0E21"/>
    <w:rsid w:val="00FE2644"/>
    <w:rsid w:val="00FE2C1B"/>
    <w:rsid w:val="00FE3B37"/>
    <w:rsid w:val="00FE4514"/>
    <w:rsid w:val="00FE78BE"/>
    <w:rsid w:val="00FE7BB8"/>
    <w:rsid w:val="00FF0109"/>
    <w:rsid w:val="00FF0886"/>
    <w:rsid w:val="00FF159E"/>
    <w:rsid w:val="00FF2F5F"/>
    <w:rsid w:val="00FF3BFD"/>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1"/>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E0F"/>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autoRedefine/>
    <w:uiPriority w:val="99"/>
    <w:qFormat/>
    <w:rsid w:val="00AD4709"/>
    <w:pPr>
      <w:keepNext/>
      <w:numPr>
        <w:numId w:val="22"/>
      </w:numPr>
      <w:spacing w:before="240" w:after="240"/>
      <w:outlineLvl w:val="0"/>
    </w:pPr>
    <w:rPr>
      <w:rFonts w:asciiTheme="minorHAnsi" w:hAnsiTheme="minorHAnsi"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AD4709"/>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D470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AD4709"/>
    <w:rPr>
      <w:rFonts w:asciiTheme="minorHAnsi" w:hAnsiTheme="minorHAnsi"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70085A"/>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1"/>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E0F"/>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autoRedefine/>
    <w:uiPriority w:val="99"/>
    <w:qFormat/>
    <w:rsid w:val="00AD4709"/>
    <w:pPr>
      <w:keepNext/>
      <w:numPr>
        <w:numId w:val="22"/>
      </w:numPr>
      <w:spacing w:before="240" w:after="240"/>
      <w:outlineLvl w:val="0"/>
    </w:pPr>
    <w:rPr>
      <w:rFonts w:asciiTheme="minorHAnsi" w:hAnsiTheme="minorHAnsi" w:cs="Calibri"/>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AD4709"/>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D470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AD4709"/>
    <w:rPr>
      <w:rFonts w:asciiTheme="minorHAnsi" w:hAnsiTheme="minorHAnsi"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70085A"/>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57577971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577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C7041C-3C0B-47F9-9F07-5E28B976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20</TotalTime>
  <Pages>21</Pages>
  <Words>3568</Words>
  <Characters>21013</Characters>
  <Application>Microsoft Office Word</Application>
  <DocSecurity>0</DocSecurity>
  <Lines>175</Lines>
  <Paragraphs>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AW_BUC_10b - Advance payments in the event of an appeal against rejection of benefits due to occupational disease</vt:lpstr>
      <vt:lpstr>AW_BUC_10b - Advance payments in the event of an appeal against rejection of benefits due to occupational disease</vt:lpstr>
    </vt:vector>
  </TitlesOfParts>
  <Company>European Commission</Company>
  <LinksUpToDate>false</LinksUpToDate>
  <CharactersWithSpaces>24532</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AW_BUC_10b - Advance payments in the event of an appeal against rejection of benefits due to occupational disease</dc:title>
  <dc:creator>SORENSEN Arne Bo (EMPL-EXT)</dc:creator>
  <cp:lastModifiedBy>FIORA Joel Jean (EMPL-EXT)</cp:lastModifiedBy>
  <cp:revision>4</cp:revision>
  <cp:lastPrinted>2016-09-26T12:24:00Z</cp:lastPrinted>
  <dcterms:created xsi:type="dcterms:W3CDTF">2018-08-23T12:30:00Z</dcterms:created>
  <dcterms:modified xsi:type="dcterms:W3CDTF">2018-11-15T14:30:00Z</dcterms:modified>
</cp:coreProperties>
</file>