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6" w:type="dxa"/>
        <w:tblLook w:val="04A0" w:firstRow="1" w:lastRow="0" w:firstColumn="1" w:lastColumn="0" w:noHBand="0" w:noVBand="1"/>
      </w:tblPr>
      <w:tblGrid>
        <w:gridCol w:w="960"/>
        <w:gridCol w:w="9236"/>
      </w:tblGrid>
      <w:tr w:rsidR="003A12AC" w:rsidRPr="007B2F6A" w14:paraId="7F6987CF" w14:textId="77777777" w:rsidTr="00CE04C3">
        <w:trPr>
          <w:trHeight w:val="300"/>
        </w:trPr>
        <w:tc>
          <w:tcPr>
            <w:tcW w:w="960" w:type="dxa"/>
            <w:tcBorders>
              <w:top w:val="single" w:sz="8" w:space="0" w:color="000000"/>
              <w:left w:val="single" w:sz="8" w:space="0" w:color="000000"/>
              <w:bottom w:val="single" w:sz="4" w:space="0" w:color="000000"/>
              <w:right w:val="single" w:sz="4" w:space="0" w:color="000000"/>
            </w:tcBorders>
            <w:shd w:val="clear" w:color="auto" w:fill="BFBFBF" w:themeFill="background1" w:themeFillShade="BF"/>
            <w:noWrap/>
            <w:tcMar>
              <w:top w:w="15" w:type="dxa"/>
              <w:left w:w="15" w:type="dxa"/>
              <w:bottom w:w="15" w:type="dxa"/>
              <w:right w:w="15" w:type="dxa"/>
            </w:tcMar>
            <w:hideMark/>
          </w:tcPr>
          <w:p w14:paraId="380294C2" w14:textId="77777777" w:rsidR="003A12AC" w:rsidRPr="007B2F6A" w:rsidRDefault="003A12AC" w:rsidP="008D130E">
            <w:pPr>
              <w:rPr>
                <w:rFonts w:ascii="Arial Narrow" w:hAnsi="Arial Narrow"/>
                <w:sz w:val="22"/>
                <w:szCs w:val="22"/>
              </w:rPr>
            </w:pPr>
            <w:r w:rsidRPr="007B2F6A">
              <w:rPr>
                <w:rFonts w:ascii="Arial Narrow" w:hAnsi="Arial Narrow"/>
                <w:b/>
                <w:bCs/>
                <w:sz w:val="22"/>
                <w:szCs w:val="22"/>
              </w:rPr>
              <w:t>Eilės Nr.</w:t>
            </w:r>
          </w:p>
        </w:tc>
        <w:tc>
          <w:tcPr>
            <w:tcW w:w="9236" w:type="dxa"/>
            <w:tcBorders>
              <w:top w:val="single" w:sz="8" w:space="0" w:color="000000"/>
              <w:left w:val="single" w:sz="4" w:space="0" w:color="000000"/>
              <w:bottom w:val="single" w:sz="4" w:space="0" w:color="000000"/>
              <w:right w:val="single" w:sz="8" w:space="0" w:color="000000"/>
            </w:tcBorders>
            <w:shd w:val="clear" w:color="auto" w:fill="BFBFBF" w:themeFill="background1" w:themeFillShade="BF"/>
            <w:noWrap/>
            <w:tcMar>
              <w:top w:w="15" w:type="dxa"/>
              <w:left w:w="15" w:type="dxa"/>
              <w:bottom w:w="15" w:type="dxa"/>
              <w:right w:w="15" w:type="dxa"/>
            </w:tcMar>
            <w:hideMark/>
          </w:tcPr>
          <w:p w14:paraId="5611AEBE" w14:textId="77777777" w:rsidR="003A12AC" w:rsidRPr="007B2F6A" w:rsidRDefault="003A12AC" w:rsidP="00661244">
            <w:pPr>
              <w:jc w:val="center"/>
              <w:rPr>
                <w:rFonts w:ascii="Arial Narrow" w:hAnsi="Arial Narrow"/>
                <w:sz w:val="22"/>
                <w:szCs w:val="22"/>
              </w:rPr>
            </w:pPr>
            <w:r w:rsidRPr="007B2F6A">
              <w:rPr>
                <w:rFonts w:ascii="Arial Narrow" w:hAnsi="Arial Narrow"/>
                <w:b/>
                <w:bCs/>
                <w:sz w:val="22"/>
                <w:szCs w:val="22"/>
              </w:rPr>
              <w:t>TS arba priedo tikslinimas</w:t>
            </w:r>
          </w:p>
        </w:tc>
      </w:tr>
      <w:tr w:rsidR="003A12AC" w:rsidRPr="007B2F6A" w14:paraId="00E22EF6" w14:textId="77777777" w:rsidTr="00CE04C3">
        <w:trPr>
          <w:trHeight w:val="3135"/>
        </w:trPr>
        <w:tc>
          <w:tcPr>
            <w:tcW w:w="960" w:type="dxa"/>
            <w:tcBorders>
              <w:top w:val="nil"/>
              <w:left w:val="single" w:sz="8" w:space="0" w:color="000000"/>
              <w:bottom w:val="single" w:sz="4" w:space="0" w:color="000000"/>
              <w:right w:val="single" w:sz="4" w:space="0" w:color="000000"/>
            </w:tcBorders>
            <w:noWrap/>
            <w:tcMar>
              <w:top w:w="15" w:type="dxa"/>
              <w:left w:w="15" w:type="dxa"/>
              <w:bottom w:w="15" w:type="dxa"/>
              <w:right w:w="15" w:type="dxa"/>
            </w:tcMar>
            <w:vAlign w:val="center"/>
            <w:hideMark/>
          </w:tcPr>
          <w:p w14:paraId="0E8C19C5" w14:textId="77777777" w:rsidR="003A12AC" w:rsidRPr="007B2F6A" w:rsidRDefault="003A12AC" w:rsidP="008D130E">
            <w:pPr>
              <w:rPr>
                <w:rFonts w:ascii="Arial Narrow" w:hAnsi="Arial Narrow"/>
                <w:sz w:val="22"/>
                <w:szCs w:val="22"/>
              </w:rPr>
            </w:pPr>
            <w:r w:rsidRPr="007B2F6A">
              <w:rPr>
                <w:rFonts w:ascii="Arial Narrow" w:hAnsi="Arial Narrow"/>
                <w:sz w:val="22"/>
                <w:szCs w:val="22"/>
              </w:rPr>
              <w:t>1</w:t>
            </w:r>
          </w:p>
        </w:tc>
        <w:tc>
          <w:tcPr>
            <w:tcW w:w="9236" w:type="dxa"/>
            <w:tcBorders>
              <w:top w:val="nil"/>
              <w:left w:val="single" w:sz="4" w:space="0" w:color="000000"/>
              <w:bottom w:val="single" w:sz="4" w:space="0" w:color="000000"/>
              <w:right w:val="single" w:sz="8" w:space="0" w:color="000000"/>
            </w:tcBorders>
            <w:tcMar>
              <w:top w:w="15" w:type="dxa"/>
              <w:left w:w="15" w:type="dxa"/>
              <w:bottom w:w="15" w:type="dxa"/>
              <w:right w:w="15" w:type="dxa"/>
            </w:tcMar>
            <w:vAlign w:val="center"/>
            <w:hideMark/>
          </w:tcPr>
          <w:p w14:paraId="1F9ECE31" w14:textId="77777777" w:rsidR="00CE04C3" w:rsidRPr="000E6E51" w:rsidRDefault="003A12AC" w:rsidP="008D130E">
            <w:pPr>
              <w:jc w:val="both"/>
              <w:rPr>
                <w:rFonts w:ascii="Arial Narrow" w:hAnsi="Arial Narrow"/>
                <w:sz w:val="22"/>
                <w:szCs w:val="22"/>
                <w:u w:val="single"/>
              </w:rPr>
            </w:pPr>
            <w:r w:rsidRPr="000E6E51">
              <w:rPr>
                <w:rFonts w:ascii="Arial Narrow" w:hAnsi="Arial Narrow"/>
                <w:sz w:val="22"/>
                <w:szCs w:val="22"/>
                <w:u w:val="single"/>
              </w:rPr>
              <w:t>Patiksliname Techninių specifikacijų 4.4 punktą ir išdėstome nauja redakcija:</w:t>
            </w:r>
          </w:p>
          <w:p w14:paraId="2FC560ED" w14:textId="49F38E16" w:rsidR="003A12AC" w:rsidRDefault="003A12AC" w:rsidP="008D130E">
            <w:pPr>
              <w:jc w:val="both"/>
              <w:rPr>
                <w:rFonts w:ascii="Arial Narrow" w:hAnsi="Arial Narrow"/>
                <w:sz w:val="22"/>
                <w:szCs w:val="22"/>
              </w:rPr>
            </w:pPr>
            <w:r w:rsidRPr="007B2F6A">
              <w:rPr>
                <w:rFonts w:ascii="Arial Narrow" w:hAnsi="Arial Narrow"/>
                <w:sz w:val="22"/>
                <w:szCs w:val="22"/>
              </w:rPr>
              <w:t xml:space="preserve"> "4.4. galimą papildomą darbų poreikį įmirkusių gruntų pakeitimui, sustiprinimui ar pagerinimui teikiant pasiūlymą būtina įsivertinti atliekant planuojamų atnaujinti kelių ruožų atkarpas vizualiai pagal vyraujančias dangos pažaidas.</w:t>
            </w:r>
            <w:r w:rsidRPr="007B2F6A">
              <w:rPr>
                <w:rFonts w:ascii="Arial Narrow" w:hAnsi="Arial Narrow"/>
                <w:sz w:val="22"/>
                <w:szCs w:val="22"/>
              </w:rPr>
              <w:br/>
              <w:t>Jeigu tyrimų metu bus rastos durpės ar sapropelis, už šių gruntų stiprinimo ar pakeitimo darbus Užsakovas apmokės Teikėjui papildomai, tačiau Teikėjas turi pateikti įrodymus ir argumentus, kad jo pasirinktas būdas (pakeitimas ar stiprinimas) yra tinkamas sprendinys. Visi projektavimo darbai susiję su minėtais darbais turi būti įsivertinti teikiant pasiūlymą.</w:t>
            </w:r>
          </w:p>
          <w:p w14:paraId="42242D14" w14:textId="77777777" w:rsidR="003A12AC" w:rsidRPr="007B2F6A" w:rsidRDefault="003A12AC" w:rsidP="008D130E">
            <w:pPr>
              <w:jc w:val="both"/>
              <w:rPr>
                <w:rFonts w:ascii="Arial Narrow" w:hAnsi="Arial Narrow"/>
                <w:sz w:val="22"/>
                <w:szCs w:val="22"/>
              </w:rPr>
            </w:pPr>
            <w:r w:rsidRPr="007B2F6A">
              <w:rPr>
                <w:rFonts w:ascii="Arial Narrow" w:hAnsi="Arial Narrow"/>
                <w:sz w:val="22"/>
                <w:szCs w:val="22"/>
              </w:rPr>
              <w:t>Esamų dangos konstrukcijų sudėties tinkamumo įsivertinimas numatytam sprendiniui yra rangovo atsakomybė (pvz. įrengiant CTB sluoksnį, Rangovas turi įsivertinti numatomų stabilizuoti gruntų homogeniškumą išilgai remontuojamo ruožo bei atitinkamai pagal nustatytus homogeninius ruožus parinkti tinkamas sudėtines medžiagas ir jų kiekius tam, kad būtų pasiekti projektiniai sluoksnio laikomosios gebos rodikliai)."</w:t>
            </w:r>
          </w:p>
        </w:tc>
      </w:tr>
      <w:tr w:rsidR="003A12AC" w:rsidRPr="007B2F6A" w14:paraId="1779311D" w14:textId="77777777" w:rsidTr="00CE04C3">
        <w:trPr>
          <w:trHeight w:val="885"/>
        </w:trPr>
        <w:tc>
          <w:tcPr>
            <w:tcW w:w="960" w:type="dxa"/>
            <w:tcBorders>
              <w:top w:val="single" w:sz="4" w:space="0" w:color="000000"/>
              <w:left w:val="single" w:sz="8" w:space="0" w:color="000000"/>
              <w:bottom w:val="single" w:sz="4" w:space="0" w:color="000000"/>
              <w:right w:val="single" w:sz="4" w:space="0" w:color="000000"/>
            </w:tcBorders>
            <w:noWrap/>
            <w:tcMar>
              <w:top w:w="15" w:type="dxa"/>
              <w:left w:w="15" w:type="dxa"/>
              <w:bottom w:w="15" w:type="dxa"/>
              <w:right w:w="15" w:type="dxa"/>
            </w:tcMar>
            <w:vAlign w:val="center"/>
            <w:hideMark/>
          </w:tcPr>
          <w:p w14:paraId="00304CEB" w14:textId="77777777" w:rsidR="003A12AC" w:rsidRPr="007B2F6A" w:rsidRDefault="003A12AC" w:rsidP="008D130E">
            <w:pPr>
              <w:rPr>
                <w:rFonts w:ascii="Arial Narrow" w:hAnsi="Arial Narrow"/>
                <w:sz w:val="22"/>
                <w:szCs w:val="22"/>
              </w:rPr>
            </w:pPr>
            <w:r w:rsidRPr="007B2F6A">
              <w:rPr>
                <w:rFonts w:ascii="Arial Narrow" w:hAnsi="Arial Narrow"/>
                <w:sz w:val="22"/>
                <w:szCs w:val="22"/>
              </w:rPr>
              <w:t>2</w:t>
            </w:r>
          </w:p>
        </w:tc>
        <w:tc>
          <w:tcPr>
            <w:tcW w:w="9236" w:type="dxa"/>
            <w:tcBorders>
              <w:top w:val="single" w:sz="4" w:space="0" w:color="000000"/>
              <w:left w:val="single" w:sz="4" w:space="0" w:color="000000"/>
              <w:bottom w:val="single" w:sz="4" w:space="0" w:color="000000"/>
              <w:right w:val="single" w:sz="8" w:space="0" w:color="000000"/>
            </w:tcBorders>
            <w:tcMar>
              <w:top w:w="15" w:type="dxa"/>
              <w:left w:w="15" w:type="dxa"/>
              <w:bottom w:w="15" w:type="dxa"/>
              <w:right w:w="15" w:type="dxa"/>
            </w:tcMar>
            <w:vAlign w:val="center"/>
            <w:hideMark/>
          </w:tcPr>
          <w:p w14:paraId="51FD28F5" w14:textId="77777777" w:rsidR="000E6E51" w:rsidRPr="000E6E51" w:rsidRDefault="003A12AC" w:rsidP="008D130E">
            <w:pPr>
              <w:jc w:val="both"/>
              <w:rPr>
                <w:rFonts w:ascii="Arial Narrow" w:hAnsi="Arial Narrow"/>
                <w:sz w:val="22"/>
                <w:szCs w:val="22"/>
                <w:u w:val="single"/>
              </w:rPr>
            </w:pPr>
            <w:r w:rsidRPr="000E6E51">
              <w:rPr>
                <w:rFonts w:ascii="Arial Narrow" w:hAnsi="Arial Narrow"/>
                <w:sz w:val="22"/>
                <w:szCs w:val="22"/>
                <w:u w:val="single"/>
              </w:rPr>
              <w:t xml:space="preserve">Patiksliname Techninių specifikacijų 11.2 punkto reikalavimus: </w:t>
            </w:r>
          </w:p>
          <w:p w14:paraId="580373AA" w14:textId="63265E51" w:rsidR="003A12AC" w:rsidRPr="007B2F6A" w:rsidRDefault="003A12AC" w:rsidP="008D130E">
            <w:pPr>
              <w:jc w:val="both"/>
              <w:rPr>
                <w:rFonts w:ascii="Arial Narrow" w:hAnsi="Arial Narrow"/>
                <w:sz w:val="22"/>
                <w:szCs w:val="22"/>
              </w:rPr>
            </w:pPr>
            <w:r w:rsidRPr="007B2F6A">
              <w:rPr>
                <w:rFonts w:ascii="Arial Narrow" w:hAnsi="Arial Narrow"/>
                <w:sz w:val="22"/>
                <w:szCs w:val="22"/>
              </w:rPr>
              <w:t>„Nuovažų šalčiui atsparios dangos konstrukcijos storis turi būti ne mažesnis kaip pagrindiniame kelyje“. Nuovažų dangos konstrukcija parenkama pagal R36-01 reikalavimus.</w:t>
            </w:r>
          </w:p>
        </w:tc>
      </w:tr>
      <w:tr w:rsidR="003A12AC" w:rsidRPr="007B2F6A" w14:paraId="00EA06E1" w14:textId="77777777" w:rsidTr="00CE04C3">
        <w:trPr>
          <w:trHeight w:val="6510"/>
        </w:trPr>
        <w:tc>
          <w:tcPr>
            <w:tcW w:w="960" w:type="dxa"/>
            <w:tcBorders>
              <w:top w:val="single" w:sz="4" w:space="0" w:color="000000"/>
              <w:left w:val="single" w:sz="8" w:space="0" w:color="000000"/>
              <w:bottom w:val="single" w:sz="4" w:space="0" w:color="000000"/>
              <w:right w:val="single" w:sz="4" w:space="0" w:color="000000"/>
            </w:tcBorders>
            <w:noWrap/>
            <w:tcMar>
              <w:top w:w="15" w:type="dxa"/>
              <w:left w:w="15" w:type="dxa"/>
              <w:bottom w:w="15" w:type="dxa"/>
              <w:right w:w="15" w:type="dxa"/>
            </w:tcMar>
            <w:vAlign w:val="center"/>
            <w:hideMark/>
          </w:tcPr>
          <w:p w14:paraId="1F5DE647" w14:textId="77777777" w:rsidR="003A12AC" w:rsidRPr="007B2F6A" w:rsidRDefault="003A12AC" w:rsidP="008D130E">
            <w:pPr>
              <w:rPr>
                <w:rFonts w:ascii="Arial Narrow" w:hAnsi="Arial Narrow"/>
                <w:sz w:val="22"/>
                <w:szCs w:val="22"/>
              </w:rPr>
            </w:pPr>
            <w:r w:rsidRPr="007B2F6A">
              <w:rPr>
                <w:rFonts w:ascii="Arial Narrow" w:hAnsi="Arial Narrow"/>
                <w:sz w:val="22"/>
                <w:szCs w:val="22"/>
              </w:rPr>
              <w:t>3</w:t>
            </w:r>
          </w:p>
        </w:tc>
        <w:tc>
          <w:tcPr>
            <w:tcW w:w="9236" w:type="dxa"/>
            <w:tcBorders>
              <w:top w:val="single" w:sz="4" w:space="0" w:color="000000"/>
              <w:left w:val="single" w:sz="4" w:space="0" w:color="000000"/>
              <w:bottom w:val="single" w:sz="4" w:space="0" w:color="000000"/>
              <w:right w:val="single" w:sz="8" w:space="0" w:color="000000"/>
            </w:tcBorders>
            <w:tcMar>
              <w:top w:w="15" w:type="dxa"/>
              <w:left w:w="15" w:type="dxa"/>
              <w:bottom w:w="15" w:type="dxa"/>
              <w:right w:w="15" w:type="dxa"/>
            </w:tcMar>
            <w:vAlign w:val="center"/>
            <w:hideMark/>
          </w:tcPr>
          <w:p w14:paraId="7941E0F4" w14:textId="77777777" w:rsidR="000E6E51" w:rsidRPr="000E6E51" w:rsidRDefault="003A12AC" w:rsidP="008D130E">
            <w:pPr>
              <w:jc w:val="both"/>
              <w:rPr>
                <w:rFonts w:ascii="Arial Narrow" w:hAnsi="Arial Narrow"/>
                <w:sz w:val="22"/>
                <w:szCs w:val="22"/>
                <w:u w:val="single"/>
              </w:rPr>
            </w:pPr>
            <w:r w:rsidRPr="000E6E51">
              <w:rPr>
                <w:rFonts w:ascii="Arial Narrow" w:hAnsi="Arial Narrow"/>
                <w:sz w:val="22"/>
                <w:szCs w:val="22"/>
                <w:u w:val="single"/>
              </w:rPr>
              <w:t xml:space="preserve">Perkančioji organizacija pateikia Techninių specifikacijų 7.12 punkto naują redakciją: </w:t>
            </w:r>
          </w:p>
          <w:p w14:paraId="7057E2DE" w14:textId="4B714534" w:rsidR="003A12AC" w:rsidRDefault="003A12AC" w:rsidP="000E6E51">
            <w:pPr>
              <w:jc w:val="both"/>
              <w:rPr>
                <w:rFonts w:ascii="Arial Narrow" w:hAnsi="Arial Narrow"/>
                <w:sz w:val="22"/>
                <w:szCs w:val="22"/>
              </w:rPr>
            </w:pPr>
            <w:r>
              <w:rPr>
                <w:rFonts w:ascii="Arial Narrow" w:hAnsi="Arial Narrow"/>
                <w:sz w:val="22"/>
                <w:szCs w:val="22"/>
              </w:rPr>
              <w:t>„</w:t>
            </w:r>
            <w:r w:rsidRPr="007B2F6A">
              <w:rPr>
                <w:rFonts w:ascii="Arial Narrow" w:hAnsi="Arial Narrow"/>
                <w:sz w:val="22"/>
                <w:szCs w:val="22"/>
              </w:rPr>
              <w:t>7.12. Inžineriniai tinklai kelio juostoje</w:t>
            </w:r>
            <w:r w:rsidR="000E6E51">
              <w:rPr>
                <w:rFonts w:ascii="Arial Narrow" w:hAnsi="Arial Narrow"/>
                <w:sz w:val="22"/>
                <w:szCs w:val="22"/>
              </w:rPr>
              <w:t xml:space="preserve"> </w:t>
            </w:r>
            <w:r w:rsidRPr="007B2F6A">
              <w:rPr>
                <w:rFonts w:ascii="Arial Narrow" w:hAnsi="Arial Narrow"/>
                <w:sz w:val="22"/>
                <w:szCs w:val="22"/>
              </w:rPr>
              <w:t>Jei kelią kerta ar kelio juostoje yra elektros linijos, dujų tinklai ar kiti inžineriniai tinklai (ryšių, telekomunikacijų, vandentiekio, nuotekų ir kt.), kelio kapitalinio remonto sprendiniai turi būti parengti taip, kad būtų išvengta šių tinklų iškėlimo ar pertvarkymo / apsaugojimo (Pastaba: pastarasis nurodymas vengti inžinerinių tinklų iškėlimo, neatleidžia paslaugos teikėjo nuo atsakomybės, rengiant projektą priimti racionalius ir ekonomiškai pagrįstus sprendinius dėl inžinerinių tinklų iškėlimo).</w:t>
            </w:r>
          </w:p>
          <w:p w14:paraId="76A75DE0" w14:textId="77777777" w:rsidR="003A12AC" w:rsidRDefault="003A12AC" w:rsidP="000E6E51">
            <w:pPr>
              <w:rPr>
                <w:rFonts w:ascii="Arial Narrow" w:hAnsi="Arial Narrow"/>
                <w:sz w:val="22"/>
                <w:szCs w:val="22"/>
              </w:rPr>
            </w:pPr>
            <w:r w:rsidRPr="007B2F6A">
              <w:rPr>
                <w:rFonts w:ascii="Arial Narrow" w:hAnsi="Arial Narrow"/>
                <w:sz w:val="22"/>
                <w:szCs w:val="22"/>
              </w:rPr>
              <w:t>Jei be minėtų tinklų iškėlimo ar pertvarkymo ar apsaugojimo neįmanoma įgyvendinti kapitalinio remonto projekto sprendinių, turi būti parengta šių tinklų iškėlimo / perkėlimo / apsaugojimo projekto dalis. Inžinerinių tinklų iškėlimas priklauso nuo paslaugos teikėjo parinktų projektinių sprendinių. Inžinerinių tinklų sankirtas su keliu numatyti kuo statesniu kampu, siauriausiose kelio statinio vietose, apeinant sankryžas, nuovažas ir kitus kelio elementus, gylį (ne mažiau 1,5 m nuo griovio dugno) ir vietą parenkant individualiai.</w:t>
            </w:r>
            <w:r w:rsidRPr="007B2F6A">
              <w:rPr>
                <w:rFonts w:ascii="Arial Narrow" w:hAnsi="Arial Narrow"/>
                <w:sz w:val="22"/>
                <w:szCs w:val="22"/>
              </w:rPr>
              <w:br/>
              <w:t>Kapitalinio remonto projekto rengimo metu nustačius, kad yra būtinas inžinerinių tinklų iškėlimas / pertvarkymas / apsaugojimas, projekto rengėjas turi raštu informuoti AB „Via Lietuva“ apie tokių tinklų iškėlimo / pertvarkymo / apsaugojimo poreikį.</w:t>
            </w:r>
          </w:p>
          <w:p w14:paraId="0DC944B4" w14:textId="77777777" w:rsidR="003A12AC" w:rsidRDefault="003A12AC" w:rsidP="008D130E">
            <w:pPr>
              <w:jc w:val="both"/>
              <w:rPr>
                <w:rFonts w:ascii="Arial Narrow" w:hAnsi="Arial Narrow"/>
                <w:sz w:val="22"/>
                <w:szCs w:val="22"/>
              </w:rPr>
            </w:pPr>
            <w:r w:rsidRPr="007B2F6A">
              <w:rPr>
                <w:rFonts w:ascii="Arial Narrow" w:hAnsi="Arial Narrow"/>
                <w:sz w:val="22"/>
                <w:szCs w:val="22"/>
              </w:rPr>
              <w:t>Jei numatoma vykdyti inžinerinių tinklų iškėlimą /pertvarkymą / apsaugojimą, projekto rengėjas turi organizuoti iškėlimo sutarties („Inžinerinių tinklų klojimo, priežiūros, rekonstrukcijos ir iškėlimo sutartis“) ir jos priedo („Objektų, kuriuose bus klojamas / prižiūrimas / rekonstruojamas / iškeliamas tinklas, sąrašas“) pasirašymą.</w:t>
            </w:r>
            <w:r w:rsidRPr="007B2F6A">
              <w:rPr>
                <w:rFonts w:ascii="Arial Narrow" w:hAnsi="Arial Narrow"/>
                <w:sz w:val="22"/>
                <w:szCs w:val="22"/>
              </w:rPr>
              <w:br/>
              <w:t>Jei yra gautos inžinerinių tinklų savininkų sąlygos, kuriose nepagrįstai reikalaujama pagerinti esamų tinklų būklę ir / ar įrengti papildomas priemones (įrenginius), projekto rengėjas, suderinęs skundo projektą dėl išduotų prisijungimo (techninių) sąlygų su AB „Via Lietuva“, turi raštu kreiptis į Valstybinę teritorijų planavimo ir statybos inspekciją prie Aplinkos ministerijos šios institucijos nustatyta tvarka.</w:t>
            </w:r>
          </w:p>
          <w:p w14:paraId="7D5D5746" w14:textId="77777777" w:rsidR="003A12AC" w:rsidRPr="007B2F6A" w:rsidRDefault="003A12AC" w:rsidP="008D130E">
            <w:pPr>
              <w:jc w:val="both"/>
              <w:rPr>
                <w:rFonts w:ascii="Arial Narrow" w:hAnsi="Arial Narrow"/>
                <w:sz w:val="22"/>
                <w:szCs w:val="22"/>
              </w:rPr>
            </w:pPr>
            <w:r w:rsidRPr="007B2F6A">
              <w:rPr>
                <w:rFonts w:ascii="Arial Narrow" w:hAnsi="Arial Narrow"/>
                <w:sz w:val="22"/>
                <w:szCs w:val="22"/>
              </w:rPr>
              <w:t>Atkreiptinas dėmesys, kad inžinerinių tinklų iškėlimas turi būti taikomas tik išskirtiniais atvejais, išanalizavus esamų inžinerinių tinklų situaciją (jų gylius / aukščius), kai tai būtina projekto sprendiniams įgyvendinti.</w:t>
            </w:r>
            <w:r w:rsidRPr="007B2F6A">
              <w:rPr>
                <w:rFonts w:ascii="Arial Narrow" w:hAnsi="Arial Narrow"/>
                <w:sz w:val="22"/>
                <w:szCs w:val="22"/>
              </w:rPr>
              <w:br/>
              <w:t>Nesant galimybei lietaus nuotekas nuvesti projektuojamais kelio grioviais, būtina suprojektuoti nuotekų šalinimo tinklą (uždarą vandens nuvedimo sistemą). Turi būti parengta atskira lietaus nuotekų šalinimo projekto dalis. Atkreipiame dėmesį, kad būtina įsivertinti tai daliai parengti visas būtinas procedūras (esant poreikiui atlikti projekto sprendinių viešinimo procedūras, statybą leidžiančio dokumento gavimą ir pan.).</w:t>
            </w:r>
            <w:r>
              <w:rPr>
                <w:rFonts w:ascii="Arial Narrow" w:hAnsi="Arial Narrow"/>
                <w:sz w:val="22"/>
                <w:szCs w:val="22"/>
              </w:rPr>
              <w:t>“</w:t>
            </w:r>
          </w:p>
        </w:tc>
      </w:tr>
      <w:tr w:rsidR="003A12AC" w:rsidRPr="007B2F6A" w14:paraId="726AE5FD" w14:textId="77777777" w:rsidTr="00CE04C3">
        <w:trPr>
          <w:trHeight w:val="915"/>
        </w:trPr>
        <w:tc>
          <w:tcPr>
            <w:tcW w:w="960" w:type="dxa"/>
            <w:tcBorders>
              <w:top w:val="single" w:sz="4" w:space="0" w:color="000000"/>
              <w:left w:val="single" w:sz="8" w:space="0" w:color="000000"/>
              <w:bottom w:val="single" w:sz="4" w:space="0" w:color="000000"/>
              <w:right w:val="single" w:sz="4" w:space="0" w:color="000000"/>
            </w:tcBorders>
            <w:noWrap/>
            <w:tcMar>
              <w:top w:w="15" w:type="dxa"/>
              <w:left w:w="15" w:type="dxa"/>
              <w:bottom w:w="15" w:type="dxa"/>
              <w:right w:w="15" w:type="dxa"/>
            </w:tcMar>
            <w:vAlign w:val="center"/>
            <w:hideMark/>
          </w:tcPr>
          <w:p w14:paraId="2D168F53" w14:textId="77777777" w:rsidR="003A12AC" w:rsidRPr="007B2F6A" w:rsidRDefault="003A12AC" w:rsidP="008D130E">
            <w:pPr>
              <w:rPr>
                <w:rFonts w:ascii="Arial Narrow" w:hAnsi="Arial Narrow"/>
                <w:sz w:val="22"/>
                <w:szCs w:val="22"/>
              </w:rPr>
            </w:pPr>
            <w:r w:rsidRPr="007B2F6A">
              <w:rPr>
                <w:rFonts w:ascii="Arial Narrow" w:hAnsi="Arial Narrow"/>
                <w:sz w:val="22"/>
                <w:szCs w:val="22"/>
              </w:rPr>
              <w:t>4</w:t>
            </w:r>
          </w:p>
        </w:tc>
        <w:tc>
          <w:tcPr>
            <w:tcW w:w="9236" w:type="dxa"/>
            <w:tcBorders>
              <w:top w:val="single" w:sz="4" w:space="0" w:color="000000"/>
              <w:left w:val="single" w:sz="4" w:space="0" w:color="000000"/>
              <w:bottom w:val="single" w:sz="4" w:space="0" w:color="000000"/>
              <w:right w:val="single" w:sz="8" w:space="0" w:color="000000"/>
            </w:tcBorders>
            <w:tcMar>
              <w:top w:w="15" w:type="dxa"/>
              <w:left w:w="15" w:type="dxa"/>
              <w:bottom w:w="15" w:type="dxa"/>
              <w:right w:w="15" w:type="dxa"/>
            </w:tcMar>
            <w:vAlign w:val="center"/>
            <w:hideMark/>
          </w:tcPr>
          <w:p w14:paraId="58455F96" w14:textId="77777777" w:rsidR="000E6E51" w:rsidRPr="000E6E51" w:rsidRDefault="003A12AC" w:rsidP="008D130E">
            <w:pPr>
              <w:jc w:val="both"/>
              <w:rPr>
                <w:rFonts w:ascii="Arial Narrow" w:hAnsi="Arial Narrow"/>
                <w:sz w:val="22"/>
                <w:szCs w:val="22"/>
                <w:u w:val="single"/>
              </w:rPr>
            </w:pPr>
            <w:r w:rsidRPr="000E6E51">
              <w:rPr>
                <w:rFonts w:ascii="Arial Narrow" w:hAnsi="Arial Narrow"/>
                <w:sz w:val="22"/>
                <w:szCs w:val="22"/>
                <w:u w:val="single"/>
              </w:rPr>
              <w:t xml:space="preserve">Patiksliname Techninių specifikacijų 5 priedą ir išdėstome nauja redakcija  </w:t>
            </w:r>
          </w:p>
          <w:p w14:paraId="558535B9" w14:textId="5378B1AF" w:rsidR="003A12AC" w:rsidRPr="007B2F6A" w:rsidRDefault="003A12AC" w:rsidP="008D130E">
            <w:pPr>
              <w:jc w:val="both"/>
              <w:rPr>
                <w:rFonts w:ascii="Arial Narrow" w:hAnsi="Arial Narrow"/>
                <w:sz w:val="22"/>
                <w:szCs w:val="22"/>
              </w:rPr>
            </w:pPr>
            <w:r>
              <w:rPr>
                <w:rFonts w:ascii="Arial Narrow" w:hAnsi="Arial Narrow"/>
                <w:sz w:val="22"/>
                <w:szCs w:val="22"/>
              </w:rPr>
              <w:t>„</w:t>
            </w:r>
            <w:r w:rsidRPr="007B2F6A">
              <w:rPr>
                <w:rFonts w:ascii="Arial Narrow" w:hAnsi="Arial Narrow"/>
                <w:sz w:val="22"/>
                <w:szCs w:val="22"/>
              </w:rPr>
              <w:t>&lt;..&gt;Rangovas tinkamumo bandymams į laboratoriją privalo pristatyti tas pačias medžiagas (mažiausiai 50 kg vienos rūšies grunto), kurios bus naudojamos objekte atliekant darbus.&lt;..&gt;</w:t>
            </w:r>
            <w:r>
              <w:rPr>
                <w:rFonts w:ascii="Arial Narrow" w:hAnsi="Arial Narrow"/>
                <w:sz w:val="22"/>
                <w:szCs w:val="22"/>
              </w:rPr>
              <w:t>“.</w:t>
            </w:r>
          </w:p>
        </w:tc>
      </w:tr>
      <w:tr w:rsidR="003A12AC" w:rsidRPr="007B2F6A" w14:paraId="6AD8FD57" w14:textId="77777777" w:rsidTr="00CE04C3">
        <w:trPr>
          <w:trHeight w:val="826"/>
        </w:trPr>
        <w:tc>
          <w:tcPr>
            <w:tcW w:w="960" w:type="dxa"/>
            <w:tcBorders>
              <w:top w:val="single" w:sz="4" w:space="0" w:color="000000"/>
              <w:left w:val="single" w:sz="8" w:space="0" w:color="000000"/>
              <w:bottom w:val="single" w:sz="4" w:space="0" w:color="000000"/>
              <w:right w:val="single" w:sz="4" w:space="0" w:color="000000"/>
            </w:tcBorders>
            <w:noWrap/>
            <w:tcMar>
              <w:top w:w="15" w:type="dxa"/>
              <w:left w:w="15" w:type="dxa"/>
              <w:bottom w:w="15" w:type="dxa"/>
              <w:right w:w="15" w:type="dxa"/>
            </w:tcMar>
            <w:vAlign w:val="center"/>
            <w:hideMark/>
          </w:tcPr>
          <w:p w14:paraId="0A061319" w14:textId="77777777" w:rsidR="003A12AC" w:rsidRPr="007B2F6A" w:rsidRDefault="003A12AC" w:rsidP="008D130E">
            <w:pPr>
              <w:rPr>
                <w:rFonts w:ascii="Arial Narrow" w:hAnsi="Arial Narrow"/>
                <w:sz w:val="22"/>
                <w:szCs w:val="22"/>
              </w:rPr>
            </w:pPr>
            <w:r w:rsidRPr="007B2F6A">
              <w:rPr>
                <w:rFonts w:ascii="Arial Narrow" w:hAnsi="Arial Narrow"/>
                <w:sz w:val="22"/>
                <w:szCs w:val="22"/>
              </w:rPr>
              <w:t>5</w:t>
            </w:r>
          </w:p>
        </w:tc>
        <w:tc>
          <w:tcPr>
            <w:tcW w:w="9236" w:type="dxa"/>
            <w:tcBorders>
              <w:top w:val="single" w:sz="4" w:space="0" w:color="000000"/>
              <w:left w:val="single" w:sz="4" w:space="0" w:color="000000"/>
              <w:bottom w:val="nil"/>
              <w:right w:val="single" w:sz="8" w:space="0" w:color="000000"/>
            </w:tcBorders>
            <w:tcMar>
              <w:top w:w="15" w:type="dxa"/>
              <w:left w:w="15" w:type="dxa"/>
              <w:bottom w:w="15" w:type="dxa"/>
              <w:right w:w="15" w:type="dxa"/>
            </w:tcMar>
            <w:vAlign w:val="center"/>
            <w:hideMark/>
          </w:tcPr>
          <w:p w14:paraId="208AF54E" w14:textId="77777777" w:rsidR="000E6E51" w:rsidRPr="000E6E51" w:rsidRDefault="003A12AC" w:rsidP="008D130E">
            <w:pPr>
              <w:jc w:val="both"/>
              <w:rPr>
                <w:rFonts w:ascii="Arial Narrow" w:hAnsi="Arial Narrow"/>
                <w:sz w:val="22"/>
                <w:szCs w:val="22"/>
                <w:u w:val="single"/>
              </w:rPr>
            </w:pPr>
            <w:r w:rsidRPr="000E6E51">
              <w:rPr>
                <w:rFonts w:ascii="Arial Narrow" w:hAnsi="Arial Narrow"/>
                <w:sz w:val="22"/>
                <w:szCs w:val="22"/>
                <w:u w:val="single"/>
              </w:rPr>
              <w:t xml:space="preserve">Patiksliname Techninių specifikacijų 5 priedą ir išdėstome nauja redakcija: </w:t>
            </w:r>
          </w:p>
          <w:p w14:paraId="2617670C" w14:textId="7870F599" w:rsidR="003A12AC" w:rsidRPr="007B2F6A" w:rsidRDefault="003A12AC" w:rsidP="008D130E">
            <w:pPr>
              <w:jc w:val="both"/>
              <w:rPr>
                <w:rFonts w:ascii="Arial Narrow" w:hAnsi="Arial Narrow"/>
                <w:sz w:val="22"/>
                <w:szCs w:val="22"/>
              </w:rPr>
            </w:pPr>
            <w:r>
              <w:rPr>
                <w:rFonts w:ascii="Arial Narrow" w:hAnsi="Arial Narrow"/>
                <w:sz w:val="22"/>
                <w:szCs w:val="22"/>
              </w:rPr>
              <w:t>„</w:t>
            </w:r>
            <w:r w:rsidRPr="007B2F6A">
              <w:rPr>
                <w:rFonts w:ascii="Arial Narrow" w:hAnsi="Arial Narrow"/>
                <w:sz w:val="22"/>
                <w:szCs w:val="22"/>
              </w:rPr>
              <w:t>&lt;..&gt;Garantinio laikotarpio metu asfalto dangoje susidarę pavieniai skersiniai ir išilginiai plyšiai yra būdingi tokio tipo dangų konstrukcijoms, tačiau jie turi būti užtaisomi pagal rekomendacijas R PT 11&lt;..&gt;</w:t>
            </w:r>
            <w:r>
              <w:rPr>
                <w:rFonts w:ascii="Arial Narrow" w:hAnsi="Arial Narrow"/>
                <w:sz w:val="22"/>
                <w:szCs w:val="22"/>
              </w:rPr>
              <w:t>“.</w:t>
            </w:r>
          </w:p>
        </w:tc>
      </w:tr>
      <w:tr w:rsidR="003A12AC" w:rsidRPr="007B2F6A" w14:paraId="28E743BC" w14:textId="77777777" w:rsidTr="00CE04C3">
        <w:trPr>
          <w:trHeight w:val="840"/>
        </w:trPr>
        <w:tc>
          <w:tcPr>
            <w:tcW w:w="960" w:type="dxa"/>
            <w:tcBorders>
              <w:top w:val="single" w:sz="4" w:space="0" w:color="000000"/>
              <w:left w:val="single" w:sz="8" w:space="0" w:color="000000"/>
              <w:bottom w:val="single" w:sz="8" w:space="0" w:color="000000"/>
              <w:right w:val="nil"/>
            </w:tcBorders>
            <w:noWrap/>
            <w:tcMar>
              <w:top w:w="15" w:type="dxa"/>
              <w:left w:w="15" w:type="dxa"/>
              <w:bottom w:w="15" w:type="dxa"/>
              <w:right w:w="15" w:type="dxa"/>
            </w:tcMar>
            <w:vAlign w:val="center"/>
            <w:hideMark/>
          </w:tcPr>
          <w:p w14:paraId="217BE579" w14:textId="77777777" w:rsidR="003A12AC" w:rsidRPr="007B2F6A" w:rsidRDefault="003A12AC" w:rsidP="008D130E">
            <w:pPr>
              <w:rPr>
                <w:rFonts w:ascii="Arial Narrow" w:hAnsi="Arial Narrow"/>
                <w:sz w:val="22"/>
                <w:szCs w:val="22"/>
              </w:rPr>
            </w:pPr>
            <w:r w:rsidRPr="007B2F6A">
              <w:rPr>
                <w:rFonts w:ascii="Arial Narrow" w:hAnsi="Arial Narrow"/>
                <w:sz w:val="22"/>
                <w:szCs w:val="22"/>
              </w:rPr>
              <w:t>6</w:t>
            </w:r>
          </w:p>
        </w:tc>
        <w:tc>
          <w:tcPr>
            <w:tcW w:w="9236" w:type="dxa"/>
            <w:tcBorders>
              <w:top w:val="single" w:sz="4" w:space="0" w:color="000000"/>
              <w:left w:val="single" w:sz="4" w:space="0" w:color="000000"/>
              <w:bottom w:val="single" w:sz="8" w:space="0" w:color="000000"/>
              <w:right w:val="single" w:sz="8" w:space="0" w:color="000000"/>
            </w:tcBorders>
            <w:tcMar>
              <w:top w:w="15" w:type="dxa"/>
              <w:left w:w="15" w:type="dxa"/>
              <w:bottom w:w="15" w:type="dxa"/>
              <w:right w:w="15" w:type="dxa"/>
            </w:tcMar>
            <w:vAlign w:val="bottom"/>
            <w:hideMark/>
          </w:tcPr>
          <w:p w14:paraId="041F29EC" w14:textId="77777777" w:rsidR="000E6E51" w:rsidRPr="000E6E51" w:rsidRDefault="003A12AC" w:rsidP="008D130E">
            <w:pPr>
              <w:jc w:val="both"/>
              <w:rPr>
                <w:rFonts w:ascii="Arial Narrow" w:hAnsi="Arial Narrow"/>
                <w:sz w:val="22"/>
                <w:szCs w:val="22"/>
                <w:u w:val="single"/>
              </w:rPr>
            </w:pPr>
            <w:r w:rsidRPr="000E6E51">
              <w:rPr>
                <w:rFonts w:ascii="Arial Narrow" w:hAnsi="Arial Narrow"/>
                <w:sz w:val="22"/>
                <w:szCs w:val="22"/>
                <w:u w:val="single"/>
              </w:rPr>
              <w:t xml:space="preserve">Patiksliname Techninių specifikacijų 4.2 punktą: </w:t>
            </w:r>
          </w:p>
          <w:p w14:paraId="291F17F8" w14:textId="0DF17B98" w:rsidR="003A12AC" w:rsidRPr="007B2F6A" w:rsidRDefault="003A12AC" w:rsidP="008D130E">
            <w:pPr>
              <w:jc w:val="both"/>
              <w:rPr>
                <w:rFonts w:ascii="Arial Narrow" w:hAnsi="Arial Narrow"/>
                <w:sz w:val="22"/>
                <w:szCs w:val="22"/>
              </w:rPr>
            </w:pPr>
            <w:r>
              <w:rPr>
                <w:rFonts w:ascii="Arial Narrow" w:hAnsi="Arial Narrow"/>
                <w:sz w:val="22"/>
                <w:szCs w:val="22"/>
              </w:rPr>
              <w:t>„</w:t>
            </w:r>
            <w:r w:rsidRPr="007B2F6A">
              <w:rPr>
                <w:rFonts w:ascii="Arial Narrow" w:hAnsi="Arial Narrow"/>
                <w:sz w:val="22"/>
                <w:szCs w:val="22"/>
              </w:rPr>
              <w:t>4.2. gauti privačių žemės sklypų savininkų sutikimus (sutartis) laikinam žemės panaudojimui, jei remontuojamo kelio projektinių sprendinių įgyvendinimui (statybos aikštelės įrengimui, apylankai ar pan.) reikia pasinaudoti privačiomis teritorijomis (žemėmis).</w:t>
            </w:r>
            <w:r>
              <w:rPr>
                <w:rFonts w:ascii="Arial Narrow" w:hAnsi="Arial Narrow"/>
                <w:sz w:val="22"/>
                <w:szCs w:val="22"/>
              </w:rPr>
              <w:t>“</w:t>
            </w:r>
          </w:p>
        </w:tc>
      </w:tr>
    </w:tbl>
    <w:p w14:paraId="135FCA7D" w14:textId="77777777" w:rsidR="003A12AC" w:rsidRDefault="003A12AC"/>
    <w:sectPr w:rsidR="003A12AC" w:rsidSect="003A12AC">
      <w:headerReference w:type="default" r:id="rId6"/>
      <w:pgSz w:w="11906" w:h="16838"/>
      <w:pgMar w:top="1134"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4748" w14:textId="77777777" w:rsidR="00915FDD" w:rsidRDefault="00915FDD" w:rsidP="00915FDD">
      <w:r>
        <w:separator/>
      </w:r>
    </w:p>
  </w:endnote>
  <w:endnote w:type="continuationSeparator" w:id="0">
    <w:p w14:paraId="2DE8A0BF" w14:textId="77777777" w:rsidR="00915FDD" w:rsidRDefault="00915FDD" w:rsidP="0091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7434" w14:textId="77777777" w:rsidR="00915FDD" w:rsidRDefault="00915FDD" w:rsidP="00915FDD">
      <w:r>
        <w:separator/>
      </w:r>
    </w:p>
  </w:footnote>
  <w:footnote w:type="continuationSeparator" w:id="0">
    <w:p w14:paraId="6862D5EC" w14:textId="77777777" w:rsidR="00915FDD" w:rsidRDefault="00915FDD" w:rsidP="0091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8A7C" w14:textId="2F02BB58" w:rsidR="00915FDD" w:rsidRDefault="00915FDD">
    <w:pPr>
      <w:pStyle w:val="Antrats"/>
    </w:pPr>
    <w:r>
      <w:t>Techninės specifikacijos tikslinimų suvestinė_2025-05-28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formatting="0"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AC"/>
    <w:rsid w:val="000E6E51"/>
    <w:rsid w:val="003A12AC"/>
    <w:rsid w:val="00661244"/>
    <w:rsid w:val="00915FDD"/>
    <w:rsid w:val="00CE04C3"/>
    <w:rsid w:val="00EC4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16FF"/>
  <w15:chartTrackingRefBased/>
  <w15:docId w15:val="{F646BFE9-3B0C-4EEC-A487-FCE5B1CB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12A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2F5496" w:themeColor="accent1" w:themeShade="BF"/>
      <w:kern w:val="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2F5496" w:themeColor="accent1" w:themeShade="BF"/>
      <w:kern w:val="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3A12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2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12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12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12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12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12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12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12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12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12AC"/>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3A12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12AC"/>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3A12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12AC"/>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CitataDiagrama">
    <w:name w:val="Citata Diagrama"/>
    <w:basedOn w:val="Numatytasispastraiposriftas"/>
    <w:link w:val="Citata"/>
    <w:uiPriority w:val="29"/>
    <w:rsid w:val="003A12AC"/>
    <w:rPr>
      <w:i/>
      <w:iCs/>
      <w:color w:val="404040" w:themeColor="text1" w:themeTint="BF"/>
    </w:rPr>
  </w:style>
  <w:style w:type="paragraph" w:styleId="Sraopastraipa">
    <w:name w:val="List Paragraph"/>
    <w:basedOn w:val="prastasis"/>
    <w:uiPriority w:val="34"/>
    <w:qFormat/>
    <w:rsid w:val="003A12A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Rykuspabraukimas">
    <w:name w:val="Intense Emphasis"/>
    <w:basedOn w:val="Numatytasispastraiposriftas"/>
    <w:uiPriority w:val="21"/>
    <w:qFormat/>
    <w:rsid w:val="003A12AC"/>
    <w:rPr>
      <w:i/>
      <w:iCs/>
      <w:color w:val="2F5496" w:themeColor="accent1" w:themeShade="BF"/>
    </w:rPr>
  </w:style>
  <w:style w:type="paragraph" w:styleId="Iskirtacitata">
    <w:name w:val="Intense Quote"/>
    <w:basedOn w:val="prastasis"/>
    <w:next w:val="prastasis"/>
    <w:link w:val="IskirtacitataDiagrama"/>
    <w:uiPriority w:val="30"/>
    <w:qFormat/>
    <w:rsid w:val="003A12AC"/>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2F5496" w:themeColor="accent1" w:themeShade="BF"/>
      <w:kern w:val="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3A12AC"/>
    <w:rPr>
      <w:i/>
      <w:iCs/>
      <w:color w:val="2F5496" w:themeColor="accent1" w:themeShade="BF"/>
    </w:rPr>
  </w:style>
  <w:style w:type="character" w:styleId="Rykinuoroda">
    <w:name w:val="Intense Reference"/>
    <w:basedOn w:val="Numatytasispastraiposriftas"/>
    <w:uiPriority w:val="32"/>
    <w:qFormat/>
    <w:rsid w:val="003A12AC"/>
    <w:rPr>
      <w:b/>
      <w:bCs/>
      <w:smallCaps/>
      <w:color w:val="2F5496" w:themeColor="accent1" w:themeShade="BF"/>
      <w:spacing w:val="5"/>
    </w:rPr>
  </w:style>
  <w:style w:type="paragraph" w:styleId="Antrats">
    <w:name w:val="header"/>
    <w:basedOn w:val="prastasis"/>
    <w:link w:val="AntratsDiagrama"/>
    <w:uiPriority w:val="99"/>
    <w:unhideWhenUsed/>
    <w:rsid w:val="00915FDD"/>
    <w:pPr>
      <w:tabs>
        <w:tab w:val="center" w:pos="4819"/>
        <w:tab w:val="right" w:pos="9638"/>
      </w:tabs>
    </w:pPr>
  </w:style>
  <w:style w:type="character" w:customStyle="1" w:styleId="AntratsDiagrama">
    <w:name w:val="Antraštės Diagrama"/>
    <w:basedOn w:val="Numatytasispastraiposriftas"/>
    <w:link w:val="Antrats"/>
    <w:uiPriority w:val="99"/>
    <w:rsid w:val="00915FDD"/>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915FDD"/>
    <w:pPr>
      <w:tabs>
        <w:tab w:val="center" w:pos="4819"/>
        <w:tab w:val="right" w:pos="9638"/>
      </w:tabs>
    </w:pPr>
  </w:style>
  <w:style w:type="character" w:customStyle="1" w:styleId="PoratDiagrama">
    <w:name w:val="Poraštė Diagrama"/>
    <w:basedOn w:val="Numatytasispastraiposriftas"/>
    <w:link w:val="Porat"/>
    <w:uiPriority w:val="99"/>
    <w:rsid w:val="00915FDD"/>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3222</Words>
  <Characters>1838</Characters>
  <Application>Microsoft Office Word</Application>
  <DocSecurity>0</DocSecurity>
  <Lines>15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Aiškutė Tranienė</dc:creator>
  <cp:keywords/>
  <dc:description/>
  <cp:lastModifiedBy>Aiškutė Tranienė</cp:lastModifiedBy>
  <cp:revision>5</cp:revision>
  <dcterms:created xsi:type="dcterms:W3CDTF">2025-05-28T10:31:00Z</dcterms:created>
  <dcterms:modified xsi:type="dcterms:W3CDTF">2025-05-28T10:39:00Z</dcterms:modified>
</cp:coreProperties>
</file>