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8"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48356C09" w:rsidR="00B83FD5" w:rsidRPr="00622946" w:rsidRDefault="00B83FD5" w:rsidP="00622946">
          <w:pPr>
            <w:spacing w:after="0" w:line="240" w:lineRule="auto"/>
            <w:ind w:left="5245"/>
            <w:contextualSpacing/>
            <w:rPr>
              <w:rFonts w:ascii="Times New Roman" w:hAnsi="Times New Roman" w:cs="Times New Roman"/>
              <w:sz w:val="24"/>
              <w:szCs w:val="24"/>
            </w:rPr>
          </w:pPr>
          <w:r w:rsidRPr="007434EA">
            <w:rPr>
              <w:rFonts w:ascii="Times New Roman" w:hAnsi="Times New Roman" w:cs="Times New Roman"/>
              <w:sz w:val="24"/>
              <w:szCs w:val="24"/>
            </w:rPr>
            <w:t xml:space="preserve">Viešojo pirkimo komisijos </w:t>
          </w:r>
          <w:r w:rsidRPr="00B4469D">
            <w:rPr>
              <w:rFonts w:ascii="Times New Roman" w:hAnsi="Times New Roman" w:cs="Times New Roman"/>
              <w:sz w:val="24"/>
              <w:szCs w:val="24"/>
            </w:rPr>
            <w:t>202</w:t>
          </w:r>
          <w:r w:rsidR="007434EA" w:rsidRPr="00B4469D">
            <w:rPr>
              <w:rFonts w:ascii="Times New Roman" w:hAnsi="Times New Roman" w:cs="Times New Roman"/>
              <w:sz w:val="24"/>
              <w:szCs w:val="24"/>
            </w:rPr>
            <w:t>5</w:t>
          </w:r>
          <w:r w:rsidRPr="00B4469D">
            <w:rPr>
              <w:rFonts w:ascii="Times New Roman" w:hAnsi="Times New Roman" w:cs="Times New Roman"/>
              <w:sz w:val="24"/>
              <w:szCs w:val="24"/>
            </w:rPr>
            <w:t xml:space="preserve"> m.</w:t>
          </w:r>
          <w:r w:rsidR="00A275C4" w:rsidRPr="00B4469D">
            <w:rPr>
              <w:rFonts w:ascii="Times New Roman" w:hAnsi="Times New Roman" w:cs="Times New Roman"/>
              <w:sz w:val="24"/>
              <w:szCs w:val="24"/>
            </w:rPr>
            <w:t xml:space="preserve"> </w:t>
          </w:r>
          <w:r w:rsidR="00B76E45" w:rsidRPr="00B4469D">
            <w:rPr>
              <w:rFonts w:ascii="Times New Roman" w:hAnsi="Times New Roman" w:cs="Times New Roman"/>
              <w:sz w:val="24"/>
              <w:szCs w:val="24"/>
            </w:rPr>
            <w:t xml:space="preserve">balandžio </w:t>
          </w:r>
          <w:r w:rsidR="00B4469D" w:rsidRPr="00B4469D">
            <w:rPr>
              <w:rFonts w:ascii="Times New Roman" w:hAnsi="Times New Roman" w:cs="Times New Roman"/>
              <w:sz w:val="24"/>
              <w:szCs w:val="24"/>
            </w:rPr>
            <w:t xml:space="preserve">16 </w:t>
          </w:r>
          <w:r w:rsidRPr="00B4469D">
            <w:rPr>
              <w:rFonts w:ascii="Times New Roman" w:hAnsi="Times New Roman" w:cs="Times New Roman"/>
              <w:sz w:val="24"/>
              <w:szCs w:val="24"/>
            </w:rPr>
            <w:t>d. posėdžio protokolu Nr. </w:t>
          </w:r>
          <w:r w:rsidR="00A275C4" w:rsidRPr="00B4469D">
            <w:rPr>
              <w:rFonts w:ascii="Times New Roman" w:hAnsi="Times New Roman" w:cs="Times New Roman"/>
              <w:sz w:val="24"/>
              <w:szCs w:val="24"/>
            </w:rPr>
            <w:t>1</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622946" w:rsidRDefault="00912484"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TARPTAUTINIO</w:t>
          </w:r>
          <w:r w:rsidR="00B83FD5" w:rsidRPr="00622946">
            <w:rPr>
              <w:rFonts w:ascii="Times New Roman" w:hAnsi="Times New Roman" w:cs="Times New Roman"/>
              <w:b/>
              <w:bCs/>
              <w:sz w:val="24"/>
              <w:szCs w:val="24"/>
            </w:rPr>
            <w:t xml:space="preserve"> VIEŠOJO PIRKIMO</w:t>
          </w:r>
        </w:p>
        <w:p w14:paraId="36BD2067" w14:textId="4F59FD8E" w:rsidR="00B83FD5" w:rsidRPr="00755D5B" w:rsidRDefault="00622946" w:rsidP="00755D5B">
          <w:pPr>
            <w:spacing w:after="0" w:line="240" w:lineRule="auto"/>
            <w:jc w:val="center"/>
            <w:rPr>
              <w:rFonts w:ascii="Times New Roman" w:hAnsi="Times New Roman"/>
              <w:b/>
              <w:bCs/>
              <w:caps/>
              <w:sz w:val="24"/>
              <w:szCs w:val="24"/>
            </w:rPr>
          </w:pPr>
          <w:r w:rsidRPr="00755D5B">
            <w:rPr>
              <w:rFonts w:ascii="Times New Roman" w:hAnsi="Times New Roman" w:cs="Times New Roman"/>
              <w:b/>
              <w:bCs/>
              <w:sz w:val="24"/>
              <w:szCs w:val="24"/>
            </w:rPr>
            <w:t>„</w:t>
          </w:r>
          <w:r w:rsidR="00755D5B" w:rsidRPr="00755D5B">
            <w:rPr>
              <w:rFonts w:ascii="Times New Roman" w:hAnsi="Times New Roman"/>
              <w:b/>
              <w:bCs/>
              <w:caps/>
              <w:sz w:val="24"/>
              <w:szCs w:val="24"/>
            </w:rPr>
            <w:t>3D spausdintuvas</w:t>
          </w:r>
          <w:r w:rsidR="00D536EB">
            <w:rPr>
              <w:rFonts w:ascii="Times New Roman" w:hAnsi="Times New Roman"/>
              <w:b/>
              <w:bCs/>
              <w:caps/>
              <w:sz w:val="24"/>
              <w:szCs w:val="24"/>
            </w:rPr>
            <w:t xml:space="preserve"> PROTOTIPŲ GAMYBAI</w:t>
          </w:r>
          <w:r w:rsidRPr="00755D5B">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F914A1"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F914A1"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F914A1"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F914A1"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F914A1"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F914A1"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F914A1"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F914A1"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F914A1"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F914A1"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0" w:name="_Toc164068655"/>
      <w:bookmarkStart w:id="1" w:name="_Toc335201954"/>
      <w:bookmarkStart w:id="2" w:name="_Toc147739116"/>
      <w:r w:rsidRPr="00622946">
        <w:rPr>
          <w:rFonts w:ascii="Times New Roman" w:hAnsi="Times New Roman" w:cs="Times New Roman"/>
          <w:b/>
          <w:sz w:val="24"/>
          <w:szCs w:val="24"/>
        </w:rPr>
        <w:t>Bendra informacija</w:t>
      </w:r>
      <w:bookmarkEnd w:id="0"/>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66CC43E5" w14:textId="24A5FCF1"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Pirkimas </w:t>
      </w:r>
      <w:r w:rsidR="00790EAE" w:rsidRPr="00622946">
        <w:rPr>
          <w:rFonts w:ascii="Times New Roman" w:hAnsi="Times New Roman" w:cs="Times New Roman"/>
          <w:sz w:val="24"/>
          <w:szCs w:val="24"/>
        </w:rPr>
        <w:t>neatliekamas naudojantis centralizuotų pirkimų katalogu</w:t>
      </w:r>
      <w:r w:rsidR="001C1BE8" w:rsidRPr="00622946">
        <w:rPr>
          <w:rFonts w:ascii="Times New Roman" w:hAnsi="Times New Roman" w:cs="Times New Roman"/>
          <w:sz w:val="24"/>
          <w:szCs w:val="24"/>
        </w:rPr>
        <w:t xml:space="preserve"> CPO)</w:t>
      </w:r>
      <w:r w:rsidR="00790EAE" w:rsidRPr="00622946">
        <w:rPr>
          <w:rFonts w:ascii="Times New Roman" w:hAnsi="Times New Roman" w:cs="Times New Roman"/>
          <w:sz w:val="24"/>
          <w:szCs w:val="24"/>
        </w:rPr>
        <w:t xml:space="preserve">, </w:t>
      </w:r>
      <w:r w:rsidR="006F446A" w:rsidRPr="00622946">
        <w:rPr>
          <w:rFonts w:ascii="Times New Roman" w:hAnsi="Times New Roman" w:cs="Times New Roman"/>
          <w:color w:val="000000" w:themeColor="text1"/>
          <w:sz w:val="24"/>
          <w:szCs w:val="24"/>
        </w:rPr>
        <w:t xml:space="preserve">nes centralizuotų pirkimų kataloge </w:t>
      </w:r>
      <w:r w:rsidR="001C1BE8" w:rsidRPr="00622946">
        <w:rPr>
          <w:rFonts w:ascii="Times New Roman" w:hAnsi="Times New Roman" w:cs="Times New Roman"/>
          <w:color w:val="000000" w:themeColor="text1"/>
          <w:sz w:val="24"/>
          <w:szCs w:val="24"/>
        </w:rPr>
        <w:t>prekės</w:t>
      </w:r>
      <w:r w:rsidR="006F446A" w:rsidRPr="00622946">
        <w:rPr>
          <w:rFonts w:ascii="Times New Roman" w:hAnsi="Times New Roman" w:cs="Times New Roman"/>
          <w:color w:val="000000" w:themeColor="text1"/>
          <w:sz w:val="24"/>
          <w:szCs w:val="24"/>
        </w:rPr>
        <w:t>, atitinkanči</w:t>
      </w:r>
      <w:r w:rsidR="001C1BE8" w:rsidRPr="00622946">
        <w:rPr>
          <w:rFonts w:ascii="Times New Roman" w:hAnsi="Times New Roman" w:cs="Times New Roman"/>
          <w:color w:val="000000" w:themeColor="text1"/>
          <w:sz w:val="24"/>
          <w:szCs w:val="24"/>
        </w:rPr>
        <w:t>os</w:t>
      </w:r>
      <w:r w:rsidR="006F446A" w:rsidRPr="00622946">
        <w:rPr>
          <w:rFonts w:ascii="Times New Roman" w:hAnsi="Times New Roman" w:cs="Times New Roman"/>
          <w:color w:val="000000" w:themeColor="text1"/>
          <w:sz w:val="24"/>
          <w:szCs w:val="24"/>
        </w:rPr>
        <w:t xml:space="preserve"> perkančiosios organizacijos poreikius, įsigyti nėra galimybės</w:t>
      </w:r>
      <w:r w:rsidR="006E704E" w:rsidRPr="00622946">
        <w:rPr>
          <w:rFonts w:ascii="Times New Roman" w:hAnsi="Times New Roman" w:cs="Times New Roman"/>
          <w:color w:val="000000" w:themeColor="text1"/>
          <w:sz w:val="24"/>
          <w:szCs w:val="24"/>
        </w:rPr>
        <w:t xml:space="preserve"> (tokios prekės nesiūlomos)</w:t>
      </w:r>
      <w:r w:rsidR="006F446A" w:rsidRPr="00622946">
        <w:rPr>
          <w:rFonts w:ascii="Times New Roman" w:hAnsi="Times New Roman" w:cs="Times New Roman"/>
          <w:color w:val="000000" w:themeColor="text1"/>
          <w:sz w:val="24"/>
          <w:szCs w:val="24"/>
        </w:rPr>
        <w:t>.</w:t>
      </w:r>
      <w:r w:rsidR="006F446A" w:rsidRPr="00622946">
        <w:rPr>
          <w:rFonts w:ascii="Times New Roman" w:hAnsi="Times New Roman" w:cs="Times New Roman"/>
          <w:sz w:val="24"/>
          <w:szCs w:val="24"/>
        </w:rPr>
        <w:t xml:space="preserve"> </w:t>
      </w:r>
    </w:p>
    <w:p w14:paraId="45558D0B"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Times New Roman" w:hAnsi="Times New Roman" w:cs="Times New Roman"/>
          <w:sz w:val="24"/>
          <w:szCs w:val="24"/>
        </w:rPr>
        <w:t>Perkančioji organizacija nerezervuoja teisės dalyvauti pirkime.</w:t>
      </w:r>
    </w:p>
    <w:p w14:paraId="7E10CB90"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D06941D" w14:textId="27FB9F68" w:rsidR="00D36C79" w:rsidRPr="00622946" w:rsidRDefault="00D36C79"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Atliekamas žaliasis pirkimas. Pirkimas vykdomas vadovaujantis </w:t>
      </w:r>
      <w:hyperlink r:id="rId9" w:history="1">
        <w:r w:rsidRPr="00622946">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22946">
        <w:rPr>
          <w:rFonts w:ascii="Times New Roman" w:hAnsi="Times New Roman" w:cs="Times New Roman"/>
          <w:sz w:val="24"/>
          <w:szCs w:val="24"/>
        </w:rPr>
        <w:t xml:space="preserve">“ </w:t>
      </w:r>
      <w:r w:rsidRPr="00622946">
        <w:rPr>
          <w:rFonts w:ascii="Times New Roman" w:eastAsiaTheme="majorEastAsia" w:hAnsi="Times New Roman" w:cs="Times New Roman"/>
          <w:bCs/>
          <w:sz w:val="24"/>
          <w:szCs w:val="24"/>
        </w:rPr>
        <w:t>(toliau – Tvarkos aprašas)</w:t>
      </w:r>
      <w:r w:rsidR="009B76CD" w:rsidRPr="00622946">
        <w:rPr>
          <w:rFonts w:ascii="Times New Roman" w:eastAsiaTheme="majorEastAsia" w:hAnsi="Times New Roman" w:cs="Times New Roman"/>
          <w:bCs/>
          <w:sz w:val="24"/>
          <w:szCs w:val="24"/>
        </w:rPr>
        <w:t xml:space="preserve"> </w:t>
      </w:r>
      <w:r w:rsidR="00866452">
        <w:rPr>
          <w:rFonts w:ascii="Times New Roman" w:eastAsiaTheme="majorEastAsia" w:hAnsi="Times New Roman" w:cs="Times New Roman"/>
          <w:bCs/>
          <w:sz w:val="24"/>
          <w:szCs w:val="24"/>
        </w:rPr>
        <w:t>nuostatomis</w:t>
      </w:r>
      <w:r w:rsidR="00FA16A5" w:rsidRPr="00622946">
        <w:rPr>
          <w:rFonts w:ascii="Times New Roman" w:hAnsi="Times New Roman" w:cs="Times New Roman"/>
          <w:sz w:val="24"/>
          <w:szCs w:val="24"/>
        </w:rPr>
        <w:t>.</w:t>
      </w:r>
      <w:r w:rsidR="00FA16A5" w:rsidRPr="00622946">
        <w:rPr>
          <w:rFonts w:ascii="Times New Roman" w:eastAsia="Calibri Light" w:hAnsi="Times New Roman" w:cs="Times New Roman"/>
          <w:bCs/>
          <w:sz w:val="24"/>
          <w:szCs w:val="24"/>
          <w:lang w:eastAsia="lt-LT"/>
        </w:rPr>
        <w:t xml:space="preserve"> </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3F5ED660" w:rsidR="008750F0" w:rsidRPr="003F6C3D" w:rsidRDefault="008750F0"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F6C3D">
        <w:rPr>
          <w:rFonts w:ascii="Times New Roman" w:eastAsia="Arial" w:hAnsi="Times New Roman" w:cs="Times New Roman"/>
          <w:color w:val="000000" w:themeColor="text1"/>
          <w:sz w:val="24"/>
          <w:szCs w:val="24"/>
        </w:rPr>
        <w:t xml:space="preserve">Prieš paskelbiant pirkimą </w:t>
      </w:r>
      <w:r w:rsidR="00D536EB">
        <w:rPr>
          <w:rFonts w:ascii="Times New Roman" w:eastAsia="Arial" w:hAnsi="Times New Roman" w:cs="Times New Roman"/>
          <w:color w:val="000000" w:themeColor="text1"/>
          <w:sz w:val="24"/>
          <w:szCs w:val="24"/>
        </w:rPr>
        <w:t xml:space="preserve">buvo </w:t>
      </w:r>
      <w:r w:rsidR="002E76FF">
        <w:rPr>
          <w:rFonts w:ascii="Times New Roman" w:eastAsia="Arial" w:hAnsi="Times New Roman" w:cs="Times New Roman"/>
          <w:color w:val="000000" w:themeColor="text1"/>
          <w:sz w:val="24"/>
          <w:szCs w:val="24"/>
        </w:rPr>
        <w:t xml:space="preserve">CVP IS priemonėmis buvo </w:t>
      </w:r>
      <w:r w:rsidRPr="003F6C3D">
        <w:rPr>
          <w:rFonts w:ascii="Times New Roman" w:eastAsia="Arial" w:hAnsi="Times New Roman" w:cs="Times New Roman"/>
          <w:color w:val="000000" w:themeColor="text1"/>
          <w:sz w:val="24"/>
          <w:szCs w:val="24"/>
        </w:rPr>
        <w:t xml:space="preserve">vykdyta </w:t>
      </w:r>
      <w:r w:rsidR="002E76FF">
        <w:rPr>
          <w:rFonts w:ascii="Times New Roman" w:eastAsia="Arial" w:hAnsi="Times New Roman" w:cs="Times New Roman"/>
          <w:color w:val="000000" w:themeColor="text1"/>
          <w:sz w:val="24"/>
          <w:szCs w:val="24"/>
        </w:rPr>
        <w:t>r</w:t>
      </w:r>
      <w:r w:rsidRPr="003F6C3D">
        <w:rPr>
          <w:rFonts w:ascii="Times New Roman" w:eastAsia="Arial" w:hAnsi="Times New Roman" w:cs="Times New Roman"/>
          <w:color w:val="000000" w:themeColor="text1"/>
          <w:sz w:val="24"/>
          <w:szCs w:val="24"/>
        </w:rPr>
        <w:t xml:space="preserve">inkos konsultacija: </w:t>
      </w:r>
      <w:r w:rsidR="003F6C3D" w:rsidRPr="003F6C3D">
        <w:rPr>
          <w:rFonts w:ascii="Times New Roman" w:hAnsi="Times New Roman" w:cs="Times New Roman"/>
          <w:sz w:val="24"/>
          <w:szCs w:val="24"/>
        </w:rPr>
        <w:t>pirkimo ID </w:t>
      </w:r>
      <w:r w:rsidR="00755D5B">
        <w:rPr>
          <w:rFonts w:ascii="Times New Roman" w:hAnsi="Times New Roman" w:cs="Times New Roman"/>
          <w:sz w:val="24"/>
          <w:szCs w:val="24"/>
        </w:rPr>
        <w:t>1915304</w:t>
      </w:r>
      <w:r w:rsidR="003F6C3D" w:rsidRPr="003F6C3D">
        <w:rPr>
          <w:rFonts w:ascii="Times New Roman" w:hAnsi="Times New Roman" w:cs="Times New Roman"/>
          <w:sz w:val="24"/>
          <w:szCs w:val="24"/>
        </w:rPr>
        <w:t>, paskelbimo data: 2025-0</w:t>
      </w:r>
      <w:r w:rsidR="00755D5B">
        <w:rPr>
          <w:rFonts w:ascii="Times New Roman" w:hAnsi="Times New Roman" w:cs="Times New Roman"/>
          <w:sz w:val="24"/>
          <w:szCs w:val="24"/>
        </w:rPr>
        <w:t>3</w:t>
      </w:r>
      <w:r w:rsidR="003F6C3D" w:rsidRPr="003F6C3D">
        <w:rPr>
          <w:rFonts w:ascii="Times New Roman" w:hAnsi="Times New Roman" w:cs="Times New Roman"/>
          <w:sz w:val="24"/>
          <w:szCs w:val="24"/>
        </w:rPr>
        <w:t>-</w:t>
      </w:r>
      <w:r w:rsidR="00755D5B">
        <w:rPr>
          <w:rFonts w:ascii="Times New Roman" w:hAnsi="Times New Roman" w:cs="Times New Roman"/>
          <w:sz w:val="24"/>
          <w:szCs w:val="24"/>
        </w:rPr>
        <w:t>2</w:t>
      </w:r>
      <w:r w:rsidR="003F6C3D" w:rsidRPr="003F6C3D">
        <w:rPr>
          <w:rFonts w:ascii="Times New Roman" w:hAnsi="Times New Roman" w:cs="Times New Roman"/>
          <w:sz w:val="24"/>
          <w:szCs w:val="24"/>
        </w:rPr>
        <w:t xml:space="preserve">8; nuoroda: </w:t>
      </w:r>
      <w:r w:rsidR="00755D5B" w:rsidRPr="00755D5B">
        <w:rPr>
          <w:rFonts w:ascii="Times New Roman" w:hAnsi="Times New Roman" w:cs="Times New Roman"/>
          <w:sz w:val="24"/>
          <w:szCs w:val="24"/>
        </w:rPr>
        <w:t>https://viesiejipirkimai.lt/epps/pmc/viewPmc.do?resourceId=1915304</w:t>
      </w:r>
      <w:r w:rsidR="003F6C3D" w:rsidRPr="003F6C3D">
        <w:rPr>
          <w:rFonts w:ascii="Times New Roman" w:hAnsi="Times New Roman" w:cs="Times New Roman"/>
          <w:sz w:val="24"/>
          <w:szCs w:val="24"/>
        </w:rPr>
        <w:t>.</w:t>
      </w:r>
    </w:p>
    <w:p w14:paraId="05EB518D" w14:textId="08805607"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3" w:name="_Ref39426332"/>
      <w:bookmarkStart w:id="4" w:name="_Ref39426338"/>
      <w:bookmarkStart w:id="5" w:name="_Toc164068656"/>
      <w:bookmarkEnd w:id="1"/>
      <w:r w:rsidRPr="00622946">
        <w:rPr>
          <w:rFonts w:ascii="Times New Roman" w:hAnsi="Times New Roman" w:cs="Times New Roman"/>
          <w:b/>
          <w:color w:val="auto"/>
          <w:sz w:val="24"/>
          <w:szCs w:val="24"/>
        </w:rPr>
        <w:lastRenderedPageBreak/>
        <w:t>Pirkimo objektas</w:t>
      </w:r>
      <w:bookmarkEnd w:id="3"/>
      <w:bookmarkEnd w:id="4"/>
      <w:bookmarkEnd w:id="5"/>
    </w:p>
    <w:p w14:paraId="7DCCB133" w14:textId="1856D638" w:rsidR="00B83FD5" w:rsidRPr="00622946"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622946">
        <w:rPr>
          <w:rFonts w:ascii="Times New Roman" w:eastAsia="Calibri" w:hAnsi="Times New Roman" w:cs="Times New Roman"/>
          <w:sz w:val="24"/>
          <w:szCs w:val="24"/>
        </w:rPr>
        <w:t>Perkančioji organizacija numato įsigyti</w:t>
      </w:r>
      <w:r w:rsidR="00755D5B">
        <w:rPr>
          <w:rFonts w:ascii="Times New Roman" w:eastAsia="Calibri" w:hAnsi="Times New Roman" w:cs="Times New Roman"/>
          <w:sz w:val="24"/>
          <w:szCs w:val="24"/>
        </w:rPr>
        <w:t xml:space="preserve"> 3D spausdintuvą </w:t>
      </w:r>
      <w:r w:rsidR="002E76FF">
        <w:rPr>
          <w:rFonts w:ascii="Times New Roman" w:eastAsia="Calibri" w:hAnsi="Times New Roman" w:cs="Times New Roman"/>
          <w:sz w:val="24"/>
          <w:szCs w:val="24"/>
        </w:rPr>
        <w:t xml:space="preserve">prototipų gamybai </w:t>
      </w:r>
      <w:r w:rsidR="00755D5B">
        <w:rPr>
          <w:rFonts w:ascii="Times New Roman" w:eastAsia="Calibri" w:hAnsi="Times New Roman" w:cs="Times New Roman"/>
          <w:sz w:val="24"/>
          <w:szCs w:val="24"/>
        </w:rPr>
        <w:t xml:space="preserve">(1 </w:t>
      </w:r>
      <w:proofErr w:type="spellStart"/>
      <w:r w:rsidR="002E76FF">
        <w:rPr>
          <w:rFonts w:ascii="Times New Roman" w:eastAsia="Calibri" w:hAnsi="Times New Roman" w:cs="Times New Roman"/>
          <w:sz w:val="24"/>
          <w:szCs w:val="24"/>
        </w:rPr>
        <w:t>kompl</w:t>
      </w:r>
      <w:proofErr w:type="spellEnd"/>
      <w:r w:rsidR="00755D5B">
        <w:rPr>
          <w:rFonts w:ascii="Times New Roman" w:eastAsia="Calibri" w:hAnsi="Times New Roman" w:cs="Times New Roman"/>
          <w:sz w:val="24"/>
          <w:szCs w:val="24"/>
        </w:rPr>
        <w:t>.)</w:t>
      </w:r>
      <w:bookmarkStart w:id="6" w:name="_Hlk164065014"/>
      <w:r w:rsidR="00755D5B">
        <w:rPr>
          <w:rFonts w:ascii="Times New Roman" w:eastAsia="Calibri" w:hAnsi="Times New Roman" w:cs="Times New Roman"/>
          <w:sz w:val="24"/>
          <w:szCs w:val="24"/>
        </w:rPr>
        <w:t xml:space="preserve"> </w:t>
      </w:r>
      <w:r w:rsidR="00C61B4A" w:rsidRPr="00622946">
        <w:rPr>
          <w:rFonts w:ascii="Times New Roman" w:eastAsia="Calibri" w:hAnsi="Times New Roman" w:cs="Times New Roman"/>
          <w:sz w:val="24"/>
          <w:szCs w:val="24"/>
        </w:rPr>
        <w:t>(toliau – Įranga, Prekė)</w:t>
      </w:r>
      <w:bookmarkEnd w:id="6"/>
      <w:r w:rsidR="00C61B4A" w:rsidRPr="00622946">
        <w:rPr>
          <w:rFonts w:ascii="Times New Roman" w:eastAsia="Calibri" w:hAnsi="Times New Roman" w:cs="Times New Roman"/>
          <w:sz w:val="24"/>
          <w:szCs w:val="24"/>
        </w:rPr>
        <w:t xml:space="preserve">. </w:t>
      </w:r>
      <w:r w:rsidR="00E1702B" w:rsidRPr="00622946">
        <w:rPr>
          <w:rFonts w:ascii="Times New Roman" w:hAnsi="Times New Roman" w:cs="Times New Roman"/>
          <w:sz w:val="24"/>
          <w:szCs w:val="24"/>
        </w:rPr>
        <w:t>Pirkimo objekt</w:t>
      </w:r>
      <w:r w:rsidR="00BE2AAB" w:rsidRPr="00622946">
        <w:rPr>
          <w:rFonts w:ascii="Times New Roman" w:hAnsi="Times New Roman" w:cs="Times New Roman"/>
          <w:sz w:val="24"/>
          <w:szCs w:val="24"/>
        </w:rPr>
        <w:t>o aprašymas ir</w:t>
      </w:r>
      <w:r w:rsidR="00E1702B" w:rsidRPr="00622946">
        <w:rPr>
          <w:rFonts w:ascii="Times New Roman" w:hAnsi="Times New Roman" w:cs="Times New Roman"/>
          <w:sz w:val="24"/>
          <w:szCs w:val="24"/>
        </w:rPr>
        <w:t xml:space="preserve"> </w:t>
      </w:r>
      <w:r w:rsidR="00BE2AAB" w:rsidRPr="00622946">
        <w:rPr>
          <w:rFonts w:ascii="Times New Roman" w:hAnsi="Times New Roman" w:cs="Times New Roman"/>
          <w:sz w:val="24"/>
          <w:szCs w:val="24"/>
        </w:rPr>
        <w:t>r</w:t>
      </w:r>
      <w:r w:rsidRPr="00622946">
        <w:rPr>
          <w:rFonts w:ascii="Times New Roman" w:hAnsi="Times New Roman" w:cs="Times New Roman"/>
          <w:sz w:val="24"/>
          <w:szCs w:val="24"/>
        </w:rPr>
        <w:t xml:space="preserve">eikalavimai </w:t>
      </w:r>
      <w:r w:rsidR="00755D5B">
        <w:rPr>
          <w:rFonts w:ascii="Times New Roman" w:hAnsi="Times New Roman" w:cs="Times New Roman"/>
          <w:sz w:val="24"/>
          <w:szCs w:val="24"/>
        </w:rPr>
        <w:t xml:space="preserve">Prekei </w:t>
      </w:r>
      <w:r w:rsidRPr="00622946">
        <w:rPr>
          <w:rFonts w:ascii="Times New Roman" w:hAnsi="Times New Roman" w:cs="Times New Roman"/>
          <w:sz w:val="24"/>
          <w:szCs w:val="24"/>
        </w:rPr>
        <w:t>nu</w:t>
      </w:r>
      <w:r w:rsidR="00755D5B">
        <w:rPr>
          <w:rFonts w:ascii="Times New Roman" w:hAnsi="Times New Roman" w:cs="Times New Roman"/>
          <w:sz w:val="24"/>
          <w:szCs w:val="24"/>
        </w:rPr>
        <w:t>rodyti</w:t>
      </w:r>
      <w:r w:rsidRPr="00622946">
        <w:rPr>
          <w:rFonts w:ascii="Times New Roman" w:hAnsi="Times New Roman" w:cs="Times New Roman"/>
          <w:sz w:val="24"/>
          <w:szCs w:val="24"/>
        </w:rPr>
        <w:t xml:space="preserve"> </w:t>
      </w:r>
      <w:r w:rsidR="00755D5B">
        <w:rPr>
          <w:rFonts w:ascii="Times New Roman" w:hAnsi="Times New Roman" w:cs="Times New Roman"/>
          <w:sz w:val="24"/>
          <w:szCs w:val="24"/>
        </w:rPr>
        <w:t>pirkimo dokumentų S</w:t>
      </w:r>
      <w:r w:rsidRPr="00622946">
        <w:rPr>
          <w:rFonts w:ascii="Times New Roman" w:hAnsi="Times New Roman" w:cs="Times New Roman"/>
          <w:sz w:val="24"/>
          <w:szCs w:val="24"/>
        </w:rPr>
        <w:t xml:space="preserve">pecialiųjų sąlygų </w:t>
      </w:r>
      <w:r w:rsidR="005435FC" w:rsidRPr="00622946">
        <w:rPr>
          <w:rFonts w:ascii="Times New Roman" w:hAnsi="Times New Roman" w:cs="Times New Roman"/>
          <w:sz w:val="24"/>
          <w:szCs w:val="24"/>
        </w:rPr>
        <w:t>8</w:t>
      </w:r>
      <w:r w:rsidR="00665866" w:rsidRPr="00622946">
        <w:rPr>
          <w:rFonts w:ascii="Times New Roman" w:hAnsi="Times New Roman" w:cs="Times New Roman"/>
          <w:sz w:val="24"/>
          <w:szCs w:val="24"/>
        </w:rPr>
        <w:t xml:space="preserve"> priede „Sutarties projektas“ ir </w:t>
      </w:r>
      <w:r w:rsidRPr="00622946">
        <w:rPr>
          <w:rFonts w:ascii="Times New Roman" w:hAnsi="Times New Roman" w:cs="Times New Roman"/>
          <w:sz w:val="24"/>
          <w:szCs w:val="24"/>
        </w:rPr>
        <w:t>2 priede „Techninė specifikacija“.</w:t>
      </w:r>
      <w:r w:rsidR="004265C5">
        <w:rPr>
          <w:rFonts w:ascii="Times New Roman" w:hAnsi="Times New Roman" w:cs="Times New Roman"/>
          <w:sz w:val="24"/>
          <w:szCs w:val="24"/>
        </w:rPr>
        <w:t xml:space="preserve"> Pasiūlymas turi būti pateiktas visa</w:t>
      </w:r>
      <w:r w:rsidR="00755D5B">
        <w:rPr>
          <w:rFonts w:ascii="Times New Roman" w:hAnsi="Times New Roman" w:cs="Times New Roman"/>
          <w:sz w:val="24"/>
          <w:szCs w:val="24"/>
        </w:rPr>
        <w:t>i</w:t>
      </w:r>
      <w:r w:rsidR="004265C5">
        <w:rPr>
          <w:rFonts w:ascii="Times New Roman" w:hAnsi="Times New Roman" w:cs="Times New Roman"/>
          <w:sz w:val="24"/>
          <w:szCs w:val="24"/>
        </w:rPr>
        <w:t xml:space="preserve"> nurodyta</w:t>
      </w:r>
      <w:r w:rsidR="00755D5B">
        <w:rPr>
          <w:rFonts w:ascii="Times New Roman" w:hAnsi="Times New Roman" w:cs="Times New Roman"/>
          <w:sz w:val="24"/>
          <w:szCs w:val="24"/>
        </w:rPr>
        <w:t>i Prekės apimčiai</w:t>
      </w:r>
      <w:r w:rsidR="004265C5">
        <w:rPr>
          <w:rFonts w:ascii="Times New Roman" w:hAnsi="Times New Roman" w:cs="Times New Roman"/>
          <w:sz w:val="24"/>
          <w:szCs w:val="24"/>
        </w:rPr>
        <w:t>.</w:t>
      </w:r>
    </w:p>
    <w:p w14:paraId="3F4333A1" w14:textId="1C7F2F58" w:rsidR="00F05F75" w:rsidRPr="00D07A56" w:rsidRDefault="005B74F2" w:rsidP="00D07A56">
      <w:pPr>
        <w:pStyle w:val="NoSpacing"/>
        <w:numPr>
          <w:ilvl w:val="1"/>
          <w:numId w:val="49"/>
        </w:numPr>
        <w:tabs>
          <w:tab w:val="left" w:pos="1276"/>
        </w:tabs>
        <w:ind w:left="0" w:firstLine="567"/>
        <w:contextualSpacing/>
        <w:jc w:val="both"/>
        <w:rPr>
          <w:rFonts w:ascii="Times New Roman" w:hAnsi="Times New Roman" w:cs="Times New Roman"/>
          <w:sz w:val="24"/>
          <w:szCs w:val="24"/>
        </w:rPr>
      </w:pPr>
      <w:bookmarkStart w:id="7" w:name="_Hlk195600764"/>
      <w:bookmarkStart w:id="8" w:name="_Hlk167087428"/>
      <w:bookmarkStart w:id="9" w:name="_Hlk167085717"/>
      <w:r w:rsidRPr="00D07A56">
        <w:rPr>
          <w:rFonts w:ascii="Times New Roman" w:hAnsi="Times New Roman" w:cs="Times New Roman"/>
          <w:sz w:val="24"/>
          <w:szCs w:val="24"/>
          <w:u w:val="single"/>
        </w:rPr>
        <w:t>Pirkimo objektas į dalis neskaidomas</w:t>
      </w:r>
      <w:r w:rsidRPr="00D07A56">
        <w:rPr>
          <w:rFonts w:ascii="Times New Roman" w:hAnsi="Times New Roman" w:cs="Times New Roman"/>
          <w:sz w:val="24"/>
          <w:szCs w:val="24"/>
        </w:rPr>
        <w:t xml:space="preserve">, </w:t>
      </w:r>
      <w:r w:rsidR="00755D5B" w:rsidRPr="00D07A56">
        <w:rPr>
          <w:rFonts w:ascii="Times New Roman" w:hAnsi="Times New Roman" w:cs="Times New Roman"/>
          <w:bCs/>
          <w:sz w:val="24"/>
          <w:szCs w:val="24"/>
        </w:rPr>
        <w:t>nes perkamą įrangą sudaro vieninga</w:t>
      </w:r>
      <w:r w:rsidR="00945A65" w:rsidRPr="00D07A56">
        <w:rPr>
          <w:rFonts w:ascii="Times New Roman" w:hAnsi="Times New Roman" w:cs="Times New Roman"/>
          <w:bCs/>
          <w:sz w:val="24"/>
          <w:szCs w:val="24"/>
        </w:rPr>
        <w:t>s komplektas (kompleksinis įrengini</w:t>
      </w:r>
      <w:r w:rsidR="008E28F8" w:rsidRPr="00D07A56">
        <w:rPr>
          <w:rFonts w:ascii="Times New Roman" w:hAnsi="Times New Roman" w:cs="Times New Roman"/>
          <w:bCs/>
          <w:sz w:val="24"/>
          <w:szCs w:val="24"/>
        </w:rPr>
        <w:t>o</w:t>
      </w:r>
      <w:r w:rsidR="00945A65" w:rsidRPr="00D07A56">
        <w:rPr>
          <w:rFonts w:ascii="Times New Roman" w:hAnsi="Times New Roman" w:cs="Times New Roman"/>
          <w:bCs/>
          <w:sz w:val="24"/>
          <w:szCs w:val="24"/>
        </w:rPr>
        <w:t xml:space="preserve"> ir programinės įrangos derinys), kurio atskiri komponentai </w:t>
      </w:r>
      <w:r w:rsidR="00755D5B" w:rsidRPr="00D07A56">
        <w:rPr>
          <w:rFonts w:ascii="Times New Roman" w:hAnsi="Times New Roman" w:cs="Times New Roman"/>
          <w:bCs/>
          <w:sz w:val="24"/>
          <w:szCs w:val="24"/>
        </w:rPr>
        <w:t>glaudžiai susij</w:t>
      </w:r>
      <w:r w:rsidR="00945A65" w:rsidRPr="00D07A56">
        <w:rPr>
          <w:rFonts w:ascii="Times New Roman" w:hAnsi="Times New Roman" w:cs="Times New Roman"/>
          <w:bCs/>
          <w:sz w:val="24"/>
          <w:szCs w:val="24"/>
        </w:rPr>
        <w:t>ę ir kuris specialiai skirtas kaip vientiso produkto naudojimui.</w:t>
      </w:r>
      <w:r w:rsidR="00755D5B" w:rsidRPr="00D07A56">
        <w:rPr>
          <w:rFonts w:ascii="Times New Roman" w:hAnsi="Times New Roman" w:cs="Times New Roman"/>
          <w:bCs/>
          <w:sz w:val="24"/>
          <w:szCs w:val="24"/>
        </w:rPr>
        <w:t xml:space="preserve"> </w:t>
      </w:r>
      <w:r w:rsidR="00945A65" w:rsidRPr="00D07A56">
        <w:rPr>
          <w:rFonts w:ascii="Times New Roman" w:hAnsi="Times New Roman" w:cs="Times New Roman"/>
          <w:bCs/>
          <w:sz w:val="24"/>
          <w:szCs w:val="24"/>
        </w:rPr>
        <w:t xml:space="preserve">Visa komplektacija turi būti suderinta ir tarpusavyje sąveikauti, t. y. visi </w:t>
      </w:r>
      <w:r w:rsidR="00755D5B" w:rsidRPr="00D07A56">
        <w:rPr>
          <w:rFonts w:ascii="Times New Roman" w:hAnsi="Times New Roman" w:cs="Times New Roman"/>
          <w:bCs/>
          <w:sz w:val="24"/>
          <w:szCs w:val="24"/>
        </w:rPr>
        <w:t>komponentai turi veikti bendrai</w:t>
      </w:r>
      <w:r w:rsidR="008E28F8" w:rsidRPr="00D07A56">
        <w:rPr>
          <w:rFonts w:ascii="Times New Roman" w:hAnsi="Times New Roman" w:cs="Times New Roman"/>
          <w:bCs/>
          <w:sz w:val="24"/>
          <w:szCs w:val="24"/>
        </w:rPr>
        <w:t xml:space="preserve">. </w:t>
      </w:r>
      <w:r w:rsidR="00945A65" w:rsidRPr="00D07A56">
        <w:rPr>
          <w:rFonts w:ascii="Times New Roman" w:hAnsi="Times New Roman" w:cs="Times New Roman"/>
          <w:color w:val="000000" w:themeColor="text1"/>
          <w:sz w:val="24"/>
          <w:szCs w:val="24"/>
        </w:rPr>
        <w:t>Skaidant pirkim</w:t>
      </w:r>
      <w:r w:rsidR="008E28F8" w:rsidRPr="00D07A56">
        <w:rPr>
          <w:rFonts w:ascii="Times New Roman" w:hAnsi="Times New Roman" w:cs="Times New Roman"/>
          <w:color w:val="000000" w:themeColor="text1"/>
          <w:sz w:val="24"/>
          <w:szCs w:val="24"/>
        </w:rPr>
        <w:t>o objektą į atskiras</w:t>
      </w:r>
      <w:r w:rsidR="00945A65" w:rsidRPr="00D07A56">
        <w:rPr>
          <w:rFonts w:ascii="Times New Roman" w:hAnsi="Times New Roman" w:cs="Times New Roman"/>
          <w:color w:val="000000" w:themeColor="text1"/>
          <w:sz w:val="24"/>
          <w:szCs w:val="24"/>
        </w:rPr>
        <w:t xml:space="preserve"> dalis nebūtų užtikrintas įrangos</w:t>
      </w:r>
      <w:r w:rsidR="008E28F8" w:rsidRPr="00D07A56">
        <w:rPr>
          <w:rFonts w:ascii="Times New Roman" w:hAnsi="Times New Roman" w:cs="Times New Roman"/>
          <w:color w:val="000000" w:themeColor="text1"/>
          <w:sz w:val="24"/>
          <w:szCs w:val="24"/>
        </w:rPr>
        <w:t>, kaip vientiso komplekto,</w:t>
      </w:r>
      <w:r w:rsidR="00945A65" w:rsidRPr="00D07A56">
        <w:rPr>
          <w:rFonts w:ascii="Times New Roman" w:hAnsi="Times New Roman" w:cs="Times New Roman"/>
          <w:color w:val="000000" w:themeColor="text1"/>
          <w:sz w:val="24"/>
          <w:szCs w:val="24"/>
        </w:rPr>
        <w:t xml:space="preserve"> kokybiškas veikimas ir jos sudedamųjų dalių suderinamumas.</w:t>
      </w:r>
      <w:r w:rsidR="00945A65" w:rsidRPr="00D07A56">
        <w:rPr>
          <w:rFonts w:ascii="Times New Roman" w:hAnsi="Times New Roman" w:cs="Times New Roman"/>
          <w:bCs/>
          <w:sz w:val="24"/>
          <w:szCs w:val="24"/>
        </w:rPr>
        <w:t xml:space="preserve"> </w:t>
      </w:r>
      <w:r w:rsidR="00755D5B" w:rsidRPr="00D07A56">
        <w:rPr>
          <w:rFonts w:ascii="Times New Roman" w:hAnsi="Times New Roman" w:cs="Times New Roman"/>
          <w:bCs/>
          <w:sz w:val="24"/>
          <w:szCs w:val="24"/>
        </w:rPr>
        <w:t xml:space="preserve">Aukštam </w:t>
      </w:r>
      <w:r w:rsidR="00755D5B" w:rsidRPr="00D07A56">
        <w:rPr>
          <w:rFonts w:ascii="Times New Roman" w:hAnsi="Times New Roman" w:cs="Times New Roman"/>
          <w:sz w:val="24"/>
          <w:szCs w:val="24"/>
        </w:rPr>
        <w:t>įrangos</w:t>
      </w:r>
      <w:r w:rsidR="00755D5B" w:rsidRPr="00D07A56">
        <w:rPr>
          <w:rFonts w:ascii="Times New Roman" w:hAnsi="Times New Roman" w:cs="Times New Roman"/>
          <w:bCs/>
          <w:sz w:val="24"/>
          <w:szCs w:val="24"/>
        </w:rPr>
        <w:t xml:space="preserve"> veikimo našumui bei nuoseklaus proceso užtikrinimui būtina pilna komplektacija. Tai yra suderintos komplektacijos sistema, be kurios tyrimų atlikimas neįmanomas</w:t>
      </w:r>
      <w:bookmarkEnd w:id="7"/>
      <w:r w:rsidR="00755D5B" w:rsidRPr="00D07A56">
        <w:rPr>
          <w:rFonts w:ascii="Times New Roman" w:hAnsi="Times New Roman" w:cs="Times New Roman"/>
          <w:bCs/>
          <w:sz w:val="24"/>
          <w:szCs w:val="24"/>
        </w:rPr>
        <w:t>.</w:t>
      </w:r>
      <w:bookmarkEnd w:id="8"/>
      <w:bookmarkEnd w:id="9"/>
    </w:p>
    <w:p w14:paraId="311847A3" w14:textId="61B4EAC0" w:rsidR="00D07A56" w:rsidRPr="002D74F0" w:rsidRDefault="00D07A56" w:rsidP="00D07A56">
      <w:pPr>
        <w:pStyle w:val="NoSpacing"/>
        <w:tabs>
          <w:tab w:val="left" w:pos="1276"/>
        </w:tabs>
        <w:ind w:firstLine="567"/>
        <w:contextualSpacing/>
        <w:jc w:val="both"/>
        <w:rPr>
          <w:rFonts w:ascii="Times New Roman" w:hAnsi="Times New Roman" w:cs="Times New Roman"/>
          <w:sz w:val="22"/>
          <w:szCs w:val="22"/>
        </w:rPr>
      </w:pPr>
      <w:r>
        <w:rPr>
          <w:rFonts w:ascii="Times New Roman" w:eastAsia="Calibri" w:hAnsi="Times New Roman" w:cs="Times New Roman"/>
          <w:bCs/>
          <w:sz w:val="22"/>
          <w:szCs w:val="22"/>
        </w:rPr>
        <w:t xml:space="preserve">2.3. </w:t>
      </w:r>
      <w:r w:rsidRPr="001852FF">
        <w:rPr>
          <w:rFonts w:ascii="Times New Roman" w:eastAsia="Calibri" w:hAnsi="Times New Roman" w:cs="Times New Roman"/>
          <w:bCs/>
          <w:sz w:val="22"/>
          <w:szCs w:val="22"/>
        </w:rPr>
        <w:t xml:space="preserve">Pirkimui skirta lėšų suma </w:t>
      </w:r>
      <w:r w:rsidRPr="001852FF">
        <w:rPr>
          <w:rFonts w:ascii="Times New Roman" w:eastAsia="Calibri" w:hAnsi="Times New Roman" w:cs="Times New Roman"/>
          <w:b/>
          <w:bCs/>
          <w:sz w:val="22"/>
          <w:szCs w:val="22"/>
        </w:rPr>
        <w:t>1</w:t>
      </w:r>
      <w:r>
        <w:rPr>
          <w:rFonts w:ascii="Times New Roman" w:eastAsia="Calibri" w:hAnsi="Times New Roman" w:cs="Times New Roman"/>
          <w:b/>
          <w:bCs/>
          <w:sz w:val="22"/>
          <w:szCs w:val="22"/>
        </w:rPr>
        <w:t>73</w:t>
      </w:r>
      <w:r w:rsidRPr="001852FF">
        <w:rPr>
          <w:rFonts w:ascii="Times New Roman" w:eastAsia="Calibri" w:hAnsi="Times New Roman" w:cs="Times New Roman"/>
          <w:b/>
          <w:sz w:val="22"/>
          <w:szCs w:val="22"/>
        </w:rPr>
        <w:t> </w:t>
      </w:r>
      <w:r>
        <w:rPr>
          <w:rFonts w:ascii="Times New Roman" w:eastAsia="Calibri" w:hAnsi="Times New Roman" w:cs="Times New Roman"/>
          <w:b/>
          <w:bCs/>
          <w:sz w:val="22"/>
          <w:szCs w:val="22"/>
        </w:rPr>
        <w:t>500</w:t>
      </w:r>
      <w:r w:rsidRPr="001852FF">
        <w:rPr>
          <w:rFonts w:ascii="Times New Roman" w:eastAsia="Calibri" w:hAnsi="Times New Roman" w:cs="Times New Roman"/>
          <w:b/>
          <w:bCs/>
          <w:sz w:val="22"/>
          <w:szCs w:val="22"/>
        </w:rPr>
        <w:t xml:space="preserve">,00 </w:t>
      </w:r>
      <w:r w:rsidRPr="001852FF">
        <w:rPr>
          <w:rFonts w:ascii="Times New Roman" w:eastAsia="Calibri" w:hAnsi="Times New Roman" w:cs="Times New Roman"/>
          <w:b/>
          <w:sz w:val="22"/>
          <w:szCs w:val="22"/>
        </w:rPr>
        <w:t>Eur be PVM (</w:t>
      </w:r>
      <w:r>
        <w:rPr>
          <w:rFonts w:ascii="Times New Roman" w:eastAsia="Calibri" w:hAnsi="Times New Roman" w:cs="Times New Roman"/>
          <w:b/>
          <w:bCs/>
          <w:sz w:val="22"/>
          <w:szCs w:val="22"/>
        </w:rPr>
        <w:t>209</w:t>
      </w:r>
      <w:r w:rsidRPr="001852FF">
        <w:rPr>
          <w:rFonts w:ascii="Times New Roman" w:eastAsia="Calibri" w:hAnsi="Times New Roman" w:cs="Times New Roman"/>
          <w:b/>
          <w:sz w:val="22"/>
          <w:szCs w:val="22"/>
        </w:rPr>
        <w:t> </w:t>
      </w:r>
      <w:r>
        <w:rPr>
          <w:rFonts w:ascii="Times New Roman" w:eastAsia="Calibri" w:hAnsi="Times New Roman" w:cs="Times New Roman"/>
          <w:b/>
          <w:sz w:val="22"/>
          <w:szCs w:val="22"/>
        </w:rPr>
        <w:t>9</w:t>
      </w:r>
      <w:r>
        <w:rPr>
          <w:rFonts w:ascii="Times New Roman" w:eastAsia="Calibri" w:hAnsi="Times New Roman" w:cs="Times New Roman"/>
          <w:b/>
          <w:bCs/>
          <w:sz w:val="22"/>
          <w:szCs w:val="22"/>
        </w:rPr>
        <w:t>35</w:t>
      </w:r>
      <w:r w:rsidRPr="001852FF">
        <w:rPr>
          <w:rFonts w:ascii="Times New Roman" w:eastAsia="Calibri" w:hAnsi="Times New Roman" w:cs="Times New Roman"/>
          <w:b/>
          <w:bCs/>
          <w:sz w:val="22"/>
          <w:szCs w:val="22"/>
        </w:rPr>
        <w:t>,</w:t>
      </w:r>
      <w:r>
        <w:rPr>
          <w:rFonts w:ascii="Times New Roman" w:eastAsia="Calibri" w:hAnsi="Times New Roman" w:cs="Times New Roman"/>
          <w:b/>
          <w:bCs/>
          <w:sz w:val="22"/>
          <w:szCs w:val="22"/>
        </w:rPr>
        <w:t>00</w:t>
      </w:r>
      <w:r w:rsidRPr="001852FF">
        <w:rPr>
          <w:rFonts w:ascii="Times New Roman" w:eastAsia="Calibri" w:hAnsi="Times New Roman" w:cs="Times New Roman"/>
          <w:b/>
          <w:bCs/>
          <w:sz w:val="22"/>
          <w:szCs w:val="22"/>
        </w:rPr>
        <w:t xml:space="preserve"> </w:t>
      </w:r>
      <w:r w:rsidRPr="001852FF">
        <w:rPr>
          <w:rFonts w:ascii="Times New Roman" w:eastAsia="Calibri" w:hAnsi="Times New Roman" w:cs="Times New Roman"/>
          <w:b/>
          <w:sz w:val="22"/>
          <w:szCs w:val="22"/>
        </w:rPr>
        <w:t>Eur su PVM).</w:t>
      </w:r>
      <w:r w:rsidRPr="001852FF">
        <w:rPr>
          <w:rFonts w:ascii="Times New Roman" w:eastAsia="Calibri" w:hAnsi="Times New Roman" w:cs="Times New Roman"/>
          <w:bCs/>
          <w:sz w:val="22"/>
          <w:szCs w:val="22"/>
        </w:rPr>
        <w:t xml:space="preserve"> Šiame punkte nurodyta suma </w:t>
      </w:r>
      <w:r w:rsidRPr="001852FF">
        <w:rPr>
          <w:rFonts w:ascii="Times New Roman" w:hAnsi="Times New Roman" w:cs="Times New Roman"/>
          <w:iCs/>
          <w:spacing w:val="2"/>
          <w:sz w:val="22"/>
          <w:szCs w:val="22"/>
          <w:shd w:val="clear" w:color="auto" w:fill="FFFFFF"/>
        </w:rPr>
        <w:t>bus naudojama vertinant, ar tiekėjo pasiūlyme nurodyta kaina nėra per didelė ir nepriimtina.</w:t>
      </w:r>
    </w:p>
    <w:p w14:paraId="7573400D" w14:textId="0262F057" w:rsidR="00F771C1" w:rsidRPr="00F771C1" w:rsidRDefault="00F771C1" w:rsidP="00F771C1">
      <w:pPr>
        <w:spacing w:after="0" w:line="240" w:lineRule="auto"/>
        <w:ind w:firstLine="567"/>
        <w:jc w:val="both"/>
        <w:rPr>
          <w:rFonts w:ascii="Times New Roman" w:hAnsi="Times New Roman"/>
          <w:sz w:val="24"/>
          <w:szCs w:val="24"/>
        </w:rPr>
      </w:pPr>
      <w:bookmarkStart w:id="10" w:name="_Hlk190768221"/>
      <w:r w:rsidRPr="007434EA">
        <w:rPr>
          <w:rFonts w:ascii="Times New Roman" w:hAnsi="Times New Roman" w:cs="Times New Roman"/>
          <w:sz w:val="24"/>
          <w:szCs w:val="24"/>
        </w:rPr>
        <w:t xml:space="preserve">2.4. Pirkimas finansuojamas </w:t>
      </w:r>
      <w:r w:rsidRPr="007434EA">
        <w:rPr>
          <w:rFonts w:ascii="Times New Roman" w:hAnsi="Times New Roman" w:cs="Times New Roman"/>
          <w:sz w:val="24"/>
          <w:szCs w:val="24"/>
          <w:u w:val="single"/>
        </w:rPr>
        <w:t>ES fondo lėšomis (projekto Nr. [02-002-P-0001], projekto pavadinimas „Misijomis grįstų mokslo ir inovacijų programų įgyvendinimas“</w:t>
      </w:r>
      <w:r w:rsidRPr="007434EA">
        <w:rPr>
          <w:rFonts w:ascii="Times New Roman" w:hAnsi="Times New Roman" w:cs="Times New Roman"/>
          <w:sz w:val="24"/>
          <w:szCs w:val="24"/>
        </w:rPr>
        <w:t>). Vadovaujantis Lietuvos Respublikos finansų ministro 2022 m. birželio 22 d. įsakymo Nr. 1K-237  patvirtintų Projektų administravimo ir finansavimo taisyklių“ 308.6 punktu</w:t>
      </w:r>
      <w:r w:rsidRPr="007434EA">
        <w:rPr>
          <w:rFonts w:ascii="Times New Roman" w:hAnsi="Times New Roman"/>
          <w:sz w:val="24"/>
          <w:szCs w:val="24"/>
        </w:rPr>
        <w:t>,</w:t>
      </w:r>
      <w:r w:rsidRPr="007434EA">
        <w:rPr>
          <w:rFonts w:ascii="Times New Roman" w:hAnsi="Times New Roman" w:cs="Times New Roman"/>
          <w:sz w:val="24"/>
          <w:szCs w:val="24"/>
        </w:rPr>
        <w:t xml:space="preserve"> netinkamomis finansuoti išlaidomis laikomos </w:t>
      </w:r>
      <w:r w:rsidRPr="007434EA">
        <w:rPr>
          <w:rFonts w:ascii="Times New Roman" w:hAnsi="Times New Roman" w:cs="Times New Roman"/>
          <w:i/>
          <w:iCs/>
          <w:sz w:val="24"/>
          <w:szCs w:val="24"/>
        </w:rPr>
        <w:t>išlaidos</w:t>
      </w:r>
      <w:r w:rsidRPr="007434EA">
        <w:rPr>
          <w:rFonts w:ascii="Times New Roman" w:hAnsi="Times New Roman"/>
          <w:i/>
          <w:iCs/>
          <w:sz w:val="24"/>
          <w:szCs w:val="24"/>
        </w:rPr>
        <w:t>,</w:t>
      </w:r>
      <w:r w:rsidRPr="007434EA">
        <w:rPr>
          <w:rFonts w:ascii="Times New Roman" w:hAnsi="Times New Roman" w:cs="Times New Roman"/>
          <w:i/>
          <w:iCs/>
          <w:sz w:val="24"/>
          <w:szCs w:val="24"/>
        </w:rPr>
        <w:t xml:space="preserve"> patirtos iš projekto vykdytojo, partnerio arba JP </w:t>
      </w:r>
      <w:r w:rsidRPr="007434EA">
        <w:rPr>
          <w:rFonts w:ascii="Times New Roman" w:hAnsi="Times New Roman"/>
          <w:i/>
          <w:iCs/>
          <w:sz w:val="24"/>
          <w:szCs w:val="24"/>
        </w:rPr>
        <w:t xml:space="preserve">[jungtinio projekto] </w:t>
      </w:r>
      <w:r w:rsidRPr="007434EA">
        <w:rPr>
          <w:rFonts w:ascii="Times New Roman" w:hAnsi="Times New Roman" w:cs="Times New Roman"/>
          <w:i/>
          <w:iCs/>
          <w:sz w:val="24"/>
          <w:szCs w:val="24"/>
        </w:rPr>
        <w:t>projekto vykdytojo įsigyjant prekes, paslaugas (įskaitant trumpalaikio ir ilgalaikio turto, taip pat nekilnojamojo turto nuomą) ar darbus</w:t>
      </w:r>
      <w:r w:rsidRPr="007434EA">
        <w:rPr>
          <w:rFonts w:ascii="Times New Roman" w:hAnsi="Times New Roman" w:cs="Times New Roman"/>
          <w:sz w:val="24"/>
          <w:szCs w:val="24"/>
        </w:rPr>
        <w:t>.</w:t>
      </w:r>
      <w:r w:rsidRPr="007434EA">
        <w:rPr>
          <w:rFonts w:ascii="Times New Roman" w:hAnsi="Times New Roman"/>
          <w:sz w:val="24"/>
          <w:szCs w:val="24"/>
        </w:rPr>
        <w:t xml:space="preserve"> Atsižvelgus į minėto teisės akto nuostatas, tokiu atveju pirkimo sutartis bus sudaryta tik įvertinus, ar lėšos bus laikomos tinkamomis finansuoti.</w:t>
      </w:r>
    </w:p>
    <w:bookmarkEnd w:id="10"/>
    <w:p w14:paraId="0A18FEBD" w14:textId="77777777" w:rsidR="00B83FD5" w:rsidRPr="00622946" w:rsidRDefault="00B83FD5" w:rsidP="00F771C1">
      <w:pPr>
        <w:pStyle w:val="NoSpacing"/>
        <w:numPr>
          <w:ilvl w:val="1"/>
          <w:numId w:val="38"/>
        </w:numPr>
        <w:tabs>
          <w:tab w:val="left" w:pos="1276"/>
        </w:tabs>
        <w:ind w:left="0" w:firstLine="567"/>
        <w:contextualSpacing/>
        <w:jc w:val="both"/>
        <w:rPr>
          <w:rFonts w:ascii="Times New Roman" w:hAnsi="Times New Roman" w:cs="Times New Roman"/>
          <w:sz w:val="24"/>
          <w:szCs w:val="24"/>
        </w:rPr>
      </w:pPr>
      <w:r w:rsidRPr="00622946">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BF13EF2" w14:textId="15189E63" w:rsidR="00B83FD5" w:rsidRDefault="00B83FD5" w:rsidP="00622946">
      <w:pPr>
        <w:pStyle w:val="NoSpacing"/>
        <w:numPr>
          <w:ilvl w:val="1"/>
          <w:numId w:val="38"/>
        </w:numPr>
        <w:tabs>
          <w:tab w:val="left" w:pos="1276"/>
        </w:tabs>
        <w:ind w:left="0" w:firstLine="567"/>
        <w:contextualSpacing/>
        <w:jc w:val="both"/>
        <w:rPr>
          <w:rFonts w:ascii="Times New Roman" w:hAnsi="Times New Roman" w:cs="Times New Roman"/>
          <w:sz w:val="24"/>
          <w:szCs w:val="24"/>
        </w:rPr>
      </w:pPr>
      <w:r w:rsidRPr="00622946">
        <w:rPr>
          <w:rFonts w:ascii="Times New Roman" w:hAnsi="Times New Roman" w:cs="Times New Roman"/>
          <w:sz w:val="24"/>
          <w:szCs w:val="24"/>
        </w:rPr>
        <w:t xml:space="preserve">Jeigu apibūdinant pirkimo objektą techninėje specifikacijoje nurodytas standartas, </w:t>
      </w:r>
      <w:r w:rsidRPr="0062294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22946">
        <w:rPr>
          <w:rFonts w:ascii="Times New Roman" w:hAnsi="Times New Roman" w:cs="Times New Roman"/>
          <w:sz w:val="24"/>
          <w:szCs w:val="24"/>
        </w:rPr>
        <w:t>turi būti laikoma, kad kiekviena tokia nuoroda yra pateikta su žodžiais „arba lygiavertis“.</w:t>
      </w: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1"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2" w:name="_Ref39427921"/>
      <w:bookmarkStart w:id="13" w:name="_Ref39427927"/>
      <w:bookmarkStart w:id="14" w:name="_Ref39740354"/>
      <w:r w:rsidRPr="00622946">
        <w:rPr>
          <w:rFonts w:ascii="Times New Roman" w:hAnsi="Times New Roman" w:cs="Times New Roman"/>
          <w:b/>
          <w:sz w:val="24"/>
          <w:szCs w:val="24"/>
        </w:rPr>
        <w:t>Susitikimai su tiekėjais</w:t>
      </w:r>
      <w:bookmarkEnd w:id="12"/>
      <w:bookmarkEnd w:id="13"/>
      <w:r w:rsidRPr="00622946">
        <w:rPr>
          <w:rFonts w:ascii="Times New Roman" w:hAnsi="Times New Roman" w:cs="Times New Roman"/>
          <w:b/>
          <w:sz w:val="24"/>
          <w:szCs w:val="24"/>
        </w:rPr>
        <w:t xml:space="preserve"> ir objekto apžiūra</w:t>
      </w:r>
      <w:bookmarkEnd w:id="11"/>
      <w:bookmarkEnd w:id="14"/>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5" w:name="_Ref39473754"/>
      <w:bookmarkStart w:id="16" w:name="_Ref39473761"/>
      <w:bookmarkStart w:id="17" w:name="_Ref39474188"/>
      <w:bookmarkStart w:id="18"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5"/>
      <w:bookmarkEnd w:id="16"/>
      <w:bookmarkEnd w:id="17"/>
      <w:r w:rsidRPr="00622946">
        <w:rPr>
          <w:rFonts w:ascii="Times New Roman" w:hAnsi="Times New Roman" w:cs="Times New Roman"/>
          <w:b/>
          <w:sz w:val="24"/>
          <w:szCs w:val="24"/>
        </w:rPr>
        <w:t xml:space="preserve"> ir kvalifikacijos reikalavimai</w:t>
      </w:r>
      <w:bookmarkEnd w:id="18"/>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9" w:name="_Hlk41039660"/>
      <w:r w:rsidRPr="00622946">
        <w:rPr>
          <w:rFonts w:ascii="Times New Roman" w:hAnsi="Times New Roman" w:cs="Times New Roman"/>
          <w:sz w:val="24"/>
          <w:szCs w:val="24"/>
        </w:rPr>
        <w:t xml:space="preserve"> subtiekėjų (jei taikoma), ūkio subjektų, kurių pajėgumais tiekėjas remiasi, </w:t>
      </w:r>
      <w:bookmarkEnd w:id="19"/>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20"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20"/>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lastRenderedPageBreak/>
        <w:t>prieduose. Kilus abejonių dėl tiekėjo (ne)atitikties Reglamento nuostatoms, perkančioji organizacija iš galimo laimėtojo prašys pateikti dokumentus, įrodančius deklaracijoje pateiktų duomenų teisingumą.</w:t>
      </w:r>
    </w:p>
    <w:p w14:paraId="4471382C" w14:textId="6643C237"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62EF0D9D"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1929A6C4" w14:textId="1E1B85FB" w:rsidR="00680ABA" w:rsidRPr="007434EA" w:rsidRDefault="00680ABA" w:rsidP="00A8477E">
      <w:pPr>
        <w:pStyle w:val="ListParagraph"/>
        <w:numPr>
          <w:ilvl w:val="2"/>
          <w:numId w:val="6"/>
        </w:numPr>
        <w:spacing w:after="0" w:line="240" w:lineRule="auto"/>
        <w:ind w:left="0" w:firstLine="567"/>
        <w:jc w:val="both"/>
        <w:rPr>
          <w:rFonts w:ascii="Times New Roman" w:hAnsi="Times New Roman" w:cs="Times New Roman"/>
          <w:sz w:val="24"/>
          <w:szCs w:val="24"/>
          <w:highlight w:val="lightGray"/>
          <w:u w:val="single"/>
        </w:rPr>
      </w:pPr>
      <w:r w:rsidRPr="007434EA">
        <w:rPr>
          <w:rFonts w:ascii="Times New Roman" w:hAnsi="Times New Roman" w:cs="Times New Roman"/>
          <w:sz w:val="24"/>
          <w:szCs w:val="24"/>
          <w:highlight w:val="lightGray"/>
        </w:rPr>
        <w:t>pateikiami gamintojo tiekėjui išduoti dokumentai</w:t>
      </w:r>
      <w:r w:rsidR="00410C46" w:rsidRPr="007434EA">
        <w:rPr>
          <w:rFonts w:ascii="Times New Roman" w:hAnsi="Times New Roman" w:cs="Times New Roman"/>
          <w:sz w:val="24"/>
          <w:szCs w:val="24"/>
          <w:highlight w:val="lightGray"/>
        </w:rPr>
        <w:t xml:space="preserve"> (</w:t>
      </w:r>
      <w:r w:rsidR="00410C46" w:rsidRPr="007434EA">
        <w:rPr>
          <w:rFonts w:ascii="Times New Roman" w:hAnsi="Times New Roman" w:cs="Times New Roman"/>
          <w:bCs/>
          <w:sz w:val="24"/>
          <w:szCs w:val="24"/>
          <w:highlight w:val="lightGray"/>
        </w:rPr>
        <w:t xml:space="preserve">gamintojo techninė dokumentacija </w:t>
      </w:r>
      <w:r w:rsidR="00410C46" w:rsidRPr="007434EA">
        <w:rPr>
          <w:rFonts w:ascii="Times New Roman" w:hAnsi="Times New Roman" w:cs="Times New Roman"/>
          <w:sz w:val="24"/>
          <w:szCs w:val="24"/>
          <w:highlight w:val="lightGray"/>
        </w:rPr>
        <w:t>su prekės aprašymu</w:t>
      </w:r>
      <w:r w:rsidR="00410C46" w:rsidRPr="007434EA">
        <w:rPr>
          <w:rFonts w:ascii="Times New Roman" w:hAnsi="Times New Roman" w:cs="Times New Roman"/>
          <w:bCs/>
          <w:sz w:val="24"/>
          <w:szCs w:val="24"/>
          <w:highlight w:val="lightGray"/>
        </w:rPr>
        <w:t>, patvirtinanti prekių atitikimą minimaliems techniniams reikalavimams)</w:t>
      </w:r>
      <w:r w:rsidRPr="007434EA">
        <w:rPr>
          <w:rFonts w:ascii="Times New Roman" w:hAnsi="Times New Roman" w:cs="Times New Roman"/>
          <w:sz w:val="24"/>
          <w:szCs w:val="24"/>
          <w:highlight w:val="lightGray"/>
        </w:rPr>
        <w:t xml:space="preserve"> </w:t>
      </w:r>
      <w:r w:rsidRPr="007434EA">
        <w:rPr>
          <w:rFonts w:ascii="Times New Roman" w:hAnsi="Times New Roman" w:cs="Times New Roman"/>
          <w:iCs/>
          <w:sz w:val="24"/>
          <w:szCs w:val="24"/>
          <w:highlight w:val="lightGray"/>
        </w:rPr>
        <w:t>ar kiti įrodymai</w:t>
      </w:r>
      <w:r w:rsidRPr="007434EA">
        <w:rPr>
          <w:rFonts w:ascii="Times New Roman" w:hAnsi="Times New Roman" w:cs="Times New Roman"/>
          <w:i/>
          <w:sz w:val="24"/>
          <w:szCs w:val="24"/>
          <w:highlight w:val="lightGray"/>
        </w:rPr>
        <w:t xml:space="preserve"> (jei taikoma)</w:t>
      </w:r>
      <w:r w:rsidR="00410C46" w:rsidRPr="007434EA">
        <w:rPr>
          <w:rFonts w:ascii="Times New Roman" w:hAnsi="Times New Roman" w:cs="Times New Roman"/>
          <w:i/>
          <w:sz w:val="24"/>
          <w:szCs w:val="24"/>
          <w:highlight w:val="lightGray"/>
        </w:rPr>
        <w:t>.</w:t>
      </w:r>
      <w:r w:rsidRPr="007434EA">
        <w:rPr>
          <w:rFonts w:ascii="Times New Roman" w:hAnsi="Times New Roman" w:cs="Times New Roman"/>
          <w:bCs/>
          <w:sz w:val="24"/>
          <w:szCs w:val="24"/>
          <w:highlight w:val="lightGray"/>
        </w:rPr>
        <w:t xml:space="preserve"> Pageidautina, kad kiekvienas dokumentas </w:t>
      </w:r>
      <w:r w:rsidR="00866452">
        <w:rPr>
          <w:rFonts w:ascii="Times New Roman" w:hAnsi="Times New Roman" w:cs="Times New Roman"/>
          <w:bCs/>
          <w:sz w:val="24"/>
          <w:szCs w:val="24"/>
          <w:highlight w:val="lightGray"/>
        </w:rPr>
        <w:t xml:space="preserve">būtų </w:t>
      </w:r>
      <w:r w:rsidRPr="007434EA">
        <w:rPr>
          <w:rFonts w:ascii="Times New Roman" w:hAnsi="Times New Roman" w:cs="Times New Roman"/>
          <w:bCs/>
          <w:sz w:val="24"/>
          <w:szCs w:val="24"/>
          <w:highlight w:val="lightGray"/>
        </w:rPr>
        <w:t xml:space="preserve">įvardytas kaip siūlomos įrangos kodas/modelis arba </w:t>
      </w:r>
      <w:r w:rsidRPr="007434EA">
        <w:rPr>
          <w:rFonts w:ascii="Times New Roman" w:hAnsi="Times New Roman" w:cs="Times New Roman"/>
          <w:sz w:val="24"/>
          <w:szCs w:val="24"/>
          <w:highlight w:val="lightGray"/>
        </w:rPr>
        <w:t>pateikiama nuoroda į įrangos aprašymą gamintojo svetainėje į konkretų įrenginį (jo tikslų kodą/modelį) su jo parametrais;</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622946">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28C507F1"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arba anglų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622946">
      <w:pPr>
        <w:pStyle w:val="Heading1"/>
        <w:numPr>
          <w:ilvl w:val="0"/>
          <w:numId w:val="8"/>
        </w:numPr>
        <w:tabs>
          <w:tab w:val="left" w:pos="709"/>
        </w:tabs>
        <w:spacing w:before="0" w:after="0"/>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4068660"/>
      <w:bookmarkEnd w:id="21"/>
      <w:bookmarkEnd w:id="22"/>
      <w:bookmarkEnd w:id="23"/>
      <w:bookmarkEnd w:id="24"/>
      <w:bookmarkEnd w:id="25"/>
      <w:r w:rsidRPr="00622946">
        <w:rPr>
          <w:rFonts w:ascii="Times New Roman" w:hAnsi="Times New Roman" w:cs="Times New Roman"/>
          <w:b/>
          <w:sz w:val="24"/>
          <w:szCs w:val="24"/>
        </w:rPr>
        <w:lastRenderedPageBreak/>
        <w:t>Pasiūlymo galiojimo užtikrinimas</w:t>
      </w:r>
      <w:bookmarkEnd w:id="26"/>
      <w:bookmarkEnd w:id="27"/>
      <w:bookmarkEnd w:id="28"/>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622946">
      <w:pPr>
        <w:pStyle w:val="Heading1"/>
        <w:numPr>
          <w:ilvl w:val="0"/>
          <w:numId w:val="8"/>
        </w:numPr>
        <w:tabs>
          <w:tab w:val="left" w:pos="567"/>
        </w:tabs>
        <w:spacing w:before="0" w:after="0"/>
        <w:ind w:left="0" w:firstLine="0"/>
        <w:contextualSpacing/>
        <w:rPr>
          <w:rFonts w:ascii="Times New Roman" w:hAnsi="Times New Roman" w:cs="Times New Roman"/>
          <w:b/>
          <w:sz w:val="24"/>
          <w:szCs w:val="24"/>
        </w:rPr>
      </w:pPr>
      <w:bookmarkStart w:id="29" w:name="_Toc163819154"/>
      <w:bookmarkStart w:id="30" w:name="_Toc163825801"/>
      <w:bookmarkStart w:id="31" w:name="_Toc163826081"/>
      <w:bookmarkStart w:id="32" w:name="_Toc164068661"/>
      <w:bookmarkStart w:id="33" w:name="_Toc163819155"/>
      <w:bookmarkStart w:id="34" w:name="_Toc163825802"/>
      <w:bookmarkStart w:id="35" w:name="_Toc163826082"/>
      <w:bookmarkStart w:id="36" w:name="_Toc164068662"/>
      <w:bookmarkStart w:id="37" w:name="_Ref39658218"/>
      <w:bookmarkStart w:id="38" w:name="_Ref39658226"/>
      <w:bookmarkStart w:id="39" w:name="_Ref39658248"/>
      <w:bookmarkStart w:id="40" w:name="_Ref39658251"/>
      <w:bookmarkStart w:id="41" w:name="_Toc164068663"/>
      <w:bookmarkStart w:id="42" w:name="_Ref39485250"/>
      <w:bookmarkStart w:id="43" w:name="_Ref39485258"/>
      <w:bookmarkEnd w:id="29"/>
      <w:bookmarkEnd w:id="30"/>
      <w:bookmarkEnd w:id="31"/>
      <w:bookmarkEnd w:id="32"/>
      <w:bookmarkEnd w:id="33"/>
      <w:bookmarkEnd w:id="34"/>
      <w:bookmarkEnd w:id="35"/>
      <w:bookmarkEnd w:id="36"/>
      <w:r w:rsidRPr="00622946">
        <w:rPr>
          <w:rFonts w:ascii="Times New Roman" w:hAnsi="Times New Roman" w:cs="Times New Roman"/>
          <w:b/>
          <w:sz w:val="24"/>
          <w:szCs w:val="24"/>
        </w:rPr>
        <w:t>Elektroninis aukcionas</w:t>
      </w:r>
      <w:bookmarkEnd w:id="37"/>
      <w:bookmarkEnd w:id="38"/>
      <w:bookmarkEnd w:id="39"/>
      <w:bookmarkEnd w:id="40"/>
      <w:bookmarkEnd w:id="41"/>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622946">
      <w:pPr>
        <w:pStyle w:val="Heading1"/>
        <w:numPr>
          <w:ilvl w:val="0"/>
          <w:numId w:val="8"/>
        </w:numPr>
        <w:tabs>
          <w:tab w:val="left" w:pos="709"/>
        </w:tabs>
        <w:spacing w:before="0" w:after="0"/>
        <w:contextualSpacing/>
        <w:rPr>
          <w:rFonts w:ascii="Times New Roman" w:hAnsi="Times New Roman" w:cs="Times New Roman"/>
          <w:b/>
          <w:sz w:val="24"/>
          <w:szCs w:val="24"/>
        </w:rPr>
      </w:pPr>
      <w:bookmarkStart w:id="44" w:name="_Ref39667303"/>
      <w:bookmarkStart w:id="45" w:name="_Ref39667308"/>
      <w:bookmarkStart w:id="46" w:name="_Toc164068664"/>
      <w:r w:rsidRPr="00622946">
        <w:rPr>
          <w:rFonts w:ascii="Times New Roman" w:hAnsi="Times New Roman" w:cs="Times New Roman"/>
          <w:b/>
          <w:sz w:val="24"/>
          <w:szCs w:val="24"/>
        </w:rPr>
        <w:t>Pasiūlymų vertinimas</w:t>
      </w:r>
      <w:bookmarkEnd w:id="42"/>
      <w:bookmarkEnd w:id="43"/>
      <w:bookmarkEnd w:id="44"/>
      <w:bookmarkEnd w:id="45"/>
      <w:bookmarkEnd w:id="46"/>
    </w:p>
    <w:p w14:paraId="3763F973" w14:textId="226CD544"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7"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7"/>
      <w:r w:rsidR="00A80A67" w:rsidRPr="00622946">
        <w:rPr>
          <w:rFonts w:ascii="Times New Roman" w:eastAsia="Calibri" w:hAnsi="Times New Roman" w:cs="Times New Roman"/>
          <w:sz w:val="24"/>
          <w:szCs w:val="24"/>
        </w:rPr>
        <w:t>.</w:t>
      </w:r>
    </w:p>
    <w:p w14:paraId="1165896C" w14:textId="4F5D3EB9" w:rsidR="00B83FD5" w:rsidRPr="00622946" w:rsidRDefault="00B83FD5" w:rsidP="00622946">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622946">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1405E56E" w14:textId="4CA6F8F7" w:rsidR="00A72D40" w:rsidRPr="00901EC3" w:rsidRDefault="00546F2C" w:rsidP="00546F2C">
      <w:pPr>
        <w:pStyle w:val="ListParagraph"/>
        <w:spacing w:after="0" w:line="240" w:lineRule="auto"/>
        <w:ind w:left="567"/>
        <w:jc w:val="both"/>
        <w:rPr>
          <w:rFonts w:ascii="Times New Roman" w:hAnsi="Times New Roman" w:cs="Times New Roman"/>
          <w:iCs/>
          <w:sz w:val="24"/>
          <w:szCs w:val="24"/>
        </w:rPr>
      </w:pPr>
      <w:r w:rsidRPr="00901EC3">
        <w:rPr>
          <w:rFonts w:ascii="Times New Roman" w:eastAsia="Calibri" w:hAnsi="Times New Roman" w:cs="Times New Roman"/>
          <w:sz w:val="24"/>
          <w:szCs w:val="24"/>
          <w:highlight w:val="lightGray"/>
          <w:lang w:eastAsia="lt-LT"/>
        </w:rPr>
        <w:t xml:space="preserve">9.3.2. </w:t>
      </w:r>
      <w:r w:rsidR="00A72D40" w:rsidRPr="00901EC3">
        <w:rPr>
          <w:rFonts w:ascii="Times New Roman" w:eastAsia="Calibri" w:hAnsi="Times New Roman" w:cs="Times New Roman"/>
          <w:sz w:val="24"/>
          <w:szCs w:val="24"/>
          <w:highlight w:val="lightGray"/>
          <w:lang w:eastAsia="lt-LT"/>
        </w:rPr>
        <w:t>užpildyta</w:t>
      </w:r>
      <w:r w:rsidR="003F6C3D">
        <w:rPr>
          <w:rFonts w:ascii="Times New Roman" w:eastAsia="Calibri" w:hAnsi="Times New Roman" w:cs="Times New Roman"/>
          <w:sz w:val="24"/>
          <w:szCs w:val="24"/>
          <w:highlight w:val="lightGray"/>
          <w:lang w:eastAsia="lt-LT"/>
        </w:rPr>
        <w:t xml:space="preserve"> techninė specifikacija (</w:t>
      </w:r>
      <w:r w:rsidR="00A72D40" w:rsidRPr="00901EC3">
        <w:rPr>
          <w:rFonts w:ascii="Times New Roman" w:eastAsia="Calibri" w:hAnsi="Times New Roman" w:cs="Times New Roman"/>
          <w:sz w:val="24"/>
          <w:szCs w:val="24"/>
          <w:highlight w:val="lightGray"/>
          <w:lang w:eastAsia="lt-LT"/>
        </w:rPr>
        <w:t>Specialiųjų pirkimo sąlygų 2 priedas</w:t>
      </w:r>
      <w:r w:rsidR="003F6C3D">
        <w:rPr>
          <w:rFonts w:ascii="Times New Roman" w:eastAsia="Calibri" w:hAnsi="Times New Roman" w:cs="Times New Roman"/>
          <w:sz w:val="24"/>
          <w:szCs w:val="24"/>
          <w:highlight w:val="lightGray"/>
          <w:lang w:eastAsia="lt-LT"/>
        </w:rPr>
        <w:t>)</w:t>
      </w:r>
      <w:r w:rsidR="00A72D40" w:rsidRPr="00901EC3">
        <w:rPr>
          <w:rFonts w:ascii="Times New Roman" w:eastAsia="Calibri" w:hAnsi="Times New Roman" w:cs="Times New Roman"/>
          <w:sz w:val="24"/>
          <w:szCs w:val="24"/>
          <w:highlight w:val="lightGray"/>
          <w:lang w:eastAsia="lt-LT"/>
        </w:rPr>
        <w:t>.</w:t>
      </w:r>
    </w:p>
    <w:p w14:paraId="43F2E4F1" w14:textId="60D9A7E6" w:rsidR="00FE7809" w:rsidRPr="00D07A56" w:rsidRDefault="00F771C1" w:rsidP="00FE7809">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D07A56">
        <w:rPr>
          <w:rFonts w:ascii="Times New Roman" w:eastAsiaTheme="minorHAnsi" w:hAnsi="Times New Roman" w:cs="Times New Roman"/>
          <w:bCs/>
          <w:i/>
          <w:iCs/>
          <w:sz w:val="24"/>
          <w:szCs w:val="24"/>
        </w:rPr>
        <w:t xml:space="preserve"> </w:t>
      </w:r>
      <w:r w:rsidRPr="00D07A56">
        <w:rPr>
          <w:rFonts w:ascii="Times New Roman" w:eastAsiaTheme="minorHAnsi" w:hAnsi="Times New Roman" w:cs="Times New Roman"/>
          <w:bCs/>
          <w:iCs/>
          <w:sz w:val="24"/>
          <w:szCs w:val="24"/>
        </w:rPr>
        <w:t xml:space="preserve">priemonėmis prašyti pateikti siūlomos prekės ar jos sudedamosios dalies/komponento pavyzdį </w:t>
      </w:r>
      <w:r w:rsidR="00FE7809" w:rsidRPr="00D07A56">
        <w:rPr>
          <w:rFonts w:ascii="Times New Roman" w:eastAsiaTheme="minorHAnsi" w:hAnsi="Times New Roman" w:cs="Times New Roman"/>
          <w:bCs/>
          <w:iCs/>
          <w:sz w:val="24"/>
          <w:szCs w:val="24"/>
        </w:rPr>
        <w:t xml:space="preserve">(jei taikoma) </w:t>
      </w:r>
      <w:r w:rsidRPr="00D07A56">
        <w:rPr>
          <w:rFonts w:ascii="Times New Roman" w:eastAsiaTheme="minorHAnsi" w:hAnsi="Times New Roman" w:cs="Times New Roman"/>
          <w:bCs/>
          <w:iCs/>
          <w:sz w:val="24"/>
          <w:szCs w:val="24"/>
        </w:rPr>
        <w:t xml:space="preserve">arba pateikti vaizdo įrašą </w:t>
      </w:r>
      <w:r w:rsidR="008E28F8" w:rsidRPr="00D07A56">
        <w:rPr>
          <w:rFonts w:ascii="Times New Roman" w:eastAsiaTheme="minorHAnsi" w:hAnsi="Times New Roman" w:cs="Times New Roman"/>
          <w:bCs/>
          <w:iCs/>
          <w:sz w:val="24"/>
          <w:szCs w:val="24"/>
        </w:rPr>
        <w:t>(</w:t>
      </w:r>
      <w:proofErr w:type="spellStart"/>
      <w:r w:rsidR="008E28F8" w:rsidRPr="00D07A56">
        <w:rPr>
          <w:rFonts w:ascii="Times New Roman" w:eastAsiaTheme="minorHAnsi" w:hAnsi="Times New Roman" w:cs="Times New Roman"/>
          <w:bCs/>
          <w:iCs/>
          <w:sz w:val="24"/>
          <w:szCs w:val="24"/>
        </w:rPr>
        <w:t>video</w:t>
      </w:r>
      <w:proofErr w:type="spellEnd"/>
      <w:r w:rsidR="008E28F8" w:rsidRPr="00D07A56">
        <w:rPr>
          <w:rFonts w:ascii="Times New Roman" w:eastAsiaTheme="minorHAnsi" w:hAnsi="Times New Roman" w:cs="Times New Roman"/>
          <w:bCs/>
          <w:iCs/>
          <w:sz w:val="24"/>
          <w:szCs w:val="24"/>
        </w:rPr>
        <w:t xml:space="preserve"> medžiagą)</w:t>
      </w:r>
      <w:r w:rsidR="00FE7809" w:rsidRPr="00D07A56">
        <w:rPr>
          <w:rFonts w:ascii="Times New Roman" w:eastAsiaTheme="minorHAnsi" w:hAnsi="Times New Roman" w:cs="Times New Roman"/>
          <w:bCs/>
          <w:iCs/>
          <w:sz w:val="24"/>
          <w:szCs w:val="24"/>
        </w:rPr>
        <w:t xml:space="preserve"> </w:t>
      </w:r>
      <w:r w:rsidRPr="00D07A56">
        <w:rPr>
          <w:rFonts w:ascii="Times New Roman" w:eastAsiaTheme="minorHAnsi" w:hAnsi="Times New Roman" w:cs="Times New Roman"/>
          <w:bCs/>
          <w:iCs/>
          <w:sz w:val="24"/>
          <w:szCs w:val="24"/>
        </w:rPr>
        <w:t xml:space="preserve">su šios prekės funkcionalumo pristatymu. Tokiu atveju, </w:t>
      </w:r>
      <w:r w:rsidR="00FE7809" w:rsidRPr="00D07A56">
        <w:rPr>
          <w:rFonts w:ascii="Times New Roman" w:eastAsiaTheme="minorHAnsi" w:hAnsi="Times New Roman" w:cs="Times New Roman"/>
          <w:bCs/>
          <w:iCs/>
          <w:sz w:val="24"/>
          <w:szCs w:val="24"/>
        </w:rPr>
        <w:t xml:space="preserve">jeigu prašoma </w:t>
      </w:r>
      <w:r w:rsidR="002C423B" w:rsidRPr="00D07A56">
        <w:rPr>
          <w:rFonts w:ascii="Times New Roman" w:eastAsiaTheme="minorHAnsi" w:hAnsi="Times New Roman" w:cs="Times New Roman"/>
          <w:bCs/>
          <w:iCs/>
          <w:sz w:val="24"/>
          <w:szCs w:val="24"/>
        </w:rPr>
        <w:t xml:space="preserve">pateikti </w:t>
      </w:r>
      <w:r w:rsidR="00FE7809" w:rsidRPr="00D07A56">
        <w:rPr>
          <w:rFonts w:ascii="Times New Roman" w:eastAsiaTheme="minorHAnsi" w:hAnsi="Times New Roman" w:cs="Times New Roman"/>
          <w:bCs/>
          <w:iCs/>
          <w:sz w:val="24"/>
          <w:szCs w:val="24"/>
        </w:rPr>
        <w:t>Prekės pavyzd</w:t>
      </w:r>
      <w:r w:rsidR="002C423B" w:rsidRPr="00D07A56">
        <w:rPr>
          <w:rFonts w:ascii="Times New Roman" w:eastAsiaTheme="minorHAnsi" w:hAnsi="Times New Roman" w:cs="Times New Roman"/>
          <w:bCs/>
          <w:iCs/>
          <w:sz w:val="24"/>
          <w:szCs w:val="24"/>
        </w:rPr>
        <w:t>į</w:t>
      </w:r>
      <w:r w:rsidR="00FE7809" w:rsidRPr="00D07A56">
        <w:rPr>
          <w:rFonts w:ascii="Times New Roman" w:eastAsiaTheme="minorHAnsi" w:hAnsi="Times New Roman" w:cs="Times New Roman"/>
          <w:bCs/>
          <w:iCs/>
          <w:sz w:val="24"/>
          <w:szCs w:val="24"/>
        </w:rPr>
        <w:t xml:space="preserve">, </w:t>
      </w:r>
      <w:r w:rsidR="002C423B" w:rsidRPr="00D07A56">
        <w:rPr>
          <w:rFonts w:ascii="Times New Roman" w:eastAsiaTheme="minorHAnsi" w:hAnsi="Times New Roman" w:cs="Times New Roman"/>
          <w:bCs/>
          <w:iCs/>
          <w:sz w:val="24"/>
          <w:szCs w:val="24"/>
        </w:rPr>
        <w:t>ji</w:t>
      </w:r>
      <w:r w:rsidRPr="00D07A56">
        <w:rPr>
          <w:rFonts w:ascii="Times New Roman" w:eastAsiaTheme="minorHAnsi" w:hAnsi="Times New Roman" w:cs="Times New Roman"/>
          <w:bCs/>
          <w:iCs/>
          <w:sz w:val="24"/>
          <w:szCs w:val="24"/>
        </w:rPr>
        <w:t>s turės būti pristatytas adresu Saulėtekio al. 11, LT-10223 Vilnius, Lietuva; pavyzdys pateikiamas supakuotas; ant pakuotės užrašomas prekės pavadinimas, perkančiosios organizacijos pavadinimas, adresas, tiekėjo pavadinimas ir adresas.</w:t>
      </w:r>
      <w:r w:rsidR="008E28F8" w:rsidRPr="00D07A56">
        <w:rPr>
          <w:rFonts w:ascii="Times New Roman" w:eastAsiaTheme="minorHAnsi" w:hAnsi="Times New Roman" w:cs="Times New Roman"/>
          <w:bCs/>
          <w:iCs/>
          <w:sz w:val="24"/>
          <w:szCs w:val="24"/>
        </w:rPr>
        <w:t xml:space="preserve"> </w:t>
      </w:r>
      <w:r w:rsidR="00FE7809" w:rsidRPr="00D07A56">
        <w:rPr>
          <w:rFonts w:ascii="Times New Roman" w:eastAsiaTheme="minorHAnsi" w:hAnsi="Times New Roman" w:cs="Times New Roman"/>
          <w:bCs/>
          <w:iCs/>
          <w:sz w:val="24"/>
          <w:szCs w:val="24"/>
        </w:rPr>
        <w:t xml:space="preserve">Tokiu atveju, jeigu prašoma </w:t>
      </w:r>
      <w:r w:rsidR="002C423B" w:rsidRPr="00D07A56">
        <w:rPr>
          <w:rFonts w:ascii="Times New Roman" w:eastAsiaTheme="minorHAnsi" w:hAnsi="Times New Roman" w:cs="Times New Roman"/>
          <w:bCs/>
          <w:iCs/>
          <w:sz w:val="24"/>
          <w:szCs w:val="24"/>
        </w:rPr>
        <w:t xml:space="preserve">pateikti </w:t>
      </w:r>
      <w:r w:rsidR="00FE7809" w:rsidRPr="00D07A56">
        <w:rPr>
          <w:rFonts w:ascii="Times New Roman" w:eastAsiaTheme="minorHAnsi" w:hAnsi="Times New Roman" w:cs="Times New Roman"/>
          <w:bCs/>
          <w:iCs/>
          <w:sz w:val="24"/>
          <w:szCs w:val="24"/>
        </w:rPr>
        <w:t>vaizdo įraš</w:t>
      </w:r>
      <w:r w:rsidR="002C423B" w:rsidRPr="00D07A56">
        <w:rPr>
          <w:rFonts w:ascii="Times New Roman" w:eastAsiaTheme="minorHAnsi" w:hAnsi="Times New Roman" w:cs="Times New Roman"/>
          <w:bCs/>
          <w:iCs/>
          <w:sz w:val="24"/>
          <w:szCs w:val="24"/>
        </w:rPr>
        <w:t>ą</w:t>
      </w:r>
      <w:r w:rsidR="00FE7809" w:rsidRPr="00D07A56">
        <w:rPr>
          <w:rFonts w:ascii="Times New Roman" w:eastAsiaTheme="minorHAnsi" w:hAnsi="Times New Roman" w:cs="Times New Roman"/>
          <w:bCs/>
          <w:iCs/>
          <w:sz w:val="24"/>
          <w:szCs w:val="24"/>
        </w:rPr>
        <w:t>, šis vaizdo įrašas (</w:t>
      </w:r>
      <w:proofErr w:type="spellStart"/>
      <w:r w:rsidR="00FE7809" w:rsidRPr="00D07A56">
        <w:rPr>
          <w:rFonts w:ascii="Times New Roman" w:eastAsiaTheme="minorHAnsi" w:hAnsi="Times New Roman" w:cs="Times New Roman"/>
          <w:bCs/>
          <w:iCs/>
          <w:sz w:val="24"/>
          <w:szCs w:val="24"/>
        </w:rPr>
        <w:t>video</w:t>
      </w:r>
      <w:proofErr w:type="spellEnd"/>
      <w:r w:rsidR="00FE7809" w:rsidRPr="00D07A56">
        <w:rPr>
          <w:rFonts w:ascii="Times New Roman" w:eastAsiaTheme="minorHAnsi" w:hAnsi="Times New Roman" w:cs="Times New Roman"/>
          <w:bCs/>
          <w:iCs/>
          <w:sz w:val="24"/>
          <w:szCs w:val="24"/>
        </w:rPr>
        <w:t xml:space="preserve"> medžiaga) turi būti pateikiama CVP IS ar kitomis priemonėmis priimtinu formatu. Vaizdo įraše turi būti pateikta informacija, įrodanti, kad siūlomas įrenginys yra </w:t>
      </w:r>
      <w:r w:rsidR="008E28F8" w:rsidRPr="00D07A56">
        <w:rPr>
          <w:rFonts w:ascii="Times New Roman" w:eastAsiaTheme="minorHAnsi" w:hAnsi="Times New Roman"/>
          <w:color w:val="000000"/>
          <w:sz w:val="24"/>
          <w:szCs w:val="24"/>
        </w:rPr>
        <w:t>serijinės gamybos</w:t>
      </w:r>
      <w:r w:rsidR="00FE7809" w:rsidRPr="00D07A56">
        <w:rPr>
          <w:rFonts w:ascii="Times New Roman" w:eastAsiaTheme="minorHAnsi" w:hAnsi="Times New Roman"/>
          <w:color w:val="000000"/>
          <w:sz w:val="24"/>
          <w:szCs w:val="24"/>
        </w:rPr>
        <w:t>, įrenginio</w:t>
      </w:r>
      <w:r w:rsidR="008E28F8" w:rsidRPr="00D07A56">
        <w:rPr>
          <w:rFonts w:ascii="Times New Roman" w:eastAsiaTheme="minorHAnsi" w:hAnsi="Times New Roman"/>
          <w:color w:val="000000"/>
          <w:sz w:val="24"/>
          <w:szCs w:val="24"/>
        </w:rPr>
        <w:t xml:space="preserve"> techniniai rodikliai atitinka techninėje specifikacijoje </w:t>
      </w:r>
      <w:r w:rsidR="00FE7809" w:rsidRPr="00D07A56">
        <w:rPr>
          <w:rFonts w:ascii="Times New Roman" w:eastAsiaTheme="minorHAnsi" w:hAnsi="Times New Roman"/>
          <w:color w:val="000000"/>
          <w:sz w:val="24"/>
          <w:szCs w:val="24"/>
        </w:rPr>
        <w:t xml:space="preserve">(Specialiųjų pirkimo sąlygų 2 priedas) </w:t>
      </w:r>
      <w:r w:rsidR="008E28F8" w:rsidRPr="00D07A56">
        <w:rPr>
          <w:rFonts w:ascii="Times New Roman" w:eastAsiaTheme="minorHAnsi" w:hAnsi="Times New Roman"/>
          <w:color w:val="000000"/>
          <w:sz w:val="24"/>
          <w:szCs w:val="24"/>
        </w:rPr>
        <w:t>nurodytus minimalius reikalavimus</w:t>
      </w:r>
      <w:r w:rsidR="00FE7809" w:rsidRPr="00D07A56">
        <w:rPr>
          <w:rFonts w:ascii="Times New Roman" w:eastAsiaTheme="minorHAnsi" w:hAnsi="Times New Roman"/>
          <w:color w:val="000000"/>
          <w:sz w:val="24"/>
          <w:szCs w:val="24"/>
        </w:rPr>
        <w:t xml:space="preserve">. </w:t>
      </w:r>
    </w:p>
    <w:p w14:paraId="371F6819" w14:textId="035DE3A5" w:rsidR="00F771C1" w:rsidRPr="00D07A56" w:rsidRDefault="00F771C1" w:rsidP="00FE7809">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 xml:space="preserve"> 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D07A56"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D07A56"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D07A56"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D07A56"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sudaroma pirkimo sutartis;</w:t>
      </w:r>
    </w:p>
    <w:p w14:paraId="4AA88B89" w14:textId="77777777" w:rsidR="00F771C1" w:rsidRPr="00D07A56"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D07A56">
        <w:rPr>
          <w:rFonts w:ascii="Times New Roman" w:eastAsiaTheme="minorHAnsi" w:hAnsi="Times New Roman" w:cs="Times New Roman"/>
          <w:bCs/>
          <w:iCs/>
          <w:sz w:val="24"/>
          <w:szCs w:val="24"/>
        </w:rPr>
        <w:t>buvo nutrauktos pirkimo procedūros arba pirkimas pasibaigia dėl kitų priežasčių.</w:t>
      </w:r>
    </w:p>
    <w:p w14:paraId="0228CFFB" w14:textId="2F384161" w:rsidR="00F771C1" w:rsidRPr="00901EC3" w:rsidRDefault="00F771C1" w:rsidP="00F771C1">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t>Prek</w:t>
      </w:r>
      <w:r w:rsidR="002C423B">
        <w:rPr>
          <w:rFonts w:ascii="Times New Roman" w:hAnsi="Times New Roman" w:cs="Times New Roman"/>
          <w:sz w:val="24"/>
          <w:szCs w:val="24"/>
        </w:rPr>
        <w:t xml:space="preserve">ės </w:t>
      </w:r>
      <w:r w:rsidRPr="00901EC3">
        <w:rPr>
          <w:rFonts w:ascii="Times New Roman" w:hAnsi="Times New Roman" w:cs="Times New Roman"/>
          <w:sz w:val="24"/>
          <w:szCs w:val="24"/>
        </w:rPr>
        <w:t>pavyzdži</w:t>
      </w:r>
      <w:r w:rsidR="002C423B">
        <w:rPr>
          <w:rFonts w:ascii="Times New Roman" w:hAnsi="Times New Roman" w:cs="Times New Roman"/>
          <w:sz w:val="24"/>
          <w:szCs w:val="24"/>
        </w:rPr>
        <w:t>o</w:t>
      </w:r>
      <w:r w:rsidRPr="00901EC3">
        <w:rPr>
          <w:rFonts w:ascii="Times New Roman" w:hAnsi="Times New Roman" w:cs="Times New Roman"/>
          <w:sz w:val="24"/>
          <w:szCs w:val="24"/>
        </w:rPr>
        <w:t xml:space="preserve"> grąžinimo ir, jei reikia, draudimo išlaidas dengia tiekėjas. Jeigu prek</w:t>
      </w:r>
      <w:r w:rsidR="002C423B">
        <w:rPr>
          <w:rFonts w:ascii="Times New Roman" w:hAnsi="Times New Roman" w:cs="Times New Roman"/>
          <w:sz w:val="24"/>
          <w:szCs w:val="24"/>
        </w:rPr>
        <w:t>ės</w:t>
      </w:r>
      <w:r w:rsidRPr="00901EC3">
        <w:rPr>
          <w:rFonts w:ascii="Times New Roman" w:hAnsi="Times New Roman" w:cs="Times New Roman"/>
          <w:sz w:val="24"/>
          <w:szCs w:val="24"/>
        </w:rPr>
        <w:t xml:space="preserve"> pavyzd</w:t>
      </w:r>
      <w:r w:rsidR="002C423B">
        <w:rPr>
          <w:rFonts w:ascii="Times New Roman" w:hAnsi="Times New Roman" w:cs="Times New Roman"/>
          <w:sz w:val="24"/>
          <w:szCs w:val="24"/>
        </w:rPr>
        <w:t>ys</w:t>
      </w:r>
      <w:r w:rsidRPr="00901EC3">
        <w:rPr>
          <w:rFonts w:ascii="Times New Roman" w:hAnsi="Times New Roman" w:cs="Times New Roman"/>
          <w:sz w:val="24"/>
          <w:szCs w:val="24"/>
        </w:rPr>
        <w:t xml:space="preserve"> bus sugadint</w:t>
      </w:r>
      <w:r w:rsidR="002C423B">
        <w:rPr>
          <w:rFonts w:ascii="Times New Roman" w:hAnsi="Times New Roman" w:cs="Times New Roman"/>
          <w:sz w:val="24"/>
          <w:szCs w:val="24"/>
        </w:rPr>
        <w:t>as</w:t>
      </w:r>
      <w:r w:rsidRPr="00901EC3">
        <w:rPr>
          <w:rFonts w:ascii="Times New Roman" w:hAnsi="Times New Roman" w:cs="Times New Roman"/>
          <w:sz w:val="24"/>
          <w:szCs w:val="24"/>
        </w:rPr>
        <w:t xml:space="preserve"> ar sunaikint</w:t>
      </w:r>
      <w:r w:rsidR="002C423B">
        <w:rPr>
          <w:rFonts w:ascii="Times New Roman" w:hAnsi="Times New Roman" w:cs="Times New Roman"/>
          <w:sz w:val="24"/>
          <w:szCs w:val="24"/>
        </w:rPr>
        <w:t>as</w:t>
      </w:r>
      <w:r w:rsidRPr="00901EC3">
        <w:rPr>
          <w:rFonts w:ascii="Times New Roman" w:hAnsi="Times New Roman" w:cs="Times New Roman"/>
          <w:sz w:val="24"/>
          <w:szCs w:val="24"/>
        </w:rPr>
        <w:t xml:space="preserve"> dėl Perkančiosios organizacijos veiksmų ar kaltės, Perkančioji organizacija apmokės tiekėj</w:t>
      </w:r>
      <w:r w:rsidR="002C423B">
        <w:rPr>
          <w:rFonts w:ascii="Times New Roman" w:hAnsi="Times New Roman" w:cs="Times New Roman"/>
          <w:sz w:val="24"/>
          <w:szCs w:val="24"/>
        </w:rPr>
        <w:t>ui</w:t>
      </w:r>
      <w:r w:rsidRPr="00901EC3">
        <w:rPr>
          <w:rFonts w:ascii="Times New Roman" w:hAnsi="Times New Roman" w:cs="Times New Roman"/>
          <w:sz w:val="24"/>
          <w:szCs w:val="24"/>
        </w:rPr>
        <w:t xml:space="preserve"> už </w:t>
      </w:r>
      <w:r w:rsidR="002C423B">
        <w:rPr>
          <w:rFonts w:ascii="Times New Roman" w:hAnsi="Times New Roman" w:cs="Times New Roman"/>
          <w:sz w:val="24"/>
          <w:szCs w:val="24"/>
        </w:rPr>
        <w:t xml:space="preserve">sugadintą </w:t>
      </w:r>
      <w:r w:rsidRPr="00901EC3">
        <w:rPr>
          <w:rFonts w:ascii="Times New Roman" w:hAnsi="Times New Roman" w:cs="Times New Roman"/>
          <w:sz w:val="24"/>
          <w:szCs w:val="24"/>
        </w:rPr>
        <w:t>pavyzd</w:t>
      </w:r>
      <w:r w:rsidR="002C423B">
        <w:rPr>
          <w:rFonts w:ascii="Times New Roman" w:hAnsi="Times New Roman" w:cs="Times New Roman"/>
          <w:sz w:val="24"/>
          <w:szCs w:val="24"/>
        </w:rPr>
        <w:t>į</w:t>
      </w:r>
      <w:r w:rsidRPr="00901EC3">
        <w:rPr>
          <w:rFonts w:ascii="Times New Roman" w:hAnsi="Times New Roman" w:cs="Times New Roman"/>
          <w:sz w:val="24"/>
          <w:szCs w:val="24"/>
        </w:rPr>
        <w:t xml:space="preserve"> </w:t>
      </w:r>
      <w:r w:rsidR="002C423B">
        <w:rPr>
          <w:rFonts w:ascii="Times New Roman" w:hAnsi="Times New Roman" w:cs="Times New Roman"/>
          <w:sz w:val="24"/>
          <w:szCs w:val="24"/>
        </w:rPr>
        <w:t>tiekėjo</w:t>
      </w:r>
      <w:r w:rsidRPr="00901EC3">
        <w:rPr>
          <w:rFonts w:ascii="Times New Roman" w:hAnsi="Times New Roman" w:cs="Times New Roman"/>
          <w:sz w:val="24"/>
          <w:szCs w:val="24"/>
        </w:rPr>
        <w:t xml:space="preserve">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622946">
      <w:pPr>
        <w:pStyle w:val="Heading1"/>
        <w:numPr>
          <w:ilvl w:val="0"/>
          <w:numId w:val="8"/>
        </w:numPr>
        <w:tabs>
          <w:tab w:val="left" w:pos="0"/>
          <w:tab w:val="left" w:pos="567"/>
        </w:tabs>
        <w:spacing w:before="0" w:after="0"/>
        <w:ind w:left="0" w:firstLine="0"/>
        <w:contextualSpacing/>
        <w:rPr>
          <w:rFonts w:ascii="Times New Roman" w:hAnsi="Times New Roman" w:cs="Times New Roman"/>
          <w:b/>
          <w:sz w:val="24"/>
          <w:szCs w:val="24"/>
        </w:rPr>
      </w:pPr>
      <w:bookmarkStart w:id="48" w:name="_Toc163825805"/>
      <w:bookmarkStart w:id="49" w:name="_Toc163826085"/>
      <w:bookmarkStart w:id="50" w:name="_Toc164068665"/>
      <w:bookmarkStart w:id="51" w:name="_Ref39425999"/>
      <w:bookmarkStart w:id="52" w:name="_Ref39426005"/>
      <w:bookmarkStart w:id="53" w:name="_Toc164068666"/>
      <w:bookmarkEnd w:id="48"/>
      <w:bookmarkEnd w:id="49"/>
      <w:bookmarkEnd w:id="50"/>
      <w:r w:rsidRPr="00622946">
        <w:rPr>
          <w:rFonts w:ascii="Times New Roman" w:hAnsi="Times New Roman" w:cs="Times New Roman"/>
          <w:b/>
          <w:sz w:val="24"/>
          <w:szCs w:val="24"/>
        </w:rPr>
        <w:lastRenderedPageBreak/>
        <w:t>Sutarties sudarymas</w:t>
      </w:r>
      <w:bookmarkEnd w:id="51"/>
      <w:bookmarkEnd w:id="52"/>
      <w:bookmarkEnd w:id="53"/>
    </w:p>
    <w:p w14:paraId="4E95FF49" w14:textId="524350D0" w:rsidR="00B25A53" w:rsidRPr="00622946" w:rsidRDefault="00B02B4C" w:rsidP="00622946">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622946">
      <w:pPr>
        <w:numPr>
          <w:ilvl w:val="1"/>
          <w:numId w:val="9"/>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622946">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2"/>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4" w:name="_Toc164068667"/>
      <w:r w:rsidRPr="00622946">
        <w:rPr>
          <w:rFonts w:ascii="Times New Roman" w:hAnsi="Times New Roman" w:cs="Times New Roman"/>
          <w:color w:val="0070C0"/>
          <w:sz w:val="24"/>
          <w:szCs w:val="24"/>
        </w:rPr>
        <w:lastRenderedPageBreak/>
        <w:t>Pirkimo sąlygų 1 priedas „Terminai“</w:t>
      </w:r>
      <w:bookmarkEnd w:id="54"/>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A8477E">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A8477E">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A8477E">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A8477E">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A8477E">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A8477E">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A8477E">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A8477E">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D07A56" w:rsidRDefault="00F771C1" w:rsidP="00622946">
            <w:pPr>
              <w:spacing w:after="0" w:line="240" w:lineRule="auto"/>
              <w:jc w:val="both"/>
              <w:rPr>
                <w:rFonts w:ascii="Times New Roman" w:hAnsi="Times New Roman" w:cs="Times New Roman"/>
                <w:iCs/>
                <w:color w:val="00B050"/>
                <w:sz w:val="24"/>
                <w:szCs w:val="24"/>
              </w:rPr>
            </w:pPr>
            <w:r w:rsidRPr="00D07A56">
              <w:rPr>
                <w:rFonts w:ascii="Times New Roman" w:hAnsi="Times New Roman" w:cs="Times New Roman"/>
                <w:iCs/>
                <w:sz w:val="24"/>
                <w:szCs w:val="24"/>
              </w:rPr>
              <w:t xml:space="preserve">Pasiūlymų vertinimo metu, perkančiajai organizacijai paprašius, per </w:t>
            </w:r>
            <w:r w:rsidRPr="00D07A56">
              <w:rPr>
                <w:rFonts w:ascii="Times New Roman" w:hAnsi="Times New Roman" w:cs="Times New Roman"/>
                <w:b/>
                <w:bCs/>
                <w:iCs/>
                <w:sz w:val="24"/>
                <w:szCs w:val="24"/>
              </w:rPr>
              <w:t>7 (septynias) darbo dienas</w:t>
            </w:r>
            <w:r w:rsidRPr="00D07A56">
              <w:rPr>
                <w:rFonts w:ascii="Times New Roman" w:hAnsi="Times New Roman" w:cs="Times New Roman"/>
                <w:iCs/>
                <w:sz w:val="24"/>
                <w:szCs w:val="24"/>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A8477E">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w:t>
            </w:r>
            <w:r w:rsidRPr="00622946">
              <w:rPr>
                <w:rFonts w:ascii="Times New Roman" w:hAnsi="Times New Roman" w:cs="Times New Roman"/>
                <w:iCs/>
                <w:sz w:val="24"/>
                <w:szCs w:val="24"/>
                <w:lang w:eastAsia="en-US"/>
              </w:rPr>
              <w:lastRenderedPageBreak/>
              <w:t>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A8477E">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A8477E">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A8477E">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A8477E">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A8477E">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atvejais – taip pat priežastis, dėl kurių </w:t>
            </w:r>
            <w:r w:rsidRPr="00622946">
              <w:rPr>
                <w:color w:val="000000"/>
                <w:lang w:eastAsia="en-US"/>
              </w:rPr>
              <w:lastRenderedPageBreak/>
              <w:t>priimtas sprendimas dėl nelygiavertiškumo arba sprendimas, kad prekės, paslaugos ar darbai neatitinka nurodyto rezultatų apibūdinimo ar funkcinių reikalavimų.</w:t>
            </w:r>
          </w:p>
        </w:tc>
      </w:tr>
      <w:tr w:rsidR="00FA16A5" w:rsidRPr="00622946" w14:paraId="5C130F00" w14:textId="77777777" w:rsidTr="00A8477E">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A8477E">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A8477E">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neišnagrinėja jai pateiktos pretenzijos, </w:t>
            </w:r>
            <w:r w:rsidRPr="00622946">
              <w:rPr>
                <w:rFonts w:ascii="Times New Roman" w:hAnsi="Times New Roman" w:cs="Times New Roman"/>
                <w:sz w:val="24"/>
                <w:szCs w:val="24"/>
              </w:rPr>
              <w:lastRenderedPageBreak/>
              <w:t>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turėjo raštu pranešti apie priimtą sprendimą </w:t>
            </w:r>
            <w:r w:rsidRPr="00622946">
              <w:rPr>
                <w:rFonts w:ascii="Times New Roman" w:hAnsi="Times New Roman" w:cs="Times New Roman"/>
                <w:sz w:val="24"/>
                <w:szCs w:val="24"/>
                <w:lang w:eastAsia="en-US"/>
              </w:rPr>
              <w:lastRenderedPageBreak/>
              <w:t>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A8477E">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A8477E">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2095E51C" w:rsidR="00B83FD5" w:rsidRPr="00622946" w:rsidRDefault="000215D6" w:rsidP="00622946">
      <w:pPr>
        <w:pStyle w:val="Heading1"/>
        <w:spacing w:before="0" w:after="0"/>
        <w:jc w:val="right"/>
        <w:rPr>
          <w:rFonts w:ascii="Times New Roman" w:hAnsi="Times New Roman" w:cs="Times New Roman"/>
          <w:sz w:val="24"/>
          <w:szCs w:val="24"/>
        </w:rPr>
      </w:pPr>
      <w:bookmarkStart w:id="55" w:name="_Ref38539939"/>
      <w:bookmarkStart w:id="56" w:name="_Ref38541068"/>
      <w:bookmarkStart w:id="57" w:name="_Ref38885053"/>
      <w:bookmarkStart w:id="58" w:name="_Ref38899023"/>
      <w:bookmarkStart w:id="59" w:name="_Toc164068668"/>
      <w:r w:rsidRPr="00622946">
        <w:rPr>
          <w:rFonts w:ascii="Times New Roman" w:eastAsia="Calibri" w:hAnsi="Times New Roman" w:cs="Times New Roman"/>
          <w:color w:val="0070C0"/>
          <w:sz w:val="24"/>
          <w:szCs w:val="24"/>
        </w:rPr>
        <w:lastRenderedPageBreak/>
        <w:t>Pirkimo sąlygų 2 priedas „Techninė specifikacija“</w:t>
      </w:r>
      <w:bookmarkEnd w:id="55"/>
      <w:bookmarkEnd w:id="56"/>
      <w:bookmarkEnd w:id="57"/>
      <w:bookmarkEnd w:id="58"/>
      <w:bookmarkEnd w:id="59"/>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60" w:name="_Hlk164076568"/>
      <w:bookmarkStart w:id="61" w:name="_Hlk136860407"/>
    </w:p>
    <w:p w14:paraId="34668C7C" w14:textId="3CAA01C9"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61133EA1" w14:textId="4A191C9E" w:rsidR="003F6C3D" w:rsidRPr="003F6C3D" w:rsidRDefault="003F6C3D" w:rsidP="003F6C3D">
      <w:pPr>
        <w:jc w:val="center"/>
        <w:rPr>
          <w:rFonts w:ascii="Times New Roman" w:hAnsi="Times New Roman" w:cs="Times New Roman"/>
          <w:b/>
          <w:bCs/>
          <w:sz w:val="24"/>
          <w:szCs w:val="24"/>
        </w:rPr>
      </w:pPr>
      <w:r w:rsidRPr="003F6C3D">
        <w:rPr>
          <w:rFonts w:ascii="Times New Roman" w:hAnsi="Times New Roman" w:cs="Times New Roman"/>
          <w:b/>
          <w:bCs/>
          <w:sz w:val="24"/>
          <w:szCs w:val="24"/>
        </w:rPr>
        <w:t>(pateikiama atskiru priedu)</w:t>
      </w:r>
    </w:p>
    <w:p w14:paraId="0406BDFA" w14:textId="11B2E282" w:rsidR="00680ABA" w:rsidRDefault="00680ABA" w:rsidP="004265C5">
      <w:pPr>
        <w:spacing w:after="0" w:line="240" w:lineRule="auto"/>
        <w:jc w:val="both"/>
        <w:rPr>
          <w:rFonts w:ascii="Times New Roman" w:hAnsi="Times New Roman" w:cs="Times New Roman"/>
          <w:bCs/>
          <w:sz w:val="24"/>
          <w:szCs w:val="24"/>
        </w:rPr>
      </w:pP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2" w:name="_Toc164068669"/>
      <w:bookmarkStart w:id="63" w:name="_Ref38285444"/>
      <w:bookmarkStart w:id="64" w:name="_Ref38291496"/>
      <w:bookmarkEnd w:id="60"/>
      <w:bookmarkEnd w:id="61"/>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42020908" w:rsidR="000215D6" w:rsidRPr="00622946" w:rsidRDefault="000215D6" w:rsidP="00622946">
      <w:pPr>
        <w:pStyle w:val="Heading1"/>
        <w:spacing w:before="0" w:after="0"/>
        <w:jc w:val="right"/>
        <w:rPr>
          <w:rFonts w:ascii="Times New Roman" w:hAnsi="Times New Roman" w:cs="Times New Roman"/>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2"/>
    </w:p>
    <w:bookmarkEnd w:id="63"/>
    <w:bookmarkEnd w:id="64"/>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 xml:space="preserve">mentai, kuriuos turi pateikti </w:t>
      </w:r>
      <w:r w:rsidRPr="000D17F6">
        <w:rPr>
          <w:rFonts w:ascii="Times New Roman"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0"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9C0A92">
      <w:pPr>
        <w:pStyle w:val="NoSpacing"/>
        <w:numPr>
          <w:ilvl w:val="1"/>
          <w:numId w:val="28"/>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9C0A92">
      <w:pPr>
        <w:pStyle w:val="ListParagraph"/>
        <w:numPr>
          <w:ilvl w:val="1"/>
          <w:numId w:val="28"/>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622946">
              <w:rPr>
                <w:rFonts w:ascii="Times New Roman" w:hAnsi="Times New Roman" w:cs="Times New Roman"/>
                <w:sz w:val="24"/>
                <w:szCs w:val="24"/>
                <w:lang w:eastAsia="en-US"/>
              </w:rPr>
              <w:lastRenderedPageBreak/>
              <w:t xml:space="preserve">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622946">
            <w:pPr>
              <w:pStyle w:val="NoSpacing"/>
              <w:numPr>
                <w:ilvl w:val="0"/>
                <w:numId w:val="16"/>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262D430E"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-12-10 kreipėsi į tiekėją prašydama iki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-12-14 pateikti įrodančius dokumentus, jie turi būti išduoti ne anksčiau kaip 180 dienų, jas skaičiuojant atgal nuo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 xml:space="preserve">-12-14.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622946">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840C8BA"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9C0A92">
            <w:pPr>
              <w:pStyle w:val="NoSpacing"/>
              <w:numPr>
                <w:ilvl w:val="0"/>
                <w:numId w:val="17"/>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4EF905EF"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-12-10 kreipėsi į tiekėją prašydama iki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-12-14 pateikti įrodančius dokumentus, jie turi būti išduoti ne anksčiau kaip 120 dienų, jas skaičiuojant atgal nuo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 xml:space="preserve">-12-14.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60AB2BAE" w14:textId="77777777" w:rsidR="009C0A92" w:rsidRPr="00622946" w:rsidRDefault="009C0A92" w:rsidP="009C0A92">
            <w:pPr>
              <w:pStyle w:val="NoSpacing"/>
              <w:numPr>
                <w:ilvl w:val="0"/>
                <w:numId w:val="17"/>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6996CBE2"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 xml:space="preserve">tos dienos, kai tiekėjas perkančiosios </w:t>
            </w:r>
            <w:r w:rsidRPr="00622946">
              <w:rPr>
                <w:rFonts w:ascii="Times New Roman" w:eastAsia="Times New Roman" w:hAnsi="Times New Roman" w:cs="Times New Roman"/>
                <w:i/>
                <w:iCs/>
                <w:sz w:val="24"/>
                <w:szCs w:val="24"/>
                <w:lang w:eastAsia="en-US"/>
              </w:rPr>
              <w:lastRenderedPageBreak/>
              <w:t>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-12-10 kreipėsi į tiekėją prašydama iki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-12-14 pateikti įrodančius dokumentus, jie turi būti išduoti ne anksčiau kaip 120 dienų, jas skaičiuojant atgal nuo 202</w:t>
            </w:r>
            <w:r w:rsidR="003D11B4">
              <w:rPr>
                <w:rFonts w:ascii="Times New Roman" w:hAnsi="Times New Roman" w:cs="Times New Roman"/>
                <w:i/>
                <w:iCs/>
                <w:color w:val="000000" w:themeColor="text1"/>
                <w:sz w:val="24"/>
                <w:szCs w:val="24"/>
                <w:lang w:eastAsia="en-US"/>
              </w:rPr>
              <w:t>4</w:t>
            </w:r>
            <w:r w:rsidRPr="00622946">
              <w:rPr>
                <w:rFonts w:ascii="Times New Roman" w:hAnsi="Times New Roman" w:cs="Times New Roman"/>
                <w:i/>
                <w:iCs/>
                <w:color w:val="000000" w:themeColor="text1"/>
                <w:sz w:val="24"/>
                <w:szCs w:val="24"/>
                <w:lang w:eastAsia="en-US"/>
              </w:rPr>
              <w:t>-12-14.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w:t>
            </w:r>
            <w:r w:rsidRPr="00622946">
              <w:rPr>
                <w:rFonts w:ascii="Times New Roman" w:hAnsi="Times New Roman" w:cs="Times New Roman"/>
                <w:sz w:val="24"/>
                <w:szCs w:val="24"/>
                <w:lang w:eastAsia="en-US"/>
              </w:rPr>
              <w:lastRenderedPageBreak/>
              <w:t xml:space="preserve">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F914A1" w:rsidP="009C0A92">
            <w:pPr>
              <w:spacing w:after="0" w:line="240" w:lineRule="auto"/>
              <w:jc w:val="both"/>
              <w:rPr>
                <w:rFonts w:ascii="Times New Roman" w:hAnsi="Times New Roman" w:cs="Times New Roman"/>
                <w:b/>
                <w:bCs/>
                <w:sz w:val="24"/>
                <w:szCs w:val="24"/>
                <w:lang w:eastAsia="en-US"/>
              </w:rPr>
            </w:pPr>
            <w:hyperlink r:id="rId12"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ėmėsi neteisėtų veiksmų, siekdamas daryti įtaką perkančiosios organizacijos sprendimams, </w:t>
            </w:r>
            <w:r w:rsidRPr="00622946">
              <w:rPr>
                <w:rFonts w:ascii="Times New Roman" w:hAnsi="Times New Roman" w:cs="Times New Roman"/>
                <w:sz w:val="24"/>
                <w:szCs w:val="24"/>
                <w:lang w:eastAsia="en-US"/>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622946">
              <w:rPr>
                <w:rFonts w:ascii="Times New Roman" w:hAnsi="Times New Roman" w:cs="Times New Roman"/>
                <w:sz w:val="24"/>
                <w:szCs w:val="24"/>
                <w:lang w:eastAsia="en-US"/>
              </w:rPr>
              <w:lastRenderedPageBreak/>
              <w:t xml:space="preserve">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F914A1" w:rsidP="009C0A92">
            <w:pPr>
              <w:spacing w:after="0" w:line="240" w:lineRule="auto"/>
              <w:rPr>
                <w:rFonts w:ascii="Times New Roman" w:eastAsia="Calibri" w:hAnsi="Times New Roman" w:cs="Times New Roman"/>
                <w:i/>
                <w:iCs/>
                <w:sz w:val="24"/>
                <w:szCs w:val="24"/>
                <w:lang w:eastAsia="en-US"/>
              </w:rPr>
            </w:pPr>
            <w:hyperlink r:id="rId13"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F914A1" w:rsidP="009C0A92">
            <w:pPr>
              <w:spacing w:after="0" w:line="240" w:lineRule="auto"/>
              <w:rPr>
                <w:rFonts w:ascii="Times New Roman" w:hAnsi="Times New Roman" w:cs="Times New Roman"/>
                <w:b/>
                <w:bCs/>
                <w:sz w:val="24"/>
                <w:szCs w:val="24"/>
                <w:lang w:eastAsia="en-US"/>
              </w:rPr>
            </w:pPr>
            <w:hyperlink r:id="rId14"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5" w:name="part_030e6c6c64ba4f96a23474e439d1b80c"/>
            <w:bookmarkEnd w:id="65"/>
            <w:r w:rsidRPr="00622946">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15"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F914A1" w:rsidP="009C0A92">
            <w:pPr>
              <w:pStyle w:val="NoSpacing"/>
              <w:jc w:val="both"/>
              <w:rPr>
                <w:rFonts w:ascii="Times New Roman" w:eastAsia="Times New Roman" w:hAnsi="Times New Roman" w:cs="Times New Roman"/>
                <w:b/>
                <w:bCs/>
                <w:iCs/>
                <w:sz w:val="24"/>
                <w:szCs w:val="24"/>
                <w:lang w:eastAsia="en-US"/>
              </w:rPr>
            </w:pPr>
            <w:hyperlink r:id="rId16"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17"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A847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F914A1" w:rsidP="009C0A92">
            <w:pPr>
              <w:spacing w:after="0" w:line="240" w:lineRule="auto"/>
              <w:jc w:val="both"/>
              <w:rPr>
                <w:rFonts w:ascii="Times New Roman" w:hAnsi="Times New Roman" w:cs="Times New Roman"/>
                <w:bCs/>
                <w:iCs/>
                <w:sz w:val="24"/>
                <w:szCs w:val="24"/>
                <w:lang w:eastAsia="en-US"/>
              </w:rPr>
            </w:pPr>
            <w:hyperlink r:id="rId18"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6" w:name="_Toc163825810"/>
      <w:bookmarkStart w:id="67" w:name="_Toc163826090"/>
      <w:bookmarkStart w:id="68" w:name="_Toc164068670"/>
      <w:r w:rsidRPr="00622946">
        <w:rPr>
          <w:rFonts w:ascii="Times New Roman" w:hAnsi="Times New Roman" w:cs="Times New Roman"/>
          <w:caps/>
          <w:smallCaps/>
          <w:color w:val="404040" w:themeColor="text1" w:themeTint="BF"/>
          <w:spacing w:val="20"/>
          <w:sz w:val="24"/>
          <w:szCs w:val="24"/>
        </w:rPr>
        <w:t>__________</w:t>
      </w:r>
      <w:bookmarkEnd w:id="66"/>
      <w:bookmarkEnd w:id="67"/>
      <w:bookmarkEnd w:id="68"/>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9" w:name="_Ref38291379"/>
      <w:bookmarkStart w:id="70" w:name="_Ref38291394"/>
      <w:bookmarkStart w:id="71" w:name="_Ref38898251"/>
      <w:bookmarkStart w:id="72"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9"/>
      <w:bookmarkEnd w:id="70"/>
      <w:bookmarkEnd w:id="71"/>
      <w:bookmarkEnd w:id="72"/>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36C1F564" w:rsidR="000215D6" w:rsidRPr="00622946" w:rsidRDefault="000215D6" w:rsidP="00622946">
      <w:pPr>
        <w:pStyle w:val="Heading1"/>
        <w:spacing w:before="0" w:after="0"/>
        <w:jc w:val="right"/>
        <w:rPr>
          <w:rFonts w:ascii="Times New Roman" w:hAnsi="Times New Roman" w:cs="Times New Roman"/>
          <w:sz w:val="24"/>
          <w:szCs w:val="24"/>
        </w:rPr>
      </w:pPr>
      <w:bookmarkStart w:id="73" w:name="_Toc164068672"/>
      <w:bookmarkStart w:id="74" w:name="_Ref38540913"/>
      <w:bookmarkStart w:id="75" w:name="_Ref38898051"/>
      <w:bookmarkStart w:id="76"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Pr="00622946">
        <w:rPr>
          <w:rFonts w:ascii="Times New Roman" w:eastAsia="Calibri" w:hAnsi="Times New Roman" w:cs="Times New Roman"/>
          <w:color w:val="0070C0"/>
          <w:sz w:val="24"/>
          <w:szCs w:val="24"/>
        </w:rPr>
        <w:t xml:space="preserve"> priedas „Pasiūlymo forma“</w:t>
      </w:r>
      <w:bookmarkEnd w:id="73"/>
    </w:p>
    <w:bookmarkEnd w:id="74"/>
    <w:bookmarkEnd w:id="75"/>
    <w:bookmarkEnd w:id="76"/>
    <w:p w14:paraId="0E4843F0" w14:textId="06F79C79"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05631081" w14:textId="7A220767" w:rsidR="00B83FD5" w:rsidRPr="00622946" w:rsidRDefault="002E2FF6" w:rsidP="00622946">
      <w:pPr>
        <w:spacing w:after="0" w:line="240" w:lineRule="auto"/>
        <w:jc w:val="center"/>
        <w:rPr>
          <w:rFonts w:ascii="Times New Roman" w:hAnsi="Times New Roman" w:cs="Times New Roman"/>
          <w:b/>
          <w:bCs/>
          <w:caps/>
          <w:sz w:val="24"/>
          <w:szCs w:val="24"/>
        </w:rPr>
      </w:pPr>
      <w:r w:rsidRPr="00622946">
        <w:rPr>
          <w:rFonts w:ascii="Times New Roman" w:hAnsi="Times New Roman" w:cs="Times New Roman"/>
          <w:b/>
          <w:bCs/>
          <w:sz w:val="24"/>
          <w:szCs w:val="24"/>
        </w:rPr>
        <w:t xml:space="preserve">DĖL </w:t>
      </w:r>
      <w:r w:rsidR="003D11B4">
        <w:rPr>
          <w:rFonts w:ascii="Times New Roman" w:hAnsi="Times New Roman" w:cs="Times New Roman"/>
          <w:b/>
          <w:bCs/>
          <w:sz w:val="24"/>
          <w:szCs w:val="24"/>
        </w:rPr>
        <w:t xml:space="preserve">3D SPAUSDINTUVO </w:t>
      </w:r>
      <w:r w:rsidR="00D07A56">
        <w:rPr>
          <w:rFonts w:ascii="Times New Roman" w:hAnsi="Times New Roman" w:cs="Times New Roman"/>
          <w:b/>
          <w:bCs/>
          <w:sz w:val="24"/>
          <w:szCs w:val="24"/>
        </w:rPr>
        <w:t xml:space="preserve">PROTOTIPŲ GAMYBAI </w:t>
      </w:r>
      <w:r w:rsidRPr="00622946">
        <w:rPr>
          <w:rFonts w:ascii="Times New Roman" w:hAnsi="Times New Roman" w:cs="Times New Roman"/>
          <w:b/>
          <w:bCs/>
          <w:sz w:val="24"/>
          <w:szCs w:val="24"/>
        </w:rPr>
        <w:t>PIRKIMO</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7"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7"/>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77777777" w:rsidR="00866452" w:rsidRPr="002D1312" w:rsidRDefault="00866452" w:rsidP="00866452">
      <w:pPr>
        <w:spacing w:after="0" w:line="240" w:lineRule="auto"/>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9"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6F4FBC78" w:rsidR="00952F6F" w:rsidRPr="00622946"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2A09AA" w:rsidRPr="00622946" w14:paraId="192595CF" w14:textId="77777777" w:rsidTr="002A09AA">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247A074"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E36439" w14:textId="5661E109"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88AFA1"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Kiekis</w:t>
            </w:r>
            <w:r w:rsidRPr="00622946">
              <w:rPr>
                <w:rFonts w:eastAsia="Times New Roman"/>
                <w:b/>
                <w:sz w:val="24"/>
                <w:szCs w:val="24"/>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CC693EB" w14:textId="77777777" w:rsidR="002A09AA" w:rsidRPr="00622946" w:rsidRDefault="002A09AA" w:rsidP="00622946">
            <w:pPr>
              <w:spacing w:line="240" w:lineRule="auto"/>
              <w:jc w:val="center"/>
              <w:rPr>
                <w:rFonts w:eastAsia="Times New Roman"/>
                <w:b/>
                <w:sz w:val="24"/>
                <w:szCs w:val="24"/>
                <w:lang w:eastAsia="en-US"/>
              </w:rPr>
            </w:pPr>
            <w:r w:rsidRPr="00622946">
              <w:rPr>
                <w:rFonts w:eastAsia="Times New Roman"/>
                <w:b/>
                <w:sz w:val="24"/>
                <w:szCs w:val="24"/>
                <w:lang w:eastAsia="en-US"/>
              </w:rPr>
              <w:t>Kaina</w:t>
            </w:r>
            <w:r w:rsidRPr="00622946">
              <w:rPr>
                <w:rFonts w:eastAsia="Times New Roman"/>
                <w:b/>
                <w:sz w:val="24"/>
                <w:szCs w:val="24"/>
                <w:lang w:eastAsia="en-US"/>
              </w:rPr>
              <w:br/>
              <w:t>Eur be PVM</w:t>
            </w:r>
          </w:p>
        </w:tc>
      </w:tr>
      <w:tr w:rsidR="002A09AA" w:rsidRPr="00622946" w14:paraId="5712D1C7" w14:textId="77777777" w:rsidTr="002A09AA">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51F0EE5B"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rPr>
              <w:lastRenderedPageBreak/>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F4EFD4"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A15888"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CE1BF2" w14:textId="77777777" w:rsidR="002A09AA" w:rsidRPr="00622946" w:rsidRDefault="002A09AA" w:rsidP="00622946">
            <w:pPr>
              <w:spacing w:line="240" w:lineRule="auto"/>
              <w:jc w:val="center"/>
              <w:rPr>
                <w:rFonts w:eastAsia="Times New Roman"/>
                <w:i/>
                <w:sz w:val="24"/>
                <w:szCs w:val="24"/>
                <w:lang w:eastAsia="en-US"/>
              </w:rPr>
            </w:pPr>
            <w:r w:rsidRPr="00622946">
              <w:rPr>
                <w:rFonts w:eastAsia="Times New Roman"/>
                <w:i/>
                <w:sz w:val="24"/>
                <w:szCs w:val="24"/>
                <w:lang w:eastAsia="en-US"/>
              </w:rPr>
              <w:t>4</w:t>
            </w:r>
          </w:p>
        </w:tc>
      </w:tr>
      <w:tr w:rsidR="002A09AA" w:rsidRPr="00622946" w14:paraId="7C1EE05D" w14:textId="77777777" w:rsidTr="00A8477E">
        <w:tc>
          <w:tcPr>
            <w:tcW w:w="704" w:type="dxa"/>
            <w:tcBorders>
              <w:top w:val="single" w:sz="4" w:space="0" w:color="auto"/>
              <w:left w:val="single" w:sz="4" w:space="0" w:color="auto"/>
              <w:bottom w:val="single" w:sz="4" w:space="0" w:color="auto"/>
              <w:right w:val="single" w:sz="4" w:space="0" w:color="auto"/>
            </w:tcBorders>
            <w:hideMark/>
          </w:tcPr>
          <w:p w14:paraId="0806A859" w14:textId="77777777" w:rsidR="002A09AA" w:rsidRPr="00622946" w:rsidRDefault="002A09AA" w:rsidP="00622946">
            <w:pPr>
              <w:spacing w:line="240" w:lineRule="auto"/>
              <w:jc w:val="center"/>
              <w:rPr>
                <w:rFonts w:eastAsia="Times New Roman"/>
                <w:sz w:val="24"/>
                <w:szCs w:val="24"/>
                <w:lang w:eastAsia="en-GB"/>
              </w:rPr>
            </w:pPr>
            <w:r w:rsidRPr="00622946">
              <w:rPr>
                <w:rFonts w:eastAsia="Times New Roman"/>
                <w:sz w:val="24"/>
                <w:szCs w:val="24"/>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027504C6" w14:textId="4B6A7ABD" w:rsidR="002A09AA" w:rsidRPr="00622946" w:rsidRDefault="00BA18AD" w:rsidP="00622946">
            <w:pPr>
              <w:spacing w:line="240" w:lineRule="auto"/>
              <w:jc w:val="both"/>
              <w:rPr>
                <w:rFonts w:eastAsia="Times New Roman"/>
                <w:sz w:val="24"/>
                <w:szCs w:val="24"/>
                <w:lang w:eastAsia="en-GB"/>
              </w:rPr>
            </w:pPr>
            <w:r>
              <w:rPr>
                <w:rFonts w:eastAsia="Times New Roman"/>
                <w:sz w:val="24"/>
                <w:szCs w:val="24"/>
                <w:lang w:eastAsia="en-GB"/>
              </w:rPr>
              <w:t>3D spausdintuvas</w:t>
            </w:r>
            <w:r w:rsidR="00D07A56">
              <w:rPr>
                <w:rFonts w:eastAsia="Times New Roman"/>
                <w:sz w:val="24"/>
                <w:szCs w:val="24"/>
                <w:lang w:eastAsia="en-GB"/>
              </w:rPr>
              <w:t xml:space="preserve"> prototipų gamybai</w:t>
            </w:r>
          </w:p>
        </w:tc>
        <w:tc>
          <w:tcPr>
            <w:tcW w:w="1418" w:type="dxa"/>
            <w:tcBorders>
              <w:top w:val="single" w:sz="4" w:space="0" w:color="auto"/>
              <w:left w:val="single" w:sz="4" w:space="0" w:color="auto"/>
              <w:bottom w:val="single" w:sz="4" w:space="0" w:color="auto"/>
              <w:right w:val="single" w:sz="4" w:space="0" w:color="auto"/>
            </w:tcBorders>
            <w:hideMark/>
          </w:tcPr>
          <w:p w14:paraId="5E44DA5F" w14:textId="459C1601" w:rsidR="002A09AA" w:rsidRPr="00622946" w:rsidRDefault="00BA2DB4" w:rsidP="00622946">
            <w:pPr>
              <w:spacing w:line="240" w:lineRule="auto"/>
              <w:jc w:val="center"/>
              <w:rPr>
                <w:rFonts w:eastAsia="Times New Roman"/>
                <w:sz w:val="24"/>
                <w:szCs w:val="24"/>
                <w:lang w:eastAsia="en-US"/>
              </w:rPr>
            </w:pPr>
            <w:r>
              <w:rPr>
                <w:rFonts w:eastAsia="Times New Roman"/>
                <w:sz w:val="24"/>
                <w:szCs w:val="24"/>
                <w:lang w:eastAsia="en-US"/>
              </w:rPr>
              <w:t xml:space="preserve">1 </w:t>
            </w:r>
            <w:proofErr w:type="spellStart"/>
            <w:r w:rsidR="002A09AA" w:rsidRPr="00622946">
              <w:rPr>
                <w:rFonts w:eastAsia="Times New Roman"/>
                <w:sz w:val="24"/>
                <w:szCs w:val="24"/>
                <w:lang w:eastAsia="en-US"/>
              </w:rPr>
              <w:t>kompl</w:t>
            </w:r>
            <w:proofErr w:type="spellEnd"/>
            <w:r w:rsidR="002A09AA" w:rsidRPr="00622946">
              <w:rPr>
                <w:rFonts w:eastAsia="Times New Roman"/>
                <w:sz w:val="24"/>
                <w:szCs w:val="24"/>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127A626E" w14:textId="77777777" w:rsidR="002A09AA" w:rsidRPr="00622946" w:rsidRDefault="002A09AA" w:rsidP="00622946">
            <w:pPr>
              <w:spacing w:line="240" w:lineRule="auto"/>
              <w:jc w:val="center"/>
              <w:rPr>
                <w:rFonts w:eastAsia="Times New Roman"/>
                <w:sz w:val="24"/>
                <w:szCs w:val="24"/>
                <w:lang w:eastAsia="en-US"/>
              </w:rPr>
            </w:pPr>
          </w:p>
        </w:tc>
      </w:tr>
      <w:tr w:rsidR="002A09AA" w:rsidRPr="00622946" w14:paraId="08AE88D6" w14:textId="77777777" w:rsidTr="00A8477E">
        <w:tc>
          <w:tcPr>
            <w:tcW w:w="7225" w:type="dxa"/>
            <w:gridSpan w:val="3"/>
            <w:tcBorders>
              <w:top w:val="single" w:sz="4" w:space="0" w:color="auto"/>
              <w:left w:val="single" w:sz="4" w:space="0" w:color="auto"/>
              <w:bottom w:val="single" w:sz="4" w:space="0" w:color="auto"/>
              <w:right w:val="single" w:sz="4" w:space="0" w:color="auto"/>
            </w:tcBorders>
            <w:hideMark/>
          </w:tcPr>
          <w:p w14:paraId="479237C9" w14:textId="77777777" w:rsidR="002A09AA" w:rsidRPr="00622946" w:rsidRDefault="002A09AA" w:rsidP="00622946">
            <w:pPr>
              <w:spacing w:line="240" w:lineRule="auto"/>
              <w:jc w:val="right"/>
              <w:rPr>
                <w:rFonts w:eastAsia="Times New Roman"/>
                <w:sz w:val="24"/>
                <w:szCs w:val="24"/>
                <w:lang w:eastAsia="en-US"/>
              </w:rPr>
            </w:pPr>
            <w:r w:rsidRPr="00622946">
              <w:rPr>
                <w:rFonts w:eastAsia="Times New Roman"/>
                <w:b/>
                <w:i/>
                <w:sz w:val="24"/>
                <w:szCs w:val="24"/>
                <w:lang w:eastAsia="en-US"/>
              </w:rPr>
              <w:t>Pasiūlymo kaina, Eur be PVM:</w:t>
            </w:r>
          </w:p>
        </w:tc>
        <w:tc>
          <w:tcPr>
            <w:tcW w:w="2835" w:type="dxa"/>
            <w:gridSpan w:val="2"/>
            <w:tcBorders>
              <w:top w:val="single" w:sz="4" w:space="0" w:color="auto"/>
              <w:left w:val="single" w:sz="4" w:space="0" w:color="auto"/>
              <w:bottom w:val="single" w:sz="4" w:space="0" w:color="auto"/>
              <w:right w:val="single" w:sz="4" w:space="0" w:color="auto"/>
            </w:tcBorders>
          </w:tcPr>
          <w:p w14:paraId="4F72F85B" w14:textId="77777777" w:rsidR="002A09AA" w:rsidRPr="00622946" w:rsidRDefault="002A09AA" w:rsidP="00622946">
            <w:pPr>
              <w:spacing w:line="240" w:lineRule="auto"/>
              <w:jc w:val="center"/>
              <w:rPr>
                <w:rFonts w:eastAsia="Times New Roman"/>
                <w:sz w:val="24"/>
                <w:szCs w:val="24"/>
                <w:lang w:eastAsia="en-US"/>
              </w:rPr>
            </w:pPr>
          </w:p>
        </w:tc>
      </w:tr>
      <w:tr w:rsidR="002A09AA" w:rsidRPr="00622946" w14:paraId="695CF610" w14:textId="77777777" w:rsidTr="00C6563B">
        <w:tc>
          <w:tcPr>
            <w:tcW w:w="7225" w:type="dxa"/>
            <w:gridSpan w:val="3"/>
            <w:tcBorders>
              <w:top w:val="single" w:sz="4" w:space="0" w:color="auto"/>
              <w:left w:val="single" w:sz="4" w:space="0" w:color="auto"/>
              <w:bottom w:val="single" w:sz="4" w:space="0" w:color="auto"/>
              <w:right w:val="single" w:sz="4" w:space="0" w:color="auto"/>
            </w:tcBorders>
            <w:hideMark/>
          </w:tcPr>
          <w:p w14:paraId="2AC4420D" w14:textId="77777777" w:rsidR="002A09AA" w:rsidRPr="00622946" w:rsidRDefault="002A09AA" w:rsidP="00622946">
            <w:pPr>
              <w:spacing w:line="240" w:lineRule="auto"/>
              <w:jc w:val="right"/>
              <w:rPr>
                <w:rFonts w:eastAsia="Times New Roman"/>
                <w:b/>
                <w:i/>
                <w:sz w:val="24"/>
                <w:szCs w:val="24"/>
                <w:lang w:eastAsia="zh-CN"/>
              </w:rPr>
            </w:pPr>
            <w:r w:rsidRPr="00622946">
              <w:rPr>
                <w:rFonts w:eastAsia="Times New Roman"/>
                <w:b/>
                <w:bCs/>
                <w:i/>
                <w:iCs/>
                <w:sz w:val="24"/>
                <w:szCs w:val="24"/>
                <w:lang w:eastAsia="en-US"/>
              </w:rPr>
              <w:t xml:space="preserve">PVM suma </w:t>
            </w:r>
            <w:r w:rsidRPr="00622946">
              <w:rPr>
                <w:rFonts w:eastAsia="Arial Unicode MS"/>
                <w:bCs/>
                <w:i/>
                <w:sz w:val="24"/>
                <w:szCs w:val="24"/>
                <w:lang w:eastAsia="en-US"/>
              </w:rPr>
              <w:t>(pildoma, jei taikoma)*</w:t>
            </w:r>
            <w:r w:rsidRPr="00622946">
              <w:rPr>
                <w:rFonts w:eastAsia="Times New Roman"/>
                <w:b/>
                <w:bCs/>
                <w:i/>
                <w:iCs/>
                <w:sz w:val="24"/>
                <w:szCs w:val="24"/>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4626AB10" w14:textId="44A8337E" w:rsidR="002A09AA" w:rsidRPr="00622946" w:rsidRDefault="002A09AA" w:rsidP="00622946">
            <w:pPr>
              <w:spacing w:line="240" w:lineRule="auto"/>
              <w:jc w:val="right"/>
              <w:rPr>
                <w:rFonts w:eastAsia="Times New Roman"/>
                <w:b/>
                <w:i/>
                <w:sz w:val="24"/>
                <w:szCs w:val="24"/>
                <w:lang w:eastAsia="zh-CN"/>
              </w:rPr>
            </w:pPr>
            <w:r w:rsidRPr="00622946">
              <w:rPr>
                <w:rFonts w:eastAsia="Times New Roman"/>
                <w:i/>
                <w:sz w:val="24"/>
                <w:szCs w:val="24"/>
                <w:lang w:eastAsia="en-US"/>
              </w:rPr>
              <w:t>__proc</w:t>
            </w:r>
            <w:r w:rsidR="003F6C3D">
              <w:rPr>
                <w:rFonts w:eastAsia="Times New Roman"/>
                <w:i/>
                <w:sz w:val="24"/>
                <w:szCs w:val="24"/>
                <w:lang w:eastAsia="en-US"/>
              </w:rPr>
              <w:t>.</w:t>
            </w:r>
          </w:p>
        </w:tc>
        <w:tc>
          <w:tcPr>
            <w:tcW w:w="1515" w:type="dxa"/>
            <w:tcBorders>
              <w:top w:val="single" w:sz="4" w:space="0" w:color="auto"/>
              <w:left w:val="single" w:sz="4" w:space="0" w:color="auto"/>
              <w:bottom w:val="single" w:sz="4" w:space="0" w:color="auto"/>
              <w:right w:val="single" w:sz="4" w:space="0" w:color="auto"/>
            </w:tcBorders>
            <w:hideMark/>
          </w:tcPr>
          <w:p w14:paraId="547D6372" w14:textId="529482A0" w:rsidR="002A09AA" w:rsidRPr="00622946" w:rsidRDefault="003F6C3D" w:rsidP="003F6C3D">
            <w:pPr>
              <w:spacing w:line="240" w:lineRule="auto"/>
              <w:jc w:val="center"/>
              <w:rPr>
                <w:rFonts w:eastAsia="Times New Roman"/>
                <w:b/>
                <w:i/>
                <w:sz w:val="24"/>
                <w:szCs w:val="24"/>
                <w:lang w:eastAsia="zh-CN"/>
              </w:rPr>
            </w:pPr>
            <w:r>
              <w:rPr>
                <w:rFonts w:eastAsia="Times New Roman"/>
                <w:i/>
                <w:sz w:val="24"/>
                <w:szCs w:val="24"/>
                <w:lang w:eastAsia="en-US"/>
              </w:rPr>
              <w:t xml:space="preserve">        E</w:t>
            </w:r>
            <w:r w:rsidR="002A09AA" w:rsidRPr="00622946">
              <w:rPr>
                <w:rFonts w:eastAsia="Times New Roman"/>
                <w:i/>
                <w:sz w:val="24"/>
                <w:szCs w:val="24"/>
                <w:lang w:eastAsia="en-US"/>
              </w:rPr>
              <w:t>ur</w:t>
            </w:r>
          </w:p>
        </w:tc>
      </w:tr>
      <w:tr w:rsidR="002A09AA" w:rsidRPr="00622946" w14:paraId="7D01F39E" w14:textId="77777777" w:rsidTr="00A8477E">
        <w:tc>
          <w:tcPr>
            <w:tcW w:w="7225" w:type="dxa"/>
            <w:gridSpan w:val="3"/>
            <w:tcBorders>
              <w:top w:val="single" w:sz="4" w:space="0" w:color="auto"/>
              <w:left w:val="single" w:sz="4" w:space="0" w:color="auto"/>
              <w:bottom w:val="single" w:sz="4" w:space="0" w:color="auto"/>
              <w:right w:val="single" w:sz="4" w:space="0" w:color="auto"/>
            </w:tcBorders>
            <w:hideMark/>
          </w:tcPr>
          <w:p w14:paraId="2E58A200" w14:textId="77777777" w:rsidR="002A09AA" w:rsidRPr="00622946" w:rsidRDefault="002A09AA" w:rsidP="00622946">
            <w:pPr>
              <w:spacing w:line="240" w:lineRule="auto"/>
              <w:jc w:val="right"/>
              <w:rPr>
                <w:rFonts w:eastAsia="Times New Roman"/>
                <w:b/>
                <w:i/>
                <w:sz w:val="24"/>
                <w:szCs w:val="24"/>
                <w:lang w:eastAsia="en-US"/>
              </w:rPr>
            </w:pPr>
            <w:r w:rsidRPr="00622946">
              <w:rPr>
                <w:rFonts w:eastAsia="Times New Roman"/>
                <w:b/>
                <w:i/>
                <w:sz w:val="24"/>
                <w:szCs w:val="24"/>
                <w:lang w:eastAsia="en-US"/>
              </w:rPr>
              <w:t>Bendra pasiūlymo kaina, Eur su PVM:</w:t>
            </w:r>
          </w:p>
          <w:p w14:paraId="194B99D7" w14:textId="77777777" w:rsidR="002A09AA" w:rsidRPr="00622946" w:rsidRDefault="002A09AA" w:rsidP="00622946">
            <w:pPr>
              <w:spacing w:line="240" w:lineRule="auto"/>
              <w:jc w:val="right"/>
              <w:rPr>
                <w:rFonts w:eastAsia="Times New Roman"/>
                <w:b/>
                <w:sz w:val="24"/>
                <w:szCs w:val="24"/>
                <w:lang w:eastAsia="en-US"/>
              </w:rPr>
            </w:pPr>
            <w:r w:rsidRPr="00622946">
              <w:rPr>
                <w:rFonts w:eastAsia="Times New Roman"/>
                <w:bCs/>
                <w:i/>
                <w:sz w:val="24"/>
                <w:szCs w:val="24"/>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04599DA8" w14:textId="77777777" w:rsidR="002A09AA" w:rsidRPr="00622946" w:rsidRDefault="002A09AA" w:rsidP="00622946">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3C14B6FB" w14:textId="77777777" w:rsidR="007B3ECD" w:rsidRDefault="007B3ECD" w:rsidP="00622946">
      <w:pPr>
        <w:spacing w:after="0" w:line="240" w:lineRule="auto"/>
        <w:jc w:val="both"/>
        <w:rPr>
          <w:rFonts w:ascii="Times New Roman" w:eastAsia="Calibri" w:hAnsi="Times New Roman" w:cs="Times New Roman"/>
          <w:bCs/>
          <w:sz w:val="22"/>
          <w:szCs w:val="22"/>
        </w:rPr>
      </w:pPr>
    </w:p>
    <w:p w14:paraId="4ED9B542" w14:textId="62824EC5" w:rsidR="002A09AA" w:rsidRPr="007B3ECD" w:rsidRDefault="007B3ECD" w:rsidP="00622946">
      <w:pPr>
        <w:spacing w:after="0" w:line="240" w:lineRule="auto"/>
        <w:jc w:val="both"/>
        <w:rPr>
          <w:rFonts w:ascii="Times New Roman" w:eastAsia="Calibri" w:hAnsi="Times New Roman" w:cs="Times New Roman"/>
          <w:b/>
          <w:bCs/>
          <w:i/>
          <w:iCs/>
          <w:sz w:val="24"/>
          <w:szCs w:val="24"/>
          <w:u w:val="single"/>
        </w:rPr>
      </w:pPr>
      <w:r w:rsidRPr="007B3ECD">
        <w:rPr>
          <w:rFonts w:ascii="Times New Roman" w:eastAsia="Calibri" w:hAnsi="Times New Roman" w:cs="Times New Roman"/>
          <w:bCs/>
          <w:i/>
          <w:iCs/>
          <w:sz w:val="22"/>
          <w:szCs w:val="22"/>
        </w:rPr>
        <w:t xml:space="preserve">Pirkimui skirta lėšų suma </w:t>
      </w:r>
      <w:r w:rsidRPr="007B3ECD">
        <w:rPr>
          <w:rFonts w:ascii="Times New Roman" w:eastAsia="Calibri" w:hAnsi="Times New Roman" w:cs="Times New Roman"/>
          <w:b/>
          <w:bCs/>
          <w:i/>
          <w:iCs/>
          <w:sz w:val="22"/>
          <w:szCs w:val="22"/>
        </w:rPr>
        <w:t>173</w:t>
      </w:r>
      <w:r w:rsidRPr="007B3ECD">
        <w:rPr>
          <w:rFonts w:ascii="Times New Roman" w:eastAsia="Calibri" w:hAnsi="Times New Roman" w:cs="Times New Roman"/>
          <w:b/>
          <w:i/>
          <w:iCs/>
          <w:sz w:val="22"/>
          <w:szCs w:val="22"/>
        </w:rPr>
        <w:t> </w:t>
      </w:r>
      <w:r w:rsidRPr="007B3ECD">
        <w:rPr>
          <w:rFonts w:ascii="Times New Roman" w:eastAsia="Calibri" w:hAnsi="Times New Roman" w:cs="Times New Roman"/>
          <w:b/>
          <w:bCs/>
          <w:i/>
          <w:iCs/>
          <w:sz w:val="22"/>
          <w:szCs w:val="22"/>
        </w:rPr>
        <w:t xml:space="preserve">500,00 </w:t>
      </w:r>
      <w:r w:rsidRPr="007B3ECD">
        <w:rPr>
          <w:rFonts w:ascii="Times New Roman" w:eastAsia="Calibri" w:hAnsi="Times New Roman" w:cs="Times New Roman"/>
          <w:b/>
          <w:i/>
          <w:iCs/>
          <w:sz w:val="22"/>
          <w:szCs w:val="22"/>
        </w:rPr>
        <w:t>Eur be PVM (</w:t>
      </w:r>
      <w:r w:rsidRPr="007B3ECD">
        <w:rPr>
          <w:rFonts w:ascii="Times New Roman" w:eastAsia="Calibri" w:hAnsi="Times New Roman" w:cs="Times New Roman"/>
          <w:b/>
          <w:bCs/>
          <w:i/>
          <w:iCs/>
          <w:sz w:val="22"/>
          <w:szCs w:val="22"/>
        </w:rPr>
        <w:t>209</w:t>
      </w:r>
      <w:r w:rsidRPr="007B3ECD">
        <w:rPr>
          <w:rFonts w:ascii="Times New Roman" w:eastAsia="Calibri" w:hAnsi="Times New Roman" w:cs="Times New Roman"/>
          <w:b/>
          <w:i/>
          <w:iCs/>
          <w:sz w:val="22"/>
          <w:szCs w:val="22"/>
        </w:rPr>
        <w:t> 9</w:t>
      </w:r>
      <w:r w:rsidRPr="007B3ECD">
        <w:rPr>
          <w:rFonts w:ascii="Times New Roman" w:eastAsia="Calibri" w:hAnsi="Times New Roman" w:cs="Times New Roman"/>
          <w:b/>
          <w:bCs/>
          <w:i/>
          <w:iCs/>
          <w:sz w:val="22"/>
          <w:szCs w:val="22"/>
        </w:rPr>
        <w:t xml:space="preserve">35,00 </w:t>
      </w:r>
      <w:r w:rsidRPr="007B3ECD">
        <w:rPr>
          <w:rFonts w:ascii="Times New Roman" w:eastAsia="Calibri" w:hAnsi="Times New Roman" w:cs="Times New Roman"/>
          <w:b/>
          <w:i/>
          <w:iCs/>
          <w:sz w:val="22"/>
          <w:szCs w:val="22"/>
        </w:rPr>
        <w:t>Eur su PVM).</w:t>
      </w:r>
    </w:p>
    <w:p w14:paraId="25930287" w14:textId="77777777" w:rsidR="007B3ECD" w:rsidRPr="007B3ECD" w:rsidRDefault="007B3ECD" w:rsidP="00622946">
      <w:pPr>
        <w:spacing w:after="0" w:line="240" w:lineRule="auto"/>
        <w:jc w:val="both"/>
        <w:rPr>
          <w:rFonts w:ascii="Times New Roman" w:eastAsia="Calibri" w:hAnsi="Times New Roman" w:cs="Times New Roman"/>
          <w:b/>
          <w:bCs/>
          <w:i/>
          <w:iCs/>
          <w:sz w:val="24"/>
          <w:szCs w:val="24"/>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2E2FF6" w:rsidRPr="00622946" w14:paraId="5729F50C" w14:textId="77777777" w:rsidTr="00A275C4">
        <w:tc>
          <w:tcPr>
            <w:tcW w:w="9781" w:type="dxa"/>
            <w:shd w:val="clear" w:color="auto" w:fill="FCFDFD"/>
            <w:tcMar>
              <w:top w:w="0" w:type="dxa"/>
              <w:left w:w="0" w:type="dxa"/>
              <w:bottom w:w="0" w:type="dxa"/>
              <w:right w:w="75" w:type="dxa"/>
            </w:tcMar>
            <w:vAlign w:val="center"/>
            <w:hideMark/>
          </w:tcPr>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3957BF91"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FD3AFD" w:rsidR="004F1F54" w:rsidRDefault="004F1F54" w:rsidP="00622946">
      <w:pPr>
        <w:spacing w:after="0" w:line="240" w:lineRule="auto"/>
        <w:jc w:val="both"/>
        <w:rPr>
          <w:rFonts w:ascii="Times New Roman" w:eastAsia="Calibri" w:hAnsi="Times New Roman" w:cs="Times New Roman"/>
          <w:bCs/>
          <w:sz w:val="24"/>
          <w:szCs w:val="24"/>
        </w:rPr>
      </w:pPr>
    </w:p>
    <w:p w14:paraId="3C3D0511" w14:textId="77777777" w:rsidR="00866452" w:rsidRPr="00D36AE4" w:rsidRDefault="00866452" w:rsidP="00866452">
      <w:pPr>
        <w:spacing w:after="0" w:line="240" w:lineRule="auto"/>
        <w:jc w:val="both"/>
        <w:rPr>
          <w:rFonts w:ascii="Times New Roman" w:eastAsia="Calibri" w:hAnsi="Times New Roman" w:cs="Times New Roman"/>
          <w:sz w:val="24"/>
          <w:szCs w:val="24"/>
        </w:rPr>
      </w:pPr>
      <w:r w:rsidRPr="00D36AE4">
        <w:rPr>
          <w:rFonts w:ascii="Times New Roman" w:eastAsia="Calibri" w:hAnsi="Times New Roman" w:cs="Times New Roman"/>
          <w:b/>
          <w:sz w:val="24"/>
          <w:szCs w:val="24"/>
        </w:rPr>
        <w:t>4 lentelė.</w:t>
      </w:r>
      <w:r w:rsidRPr="00D36AE4">
        <w:rPr>
          <w:rFonts w:ascii="Times New Roman" w:eastAsia="Calibri" w:hAnsi="Times New Roman" w:cs="Times New Roman"/>
          <w:bCs/>
          <w:sz w:val="24"/>
          <w:szCs w:val="24"/>
        </w:rPr>
        <w:t xml:space="preserve"> </w:t>
      </w:r>
      <w:r w:rsidRPr="00D36AE4">
        <w:rPr>
          <w:rFonts w:ascii="Times New Roman" w:eastAsia="Calibri" w:hAnsi="Times New Roman" w:cs="Times New Roman"/>
          <w:sz w:val="24"/>
          <w:szCs w:val="24"/>
        </w:rPr>
        <w:t xml:space="preserve">Informacija apie kiekvieno </w:t>
      </w:r>
      <w:r w:rsidRPr="00D36AE4">
        <w:rPr>
          <w:rFonts w:ascii="Times New Roman" w:eastAsia="Calibri" w:hAnsi="Times New Roman" w:cs="Times New Roman"/>
          <w:bCs/>
          <w:sz w:val="24"/>
          <w:szCs w:val="24"/>
        </w:rPr>
        <w:t>ūkio subjektų grupės</w:t>
      </w:r>
      <w:r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A8477E">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A8477E">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A8477E">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A8477E">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A8477E">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A8477E">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A8477E">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77777777" w:rsidR="00866452" w:rsidRPr="00D36AE4" w:rsidRDefault="00866452" w:rsidP="00866452">
      <w:pPr>
        <w:spacing w:after="0" w:line="240" w:lineRule="auto"/>
        <w:ind w:right="-2"/>
        <w:jc w:val="both"/>
        <w:rPr>
          <w:rFonts w:ascii="Times New Roman" w:hAnsi="Times New Roman" w:cs="Times New Roman"/>
          <w:color w:val="000000"/>
          <w:sz w:val="24"/>
          <w:szCs w:val="24"/>
        </w:rPr>
      </w:pPr>
      <w:r w:rsidRPr="00D36AE4">
        <w:rPr>
          <w:rFonts w:ascii="Times New Roman" w:hAnsi="Times New Roman" w:cs="Times New Roman"/>
          <w:b/>
          <w:color w:val="000000"/>
          <w:sz w:val="24"/>
          <w:szCs w:val="24"/>
        </w:rPr>
        <w:t>5 lentelė</w:t>
      </w:r>
      <w:r w:rsidRPr="00D36AE4">
        <w:rPr>
          <w:rFonts w:ascii="Times New Roman" w:hAnsi="Times New Roman" w:cs="Times New Roman"/>
          <w:bCs/>
          <w:color w:val="000000"/>
          <w:sz w:val="24"/>
          <w:szCs w:val="24"/>
        </w:rPr>
        <w:t xml:space="preserve">. </w:t>
      </w:r>
      <w:r w:rsidRPr="00D36AE4">
        <w:rPr>
          <w:rFonts w:ascii="Times New Roman" w:hAnsi="Times New Roman" w:cs="Times New Roman"/>
          <w:color w:val="000000"/>
          <w:sz w:val="24"/>
          <w:szCs w:val="24"/>
        </w:rPr>
        <w:t xml:space="preserve">Informacija apie ūkio subjektus, kurių pajėgumais tiekėjas </w:t>
      </w:r>
      <w:r w:rsidRPr="00D36AE4">
        <w:rPr>
          <w:rFonts w:ascii="Times New Roman" w:hAnsi="Times New Roman" w:cs="Times New Roman"/>
          <w:b/>
          <w:bCs/>
          <w:color w:val="000000"/>
          <w:sz w:val="24"/>
          <w:szCs w:val="24"/>
        </w:rPr>
        <w:t>remiasi</w:t>
      </w:r>
      <w:r w:rsidRPr="00D36AE4">
        <w:rPr>
          <w:rFonts w:ascii="Times New Roman" w:hAnsi="Times New Roman" w:cs="Times New Roman"/>
          <w:color w:val="000000"/>
          <w:sz w:val="24"/>
          <w:szCs w:val="24"/>
        </w:rPr>
        <w:t>, kad atitiktų perkančiosios organizacijos keliamus kvalifikacijos reikalavimus (</w:t>
      </w:r>
      <w:r w:rsidRPr="00D36AE4">
        <w:rPr>
          <w:rFonts w:ascii="Times New Roman" w:hAnsi="Times New Roman" w:cs="Times New Roman"/>
          <w:i/>
          <w:iCs/>
          <w:color w:val="000000"/>
          <w:sz w:val="24"/>
          <w:szCs w:val="24"/>
        </w:rPr>
        <w:t>pildoma, kai pirkimo dokumentuose nustatyti kvalifikacijos reikalavimai</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A8477E">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w:t>
            </w:r>
            <w:bookmarkStart w:id="78"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išteklių prieinamumo</w:t>
            </w:r>
            <w:bookmarkEnd w:id="78"/>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A8477E">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A8477E">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A8477E">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A8477E">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A8477E">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A8477E">
            <w:pPr>
              <w:ind w:right="-2"/>
              <w:jc w:val="center"/>
              <w:rPr>
                <w:i/>
                <w:color w:val="000000"/>
                <w:sz w:val="24"/>
                <w:szCs w:val="24"/>
              </w:rPr>
            </w:pPr>
            <w:r w:rsidRPr="00D36AE4">
              <w:rPr>
                <w:i/>
                <w:color w:val="000000"/>
                <w:sz w:val="24"/>
                <w:szCs w:val="24"/>
              </w:rPr>
              <w:t>5</w:t>
            </w:r>
          </w:p>
        </w:tc>
      </w:tr>
      <w:tr w:rsidR="00866452" w:rsidRPr="00D36AE4" w14:paraId="6959BD03" w14:textId="77777777" w:rsidTr="00A8477E">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A8477E">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A8477E">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A8477E">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A8477E">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A8477E">
            <w:pPr>
              <w:ind w:right="-2"/>
              <w:jc w:val="both"/>
              <w:rPr>
                <w:color w:val="000000"/>
                <w:sz w:val="24"/>
                <w:szCs w:val="24"/>
              </w:rPr>
            </w:pPr>
          </w:p>
        </w:tc>
      </w:tr>
      <w:tr w:rsidR="00866452" w:rsidRPr="00D36AE4" w14:paraId="693752DB" w14:textId="77777777" w:rsidTr="00A8477E">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A8477E">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A8477E">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A8477E">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A8477E">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A8477E">
            <w:pPr>
              <w:ind w:right="-2"/>
              <w:jc w:val="both"/>
              <w:rPr>
                <w:color w:val="000000"/>
                <w:sz w:val="24"/>
                <w:szCs w:val="24"/>
              </w:rPr>
            </w:pPr>
          </w:p>
        </w:tc>
      </w:tr>
      <w:tr w:rsidR="00866452" w:rsidRPr="00D36AE4" w14:paraId="5C0A17F1" w14:textId="77777777" w:rsidTr="00A8477E">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A8477E">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A8477E">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A8477E">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A8477E">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A8477E">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w:t>
      </w:r>
      <w:r w:rsidRPr="00D36AE4">
        <w:rPr>
          <w:rFonts w:ascii="Times New Roman" w:hAnsi="Times New Roman" w:cs="Times New Roman"/>
          <w:i/>
          <w:iCs/>
          <w:color w:val="000000" w:themeColor="text1"/>
          <w:sz w:val="24"/>
          <w:szCs w:val="24"/>
        </w:rPr>
        <w:lastRenderedPageBreak/>
        <w:t xml:space="preserve">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r w:rsidRPr="00D36AE4">
        <w:rPr>
          <w:rFonts w:ascii="Times New Roman" w:eastAsia="Calibri" w:hAnsi="Times New Roman" w:cs="Times New Roman"/>
          <w:b/>
          <w:sz w:val="24"/>
          <w:szCs w:val="24"/>
        </w:rPr>
        <w:t>6 lentelė</w:t>
      </w:r>
      <w:r w:rsidRPr="00D36AE4">
        <w:rPr>
          <w:rFonts w:ascii="Times New Roman" w:eastAsia="Calibri" w:hAnsi="Times New Roman" w:cs="Times New Roman"/>
          <w:bCs/>
          <w:sz w:val="24"/>
          <w:szCs w:val="24"/>
        </w:rPr>
        <w:t xml:space="preserve">. Vykdant pirkimo sutartį pasitelksiu ūkio subjektus (subtiekėjus), kurių pajėgumais </w:t>
      </w:r>
      <w:r w:rsidRPr="00D36AE4">
        <w:rPr>
          <w:rFonts w:ascii="Times New Roman" w:eastAsia="Calibri" w:hAnsi="Times New Roman" w:cs="Times New Roman"/>
          <w:b/>
          <w:bCs/>
          <w:sz w:val="24"/>
          <w:szCs w:val="24"/>
        </w:rPr>
        <w:t>nesiremiu</w:t>
      </w:r>
      <w:r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A8477E">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A8477E">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A8477E">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A8477E">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A8477E">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77777777" w:rsidR="00866452" w:rsidRPr="00D36AE4" w:rsidRDefault="00866452" w:rsidP="00866452">
      <w:pPr>
        <w:spacing w:after="0" w:line="240" w:lineRule="auto"/>
        <w:jc w:val="both"/>
        <w:rPr>
          <w:rFonts w:ascii="Times New Roman" w:hAnsi="Times New Roman" w:cs="Times New Roman"/>
          <w:color w:val="000000"/>
          <w:sz w:val="24"/>
          <w:szCs w:val="24"/>
        </w:rPr>
      </w:pPr>
      <w:r w:rsidRPr="00D36AE4">
        <w:rPr>
          <w:rFonts w:ascii="Times New Roman" w:hAnsi="Times New Roman" w:cs="Times New Roman"/>
          <w:b/>
          <w:color w:val="000000"/>
          <w:sz w:val="24"/>
          <w:szCs w:val="24"/>
        </w:rPr>
        <w:t xml:space="preserve">7 lentelė. </w:t>
      </w:r>
      <w:r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Pr="00D36AE4">
        <w:rPr>
          <w:rFonts w:ascii="Times New Roman" w:hAnsi="Times New Roman" w:cs="Times New Roman"/>
          <w:i/>
          <w:color w:val="000000"/>
          <w:sz w:val="24"/>
          <w:szCs w:val="24"/>
        </w:rPr>
        <w:t>tiekėjas pildo tuomet, jei pirkimo sutarties vykdymui naudosis trečiųjų asmenų priemonėmis</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A8477E">
        <w:tc>
          <w:tcPr>
            <w:tcW w:w="405" w:type="pct"/>
            <w:vAlign w:val="center"/>
          </w:tcPr>
          <w:p w14:paraId="19E31F97" w14:textId="77777777" w:rsidR="00866452" w:rsidRPr="00D36AE4" w:rsidRDefault="00866452" w:rsidP="00A8477E">
            <w:pPr>
              <w:jc w:val="center"/>
              <w:rPr>
                <w:bCs/>
                <w:color w:val="000000"/>
                <w:sz w:val="24"/>
                <w:szCs w:val="24"/>
              </w:rPr>
            </w:pPr>
            <w:r w:rsidRPr="00D36AE4">
              <w:rPr>
                <w:bCs/>
                <w:color w:val="000000"/>
                <w:sz w:val="24"/>
                <w:szCs w:val="24"/>
              </w:rPr>
              <w:t>Eil.</w:t>
            </w:r>
          </w:p>
          <w:p w14:paraId="393F9575" w14:textId="77777777" w:rsidR="00866452" w:rsidRPr="00D36AE4" w:rsidRDefault="00866452" w:rsidP="00A8477E">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A8477E">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A8477E">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A8477E">
            <w:pPr>
              <w:jc w:val="center"/>
              <w:rPr>
                <w:bCs/>
                <w:color w:val="000000"/>
                <w:sz w:val="24"/>
                <w:szCs w:val="24"/>
              </w:rPr>
            </w:pPr>
          </w:p>
        </w:tc>
      </w:tr>
      <w:tr w:rsidR="00866452" w:rsidRPr="00D36AE4" w14:paraId="1D3337F0" w14:textId="77777777" w:rsidTr="00A8477E">
        <w:tc>
          <w:tcPr>
            <w:tcW w:w="405" w:type="pct"/>
          </w:tcPr>
          <w:p w14:paraId="6F26F208" w14:textId="77777777" w:rsidR="00866452" w:rsidRPr="00D36AE4" w:rsidRDefault="00866452" w:rsidP="00A8477E">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A8477E">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A8477E">
            <w:pPr>
              <w:jc w:val="center"/>
              <w:rPr>
                <w:i/>
                <w:color w:val="000000"/>
                <w:sz w:val="24"/>
                <w:szCs w:val="24"/>
              </w:rPr>
            </w:pPr>
            <w:r w:rsidRPr="00D36AE4">
              <w:rPr>
                <w:i/>
                <w:color w:val="000000"/>
                <w:sz w:val="24"/>
                <w:szCs w:val="24"/>
              </w:rPr>
              <w:t>3</w:t>
            </w:r>
          </w:p>
        </w:tc>
      </w:tr>
      <w:tr w:rsidR="00866452" w:rsidRPr="00D36AE4" w14:paraId="379E5D1F" w14:textId="77777777" w:rsidTr="00A8477E">
        <w:tc>
          <w:tcPr>
            <w:tcW w:w="405" w:type="pct"/>
          </w:tcPr>
          <w:p w14:paraId="50F5B94B" w14:textId="77777777" w:rsidR="00866452" w:rsidRPr="00D36AE4" w:rsidRDefault="00866452" w:rsidP="00A8477E">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A8477E">
            <w:pPr>
              <w:jc w:val="both"/>
              <w:rPr>
                <w:color w:val="000000"/>
                <w:sz w:val="24"/>
                <w:szCs w:val="24"/>
              </w:rPr>
            </w:pPr>
          </w:p>
        </w:tc>
        <w:tc>
          <w:tcPr>
            <w:tcW w:w="2131" w:type="pct"/>
          </w:tcPr>
          <w:p w14:paraId="09E880B5" w14:textId="77777777" w:rsidR="00866452" w:rsidRPr="00D36AE4" w:rsidRDefault="00866452" w:rsidP="00A8477E">
            <w:pPr>
              <w:jc w:val="both"/>
              <w:rPr>
                <w:color w:val="000000"/>
                <w:sz w:val="24"/>
                <w:szCs w:val="24"/>
              </w:rPr>
            </w:pPr>
          </w:p>
        </w:tc>
      </w:tr>
      <w:tr w:rsidR="00866452" w:rsidRPr="00D36AE4" w14:paraId="33E20B93" w14:textId="77777777" w:rsidTr="00A8477E">
        <w:tc>
          <w:tcPr>
            <w:tcW w:w="405" w:type="pct"/>
          </w:tcPr>
          <w:p w14:paraId="51673F09" w14:textId="77777777" w:rsidR="00866452" w:rsidRPr="00D36AE4" w:rsidRDefault="00866452" w:rsidP="00A8477E">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A8477E">
            <w:pPr>
              <w:jc w:val="both"/>
              <w:rPr>
                <w:color w:val="000000"/>
                <w:sz w:val="24"/>
                <w:szCs w:val="24"/>
              </w:rPr>
            </w:pPr>
          </w:p>
        </w:tc>
        <w:tc>
          <w:tcPr>
            <w:tcW w:w="2131" w:type="pct"/>
          </w:tcPr>
          <w:p w14:paraId="2E454E85" w14:textId="77777777" w:rsidR="00866452" w:rsidRPr="00D36AE4" w:rsidRDefault="00866452" w:rsidP="00A8477E">
            <w:pPr>
              <w:jc w:val="both"/>
              <w:rPr>
                <w:color w:val="000000"/>
                <w:sz w:val="24"/>
                <w:szCs w:val="24"/>
              </w:rPr>
            </w:pPr>
          </w:p>
        </w:tc>
      </w:tr>
      <w:tr w:rsidR="00866452" w:rsidRPr="00D36AE4" w14:paraId="5D829015" w14:textId="77777777" w:rsidTr="00A8477E">
        <w:tc>
          <w:tcPr>
            <w:tcW w:w="405" w:type="pct"/>
          </w:tcPr>
          <w:p w14:paraId="01E2E1C8" w14:textId="77777777" w:rsidR="00866452" w:rsidRPr="00D36AE4" w:rsidRDefault="00866452" w:rsidP="00A8477E">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A8477E">
            <w:pPr>
              <w:jc w:val="both"/>
              <w:rPr>
                <w:color w:val="000000"/>
                <w:sz w:val="24"/>
                <w:szCs w:val="24"/>
              </w:rPr>
            </w:pPr>
          </w:p>
        </w:tc>
        <w:tc>
          <w:tcPr>
            <w:tcW w:w="2131" w:type="pct"/>
          </w:tcPr>
          <w:p w14:paraId="2969DE51" w14:textId="77777777" w:rsidR="00866452" w:rsidRPr="00D36AE4" w:rsidRDefault="00866452" w:rsidP="00A8477E">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77777777" w:rsidR="00866452" w:rsidRPr="00D36AE4" w:rsidRDefault="00866452" w:rsidP="00866452">
      <w:pPr>
        <w:spacing w:after="0" w:line="240" w:lineRule="auto"/>
        <w:jc w:val="both"/>
        <w:rPr>
          <w:rFonts w:ascii="Times New Roman" w:eastAsia="Calibri" w:hAnsi="Times New Roman" w:cs="Times New Roman"/>
          <w:sz w:val="24"/>
          <w:szCs w:val="24"/>
        </w:rPr>
      </w:pPr>
      <w:r w:rsidRPr="00D36AE4">
        <w:rPr>
          <w:rFonts w:ascii="Times New Roman" w:eastAsia="Calibri" w:hAnsi="Times New Roman" w:cs="Times New Roman"/>
          <w:b/>
          <w:sz w:val="24"/>
          <w:szCs w:val="24"/>
        </w:rPr>
        <w:t>8 lentelė.</w:t>
      </w:r>
      <w:r w:rsidRPr="00D36AE4">
        <w:rPr>
          <w:rFonts w:ascii="Times New Roman" w:eastAsia="Calibri" w:hAnsi="Times New Roman" w:cs="Times New Roman"/>
          <w:bCs/>
          <w:sz w:val="24"/>
          <w:szCs w:val="24"/>
        </w:rPr>
        <w:t xml:space="preserve"> Kartu su pasiūlymu pateikiami šie dokumentai</w:t>
      </w:r>
      <w:r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A8477E">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A8477E">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A8477E">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A8477E">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A8477E">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A8477E">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A8477E">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Deklaracija dėl Tarybos reglamente (ES) 2022/576 nustatytų sąlygų nebuvimo [pirkimo dokumentų 6 ir /ar 7 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A8477E">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7777777" w:rsidR="00866452" w:rsidRPr="00D36AE4" w:rsidRDefault="00866452" w:rsidP="00866452">
      <w:pPr>
        <w:shd w:val="clear" w:color="auto" w:fill="FFFFFF"/>
        <w:spacing w:after="0" w:line="240" w:lineRule="auto"/>
        <w:rPr>
          <w:rFonts w:ascii="Times New Roman" w:eastAsia="Times New Roman" w:hAnsi="Times New Roman" w:cs="Times New Roman"/>
          <w:sz w:val="24"/>
          <w:szCs w:val="24"/>
        </w:rPr>
      </w:pPr>
      <w:r w:rsidRPr="00D36AE4">
        <w:rPr>
          <w:rFonts w:ascii="Times New Roman" w:eastAsia="Calibri" w:hAnsi="Times New Roman" w:cs="Times New Roman"/>
          <w:b/>
          <w:bCs/>
          <w:sz w:val="24"/>
          <w:szCs w:val="24"/>
        </w:rPr>
        <w:t>9</w:t>
      </w:r>
      <w:r w:rsidRPr="00D36AE4">
        <w:rPr>
          <w:rFonts w:ascii="Times New Roman" w:eastAsia="Calibri" w:hAnsi="Times New Roman" w:cs="Times New Roman"/>
          <w:b/>
          <w:bCs/>
          <w:sz w:val="24"/>
          <w:szCs w:val="24"/>
          <w:shd w:val="clear" w:color="auto" w:fill="FFFFFF"/>
        </w:rPr>
        <w:t xml:space="preserve"> lentelė</w:t>
      </w:r>
      <w:r w:rsidRPr="00D36AE4">
        <w:rPr>
          <w:rFonts w:ascii="Times New Roman" w:eastAsia="Calibri" w:hAnsi="Times New Roman" w:cs="Times New Roman"/>
          <w:sz w:val="24"/>
          <w:szCs w:val="24"/>
          <w:shd w:val="clear" w:color="auto" w:fill="FFFFFF"/>
        </w:rPr>
        <w:t xml:space="preserve">. Šiame </w:t>
      </w:r>
      <w:r w:rsidRPr="00D36AE4">
        <w:rPr>
          <w:rFonts w:ascii="Times New Roman" w:eastAsia="Calibri" w:hAnsi="Times New Roman" w:cs="Times New Roman"/>
          <w:bCs/>
          <w:sz w:val="24"/>
          <w:szCs w:val="24"/>
          <w:shd w:val="clear" w:color="auto" w:fill="FFFFFF"/>
        </w:rPr>
        <w:t xml:space="preserve">pateiktame </w:t>
      </w:r>
      <w:r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A8477E">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A8477E">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A8477E">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A8477E">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A8477E">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A8477E">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A8477E">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A8477E">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w:t>
      </w:r>
      <w:r w:rsidRPr="00D36AE4">
        <w:rPr>
          <w:rFonts w:ascii="Times New Roman" w:eastAsia="Calibri" w:hAnsi="Times New Roman" w:cs="Times New Roman"/>
          <w:i/>
          <w:sz w:val="24"/>
          <w:szCs w:val="24"/>
        </w:rPr>
        <w:lastRenderedPageBreak/>
        <w:t xml:space="preserve">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1CCC3C8F"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9" w:name="_Toc155691364"/>
      <w:bookmarkStart w:id="80"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9"/>
      <w:bookmarkEnd w:id="80"/>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lastRenderedPageBreak/>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w:t>
      </w:r>
      <w:proofErr w:type="spellStart"/>
      <w:r w:rsidRPr="00622946">
        <w:rPr>
          <w:rFonts w:ascii="Times New Roman" w:eastAsia="Calibri" w:hAnsi="Times New Roman" w:cs="Times New Roman"/>
          <w:sz w:val="24"/>
          <w:szCs w:val="24"/>
          <w:shd w:val="clear" w:color="auto" w:fill="FFFFFF"/>
        </w:rPr>
        <w:t>ams</w:t>
      </w:r>
      <w:proofErr w:type="spellEnd"/>
      <w:r w:rsidRPr="00622946">
        <w:rPr>
          <w:rFonts w:ascii="Times New Roman" w:eastAsia="Calibri" w:hAnsi="Times New Roman" w:cs="Times New Roman"/>
          <w:sz w:val="24"/>
          <w:szCs w:val="24"/>
          <w:shd w:val="clear" w:color="auto" w:fill="FFFFFF"/>
        </w:rPr>
        <w:t>), ar kitam (-</w:t>
      </w:r>
      <w:proofErr w:type="spellStart"/>
      <w:r w:rsidRPr="00622946">
        <w:rPr>
          <w:rFonts w:ascii="Times New Roman" w:eastAsia="Calibri" w:hAnsi="Times New Roman" w:cs="Times New Roman"/>
          <w:sz w:val="24"/>
          <w:szCs w:val="24"/>
          <w:shd w:val="clear" w:color="auto" w:fill="FFFFFF"/>
        </w:rPr>
        <w:t>iems</w:t>
      </w:r>
      <w:proofErr w:type="spellEnd"/>
      <w:r w:rsidRPr="00622946">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1" w:name="_Toc155691365"/>
      <w:bookmarkStart w:id="82"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1"/>
      <w:bookmarkEnd w:id="82"/>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w:t>
      </w:r>
      <w:proofErr w:type="spellStart"/>
      <w:r w:rsidRPr="00622946">
        <w:rPr>
          <w:rFonts w:ascii="Times New Roman" w:eastAsiaTheme="majorEastAsia" w:hAnsi="Times New Roman" w:cs="Times New Roman"/>
          <w:iCs/>
          <w:sz w:val="24"/>
          <w:szCs w:val="24"/>
        </w:rPr>
        <w:t>ams</w:t>
      </w:r>
      <w:proofErr w:type="spellEnd"/>
      <w:r w:rsidRPr="00622946">
        <w:rPr>
          <w:rFonts w:ascii="Times New Roman" w:eastAsiaTheme="majorEastAsia" w:hAnsi="Times New Roman" w:cs="Times New Roman"/>
          <w:iCs/>
          <w:sz w:val="24"/>
          <w:szCs w:val="24"/>
        </w:rPr>
        <w:t>), ar kitam (-</w:t>
      </w:r>
      <w:proofErr w:type="spellStart"/>
      <w:r w:rsidRPr="00622946">
        <w:rPr>
          <w:rFonts w:ascii="Times New Roman" w:eastAsiaTheme="majorEastAsia" w:hAnsi="Times New Roman" w:cs="Times New Roman"/>
          <w:iCs/>
          <w:sz w:val="24"/>
          <w:szCs w:val="24"/>
        </w:rPr>
        <w:t>iems</w:t>
      </w:r>
      <w:proofErr w:type="spellEnd"/>
      <w:r w:rsidRPr="00622946">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3" w:name="_Toc164068675"/>
      <w:bookmarkStart w:id="84" w:name="_Ref39586171"/>
      <w:bookmarkStart w:id="85" w:name="_Ref39673580"/>
      <w:bookmarkStart w:id="86" w:name="_Ref39674283"/>
      <w:r w:rsidRPr="00622946">
        <w:rPr>
          <w:rFonts w:ascii="Times New Roman" w:hAnsi="Times New Roman" w:cs="Times New Roman"/>
          <w:color w:val="0070C0"/>
          <w:sz w:val="24"/>
          <w:szCs w:val="24"/>
        </w:rPr>
        <w:lastRenderedPageBreak/>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3"/>
    </w:p>
    <w:bookmarkEnd w:id="84"/>
    <w:bookmarkEnd w:id="85"/>
    <w:bookmarkEnd w:id="86"/>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3CD4" w14:textId="77777777" w:rsidR="00F914A1" w:rsidRDefault="00F914A1" w:rsidP="00B83FD5">
      <w:pPr>
        <w:spacing w:after="0" w:line="240" w:lineRule="auto"/>
      </w:pPr>
      <w:r>
        <w:separator/>
      </w:r>
    </w:p>
  </w:endnote>
  <w:endnote w:type="continuationSeparator" w:id="0">
    <w:p w14:paraId="1887D9A6" w14:textId="77777777" w:rsidR="00F914A1" w:rsidRDefault="00F914A1"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375E5E" w:rsidRPr="005A6859" w:rsidRDefault="00375E5E" w:rsidP="005A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4636" w14:textId="77777777" w:rsidR="00F914A1" w:rsidRDefault="00F914A1" w:rsidP="00B83FD5">
      <w:pPr>
        <w:spacing w:after="0" w:line="240" w:lineRule="auto"/>
      </w:pPr>
      <w:r>
        <w:separator/>
      </w:r>
    </w:p>
  </w:footnote>
  <w:footnote w:type="continuationSeparator" w:id="0">
    <w:p w14:paraId="77AA08A0" w14:textId="77777777" w:rsidR="00F914A1" w:rsidRDefault="00F914A1"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AD"/>
    <w:multiLevelType w:val="hybridMultilevel"/>
    <w:tmpl w:val="F2404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C1765"/>
    <w:multiLevelType w:val="hybridMultilevel"/>
    <w:tmpl w:val="24809EA8"/>
    <w:lvl w:ilvl="0" w:tplc="A97C7ACA">
      <w:start w:val="1"/>
      <w:numFmt w:val="decimal"/>
      <w:lvlText w:val="%1."/>
      <w:lvlJc w:val="left"/>
      <w:pPr>
        <w:ind w:left="1137"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D1345CE"/>
    <w:multiLevelType w:val="multilevel"/>
    <w:tmpl w:val="84FACAAE"/>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4E3192"/>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083089"/>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3CD4C64"/>
    <w:multiLevelType w:val="multilevel"/>
    <w:tmpl w:val="0F2A016E"/>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8397F9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5"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472552"/>
    <w:multiLevelType w:val="multilevel"/>
    <w:tmpl w:val="330A861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59F560B8"/>
    <w:multiLevelType w:val="multilevel"/>
    <w:tmpl w:val="9BD81446"/>
    <w:lvl w:ilvl="0">
      <w:start w:val="1"/>
      <w:numFmt w:val="decimal"/>
      <w:suff w:val="space"/>
      <w:lvlText w:val="%1."/>
      <w:lvlJc w:val="left"/>
      <w:pPr>
        <w:ind w:left="426" w:firstLine="567"/>
      </w:pPr>
      <w:rPr>
        <w:rFonts w:hint="default"/>
        <w:b w:val="0"/>
        <w:bCs w:val="0"/>
        <w:color w:val="auto"/>
      </w:rPr>
    </w:lvl>
    <w:lvl w:ilvl="1">
      <w:start w:val="1"/>
      <w:numFmt w:val="decimal"/>
      <w:isLgl/>
      <w:suff w:val="space"/>
      <w:lvlText w:val="%1.%2."/>
      <w:lvlJc w:val="left"/>
      <w:pPr>
        <w:ind w:left="426" w:firstLine="567"/>
      </w:pPr>
      <w:rPr>
        <w:rFonts w:hint="default"/>
      </w:rPr>
    </w:lvl>
    <w:lvl w:ilvl="2">
      <w:start w:val="1"/>
      <w:numFmt w:val="decimal"/>
      <w:isLgl/>
      <w:suff w:val="space"/>
      <w:lvlText w:val="%1.%2.%3."/>
      <w:lvlJc w:val="left"/>
      <w:pPr>
        <w:ind w:left="426" w:firstLine="567"/>
      </w:pPr>
      <w:rPr>
        <w:rFonts w:hint="default"/>
      </w:rPr>
    </w:lvl>
    <w:lvl w:ilvl="3">
      <w:start w:val="1"/>
      <w:numFmt w:val="decimal"/>
      <w:isLgl/>
      <w:suff w:val="space"/>
      <w:lvlText w:val="%1.%2.%3.%4."/>
      <w:lvlJc w:val="left"/>
      <w:pPr>
        <w:ind w:left="426" w:firstLine="567"/>
      </w:pPr>
      <w:rPr>
        <w:rFonts w:hint="default"/>
      </w:rPr>
    </w:lvl>
    <w:lvl w:ilvl="4">
      <w:start w:val="1"/>
      <w:numFmt w:val="decimal"/>
      <w:isLgl/>
      <w:suff w:val="space"/>
      <w:lvlText w:val="%1.%2.%3.%4.%5."/>
      <w:lvlJc w:val="left"/>
      <w:pPr>
        <w:ind w:left="426" w:firstLine="567"/>
      </w:pPr>
      <w:rPr>
        <w:rFonts w:hint="default"/>
      </w:rPr>
    </w:lvl>
    <w:lvl w:ilvl="5">
      <w:start w:val="1"/>
      <w:numFmt w:val="decimal"/>
      <w:isLgl/>
      <w:suff w:val="space"/>
      <w:lvlText w:val="%1.%2.%3.%4.%5.%6."/>
      <w:lvlJc w:val="left"/>
      <w:pPr>
        <w:ind w:left="426" w:firstLine="567"/>
      </w:pPr>
      <w:rPr>
        <w:rFonts w:hint="default"/>
      </w:rPr>
    </w:lvl>
    <w:lvl w:ilvl="6">
      <w:start w:val="1"/>
      <w:numFmt w:val="decimal"/>
      <w:isLgl/>
      <w:suff w:val="space"/>
      <w:lvlText w:val="%1.%2.%3.%4.%5.%6.%7."/>
      <w:lvlJc w:val="left"/>
      <w:pPr>
        <w:ind w:left="426" w:firstLine="567"/>
      </w:pPr>
      <w:rPr>
        <w:rFonts w:hint="default"/>
      </w:rPr>
    </w:lvl>
    <w:lvl w:ilvl="7">
      <w:start w:val="1"/>
      <w:numFmt w:val="decimal"/>
      <w:isLgl/>
      <w:suff w:val="space"/>
      <w:lvlText w:val="%1.%2.%3.%4.%5.%6.%7.%8."/>
      <w:lvlJc w:val="left"/>
      <w:pPr>
        <w:ind w:left="426" w:firstLine="567"/>
      </w:pPr>
      <w:rPr>
        <w:rFonts w:hint="default"/>
      </w:rPr>
    </w:lvl>
    <w:lvl w:ilvl="8">
      <w:start w:val="1"/>
      <w:numFmt w:val="decimal"/>
      <w:isLgl/>
      <w:suff w:val="space"/>
      <w:lvlText w:val="%1.%2.%3.%4.%5.%6.%7.%8.%9."/>
      <w:lvlJc w:val="left"/>
      <w:pPr>
        <w:ind w:left="426" w:firstLine="567"/>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4"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5"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1257AEC"/>
    <w:multiLevelType w:val="multilevel"/>
    <w:tmpl w:val="E3FE47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2"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num w:numId="1">
    <w:abstractNumId w:val="12"/>
  </w:num>
  <w:num w:numId="2">
    <w:abstractNumId w:val="8"/>
  </w:num>
  <w:num w:numId="3">
    <w:abstractNumId w:val="36"/>
  </w:num>
  <w:num w:numId="4">
    <w:abstractNumId w:val="25"/>
  </w:num>
  <w:num w:numId="5">
    <w:abstractNumId w:val="42"/>
  </w:num>
  <w:num w:numId="6">
    <w:abstractNumId w:val="3"/>
  </w:num>
  <w:num w:numId="7">
    <w:abstractNumId w:val="35"/>
  </w:num>
  <w:num w:numId="8">
    <w:abstractNumId w:val="22"/>
  </w:num>
  <w:num w:numId="9">
    <w:abstractNumId w:val="38"/>
  </w:num>
  <w:num w:numId="10">
    <w:abstractNumId w:val="39"/>
  </w:num>
  <w:num w:numId="11">
    <w:abstractNumId w:val="19"/>
  </w:num>
  <w:num w:numId="12">
    <w:abstractNumId w:val="9"/>
  </w:num>
  <w:num w:numId="13">
    <w:abstractNumId w:val="1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1"/>
  </w:num>
  <w:num w:numId="26">
    <w:abstractNumId w:val="4"/>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40"/>
  </w:num>
  <w:num w:numId="31">
    <w:abstractNumId w:val="14"/>
  </w:num>
  <w:num w:numId="32">
    <w:abstractNumId w:val="32"/>
  </w:num>
  <w:num w:numId="33">
    <w:abstractNumId w:val="28"/>
  </w:num>
  <w:num w:numId="34">
    <w:abstractNumId w:val="30"/>
  </w:num>
  <w:num w:numId="35">
    <w:abstractNumId w:val="37"/>
  </w:num>
  <w:num w:numId="36">
    <w:abstractNumId w:val="1"/>
  </w:num>
  <w:num w:numId="37">
    <w:abstractNumId w:val="0"/>
  </w:num>
  <w:num w:numId="38">
    <w:abstractNumId w:val="1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9"/>
  </w:num>
  <w:num w:numId="43">
    <w:abstractNumId w:val="27"/>
  </w:num>
  <w:num w:numId="44">
    <w:abstractNumId w:val="13"/>
  </w:num>
  <w:num w:numId="45">
    <w:abstractNumId w:val="24"/>
  </w:num>
  <w:num w:numId="4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43"/>
  </w:num>
  <w:num w:numId="4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508E"/>
    <w:rsid w:val="00010838"/>
    <w:rsid w:val="000148DF"/>
    <w:rsid w:val="00014F82"/>
    <w:rsid w:val="00015647"/>
    <w:rsid w:val="000215D6"/>
    <w:rsid w:val="0003195E"/>
    <w:rsid w:val="00037C4B"/>
    <w:rsid w:val="00044607"/>
    <w:rsid w:val="00045DB5"/>
    <w:rsid w:val="000501D0"/>
    <w:rsid w:val="00051AEB"/>
    <w:rsid w:val="000538BA"/>
    <w:rsid w:val="00053B72"/>
    <w:rsid w:val="00053CF5"/>
    <w:rsid w:val="00060864"/>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A327F"/>
    <w:rsid w:val="000A56B1"/>
    <w:rsid w:val="000B527B"/>
    <w:rsid w:val="000C2834"/>
    <w:rsid w:val="000C58A6"/>
    <w:rsid w:val="000C6C12"/>
    <w:rsid w:val="000D0AD9"/>
    <w:rsid w:val="000D14E9"/>
    <w:rsid w:val="000D187B"/>
    <w:rsid w:val="000D1B4C"/>
    <w:rsid w:val="000D26C9"/>
    <w:rsid w:val="000D705E"/>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E35"/>
    <w:rsid w:val="002757EC"/>
    <w:rsid w:val="002819E0"/>
    <w:rsid w:val="002828BF"/>
    <w:rsid w:val="00284418"/>
    <w:rsid w:val="00296071"/>
    <w:rsid w:val="002A003F"/>
    <w:rsid w:val="002A09AA"/>
    <w:rsid w:val="002A1639"/>
    <w:rsid w:val="002A6DBA"/>
    <w:rsid w:val="002B395A"/>
    <w:rsid w:val="002B6B43"/>
    <w:rsid w:val="002C423B"/>
    <w:rsid w:val="002D0675"/>
    <w:rsid w:val="002D12D4"/>
    <w:rsid w:val="002D1312"/>
    <w:rsid w:val="002D2646"/>
    <w:rsid w:val="002D2E55"/>
    <w:rsid w:val="002D3EB6"/>
    <w:rsid w:val="002D4565"/>
    <w:rsid w:val="002D48C2"/>
    <w:rsid w:val="002D7661"/>
    <w:rsid w:val="002E10ED"/>
    <w:rsid w:val="002E2FF6"/>
    <w:rsid w:val="002E4F76"/>
    <w:rsid w:val="002E76FF"/>
    <w:rsid w:val="002F3A4A"/>
    <w:rsid w:val="002F5690"/>
    <w:rsid w:val="002F56CF"/>
    <w:rsid w:val="002F5C34"/>
    <w:rsid w:val="002F7A9B"/>
    <w:rsid w:val="00303BE7"/>
    <w:rsid w:val="00305D3F"/>
    <w:rsid w:val="003068DD"/>
    <w:rsid w:val="00307413"/>
    <w:rsid w:val="00310FFE"/>
    <w:rsid w:val="00312464"/>
    <w:rsid w:val="0031498B"/>
    <w:rsid w:val="003154BB"/>
    <w:rsid w:val="0032238E"/>
    <w:rsid w:val="00323A13"/>
    <w:rsid w:val="003245FC"/>
    <w:rsid w:val="003253D7"/>
    <w:rsid w:val="003408B1"/>
    <w:rsid w:val="00341105"/>
    <w:rsid w:val="00341D6B"/>
    <w:rsid w:val="0034309F"/>
    <w:rsid w:val="00345311"/>
    <w:rsid w:val="00351166"/>
    <w:rsid w:val="00355D02"/>
    <w:rsid w:val="00361C6C"/>
    <w:rsid w:val="0036527C"/>
    <w:rsid w:val="003658D9"/>
    <w:rsid w:val="00374531"/>
    <w:rsid w:val="00375E5E"/>
    <w:rsid w:val="0037638D"/>
    <w:rsid w:val="003800F7"/>
    <w:rsid w:val="00381325"/>
    <w:rsid w:val="00381DF8"/>
    <w:rsid w:val="00383AAA"/>
    <w:rsid w:val="00385762"/>
    <w:rsid w:val="00385A70"/>
    <w:rsid w:val="003877D3"/>
    <w:rsid w:val="0039317A"/>
    <w:rsid w:val="0039331C"/>
    <w:rsid w:val="003A2DF5"/>
    <w:rsid w:val="003A3D38"/>
    <w:rsid w:val="003A618C"/>
    <w:rsid w:val="003B3B3A"/>
    <w:rsid w:val="003B5FDD"/>
    <w:rsid w:val="003B6E98"/>
    <w:rsid w:val="003B7BD2"/>
    <w:rsid w:val="003C3164"/>
    <w:rsid w:val="003C354C"/>
    <w:rsid w:val="003D11B4"/>
    <w:rsid w:val="003D5EDB"/>
    <w:rsid w:val="003D7C1F"/>
    <w:rsid w:val="003E36E4"/>
    <w:rsid w:val="003E3BFC"/>
    <w:rsid w:val="003E45E7"/>
    <w:rsid w:val="003E75C2"/>
    <w:rsid w:val="003F676D"/>
    <w:rsid w:val="003F6C3D"/>
    <w:rsid w:val="003F7469"/>
    <w:rsid w:val="00404EEA"/>
    <w:rsid w:val="004060E3"/>
    <w:rsid w:val="00406D2A"/>
    <w:rsid w:val="00407CA9"/>
    <w:rsid w:val="00410C46"/>
    <w:rsid w:val="004115D9"/>
    <w:rsid w:val="00413392"/>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369"/>
    <w:rsid w:val="004554B4"/>
    <w:rsid w:val="004555B2"/>
    <w:rsid w:val="00460177"/>
    <w:rsid w:val="004604FF"/>
    <w:rsid w:val="00462DE5"/>
    <w:rsid w:val="00464B19"/>
    <w:rsid w:val="0046503E"/>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6F2C"/>
    <w:rsid w:val="005515EF"/>
    <w:rsid w:val="0055210D"/>
    <w:rsid w:val="005636FF"/>
    <w:rsid w:val="0056370B"/>
    <w:rsid w:val="005637CB"/>
    <w:rsid w:val="00565301"/>
    <w:rsid w:val="0057147C"/>
    <w:rsid w:val="005721C8"/>
    <w:rsid w:val="00580BC5"/>
    <w:rsid w:val="00581661"/>
    <w:rsid w:val="005838BF"/>
    <w:rsid w:val="005856BE"/>
    <w:rsid w:val="00596D5F"/>
    <w:rsid w:val="005A6859"/>
    <w:rsid w:val="005A6997"/>
    <w:rsid w:val="005A6AE0"/>
    <w:rsid w:val="005A79B8"/>
    <w:rsid w:val="005B0205"/>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E50"/>
    <w:rsid w:val="005F15C5"/>
    <w:rsid w:val="005F447D"/>
    <w:rsid w:val="005F5AE9"/>
    <w:rsid w:val="00603DD2"/>
    <w:rsid w:val="0060735C"/>
    <w:rsid w:val="00612E3D"/>
    <w:rsid w:val="006167A9"/>
    <w:rsid w:val="00617139"/>
    <w:rsid w:val="00617FB3"/>
    <w:rsid w:val="0062276B"/>
    <w:rsid w:val="00622946"/>
    <w:rsid w:val="0062352A"/>
    <w:rsid w:val="006258D5"/>
    <w:rsid w:val="00641F24"/>
    <w:rsid w:val="00645520"/>
    <w:rsid w:val="006458CE"/>
    <w:rsid w:val="00646430"/>
    <w:rsid w:val="006479AF"/>
    <w:rsid w:val="0065139A"/>
    <w:rsid w:val="0065301C"/>
    <w:rsid w:val="006544B7"/>
    <w:rsid w:val="00657207"/>
    <w:rsid w:val="0065730E"/>
    <w:rsid w:val="00663B8F"/>
    <w:rsid w:val="006646BF"/>
    <w:rsid w:val="00665866"/>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7FF0"/>
    <w:rsid w:val="006D0A0A"/>
    <w:rsid w:val="006D27EE"/>
    <w:rsid w:val="006D5AE6"/>
    <w:rsid w:val="006D5F3F"/>
    <w:rsid w:val="006D65A5"/>
    <w:rsid w:val="006E167F"/>
    <w:rsid w:val="006E5D31"/>
    <w:rsid w:val="006E704E"/>
    <w:rsid w:val="006E7B3D"/>
    <w:rsid w:val="006F1D20"/>
    <w:rsid w:val="006F2B54"/>
    <w:rsid w:val="006F446A"/>
    <w:rsid w:val="006F6446"/>
    <w:rsid w:val="006F7A00"/>
    <w:rsid w:val="007070F1"/>
    <w:rsid w:val="0071010D"/>
    <w:rsid w:val="00714F25"/>
    <w:rsid w:val="00716F04"/>
    <w:rsid w:val="00717E1D"/>
    <w:rsid w:val="00727203"/>
    <w:rsid w:val="007303CF"/>
    <w:rsid w:val="007314C5"/>
    <w:rsid w:val="00736412"/>
    <w:rsid w:val="00740951"/>
    <w:rsid w:val="007434EA"/>
    <w:rsid w:val="0074410D"/>
    <w:rsid w:val="0074538A"/>
    <w:rsid w:val="00755D5B"/>
    <w:rsid w:val="007560D2"/>
    <w:rsid w:val="0075622A"/>
    <w:rsid w:val="00756CE0"/>
    <w:rsid w:val="00756E23"/>
    <w:rsid w:val="00757687"/>
    <w:rsid w:val="00757D8E"/>
    <w:rsid w:val="00766FEE"/>
    <w:rsid w:val="00771BDA"/>
    <w:rsid w:val="0077264B"/>
    <w:rsid w:val="0077318A"/>
    <w:rsid w:val="00790EAE"/>
    <w:rsid w:val="00791790"/>
    <w:rsid w:val="00791D8A"/>
    <w:rsid w:val="00794728"/>
    <w:rsid w:val="0079795C"/>
    <w:rsid w:val="007A53CD"/>
    <w:rsid w:val="007A6D89"/>
    <w:rsid w:val="007B24EA"/>
    <w:rsid w:val="007B3ECD"/>
    <w:rsid w:val="007C14DA"/>
    <w:rsid w:val="007C1F64"/>
    <w:rsid w:val="007C4C2C"/>
    <w:rsid w:val="007C6329"/>
    <w:rsid w:val="007D1E0B"/>
    <w:rsid w:val="007D56F2"/>
    <w:rsid w:val="007E3FBD"/>
    <w:rsid w:val="007E6B66"/>
    <w:rsid w:val="007E76D7"/>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B58BE"/>
    <w:rsid w:val="008C2442"/>
    <w:rsid w:val="008C6E35"/>
    <w:rsid w:val="008D3523"/>
    <w:rsid w:val="008D3B07"/>
    <w:rsid w:val="008D7352"/>
    <w:rsid w:val="008E19F0"/>
    <w:rsid w:val="008E28F8"/>
    <w:rsid w:val="008E5C66"/>
    <w:rsid w:val="008E61F2"/>
    <w:rsid w:val="008F331D"/>
    <w:rsid w:val="008F556F"/>
    <w:rsid w:val="008F7943"/>
    <w:rsid w:val="00900118"/>
    <w:rsid w:val="00900627"/>
    <w:rsid w:val="00900FE6"/>
    <w:rsid w:val="00901256"/>
    <w:rsid w:val="00901E48"/>
    <w:rsid w:val="00901EC3"/>
    <w:rsid w:val="00902242"/>
    <w:rsid w:val="00904EE3"/>
    <w:rsid w:val="009106FE"/>
    <w:rsid w:val="00912484"/>
    <w:rsid w:val="00912564"/>
    <w:rsid w:val="00922707"/>
    <w:rsid w:val="00926798"/>
    <w:rsid w:val="00932139"/>
    <w:rsid w:val="009322B8"/>
    <w:rsid w:val="00932E48"/>
    <w:rsid w:val="00945A65"/>
    <w:rsid w:val="009468F9"/>
    <w:rsid w:val="009474F2"/>
    <w:rsid w:val="009525F6"/>
    <w:rsid w:val="00952F6F"/>
    <w:rsid w:val="00954E97"/>
    <w:rsid w:val="00954FB1"/>
    <w:rsid w:val="009570A6"/>
    <w:rsid w:val="00961BF3"/>
    <w:rsid w:val="009623AC"/>
    <w:rsid w:val="00970B19"/>
    <w:rsid w:val="009714B9"/>
    <w:rsid w:val="0097446A"/>
    <w:rsid w:val="00975306"/>
    <w:rsid w:val="009776CF"/>
    <w:rsid w:val="00980FD8"/>
    <w:rsid w:val="00983F36"/>
    <w:rsid w:val="00986422"/>
    <w:rsid w:val="009923B9"/>
    <w:rsid w:val="009A32E1"/>
    <w:rsid w:val="009A4E1F"/>
    <w:rsid w:val="009A64E0"/>
    <w:rsid w:val="009B5195"/>
    <w:rsid w:val="009B76CD"/>
    <w:rsid w:val="009C0313"/>
    <w:rsid w:val="009C0A92"/>
    <w:rsid w:val="009D0B5C"/>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27636"/>
    <w:rsid w:val="00A31949"/>
    <w:rsid w:val="00A321EB"/>
    <w:rsid w:val="00A3352C"/>
    <w:rsid w:val="00A3453D"/>
    <w:rsid w:val="00A354AC"/>
    <w:rsid w:val="00A430DF"/>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7E"/>
    <w:rsid w:val="00A847BF"/>
    <w:rsid w:val="00A8575F"/>
    <w:rsid w:val="00A93227"/>
    <w:rsid w:val="00AA17F5"/>
    <w:rsid w:val="00AA1FD4"/>
    <w:rsid w:val="00AA2596"/>
    <w:rsid w:val="00AA5578"/>
    <w:rsid w:val="00AA5CA8"/>
    <w:rsid w:val="00AA5ECF"/>
    <w:rsid w:val="00AB2592"/>
    <w:rsid w:val="00AB36C6"/>
    <w:rsid w:val="00AB4901"/>
    <w:rsid w:val="00AC4D99"/>
    <w:rsid w:val="00AD05F2"/>
    <w:rsid w:val="00AE06EB"/>
    <w:rsid w:val="00AE2BD0"/>
    <w:rsid w:val="00AE494E"/>
    <w:rsid w:val="00AE6948"/>
    <w:rsid w:val="00AF03DD"/>
    <w:rsid w:val="00AF0D70"/>
    <w:rsid w:val="00AF60AF"/>
    <w:rsid w:val="00B0072A"/>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469D"/>
    <w:rsid w:val="00B45BCE"/>
    <w:rsid w:val="00B5316B"/>
    <w:rsid w:val="00B531CE"/>
    <w:rsid w:val="00B53F0A"/>
    <w:rsid w:val="00B579A6"/>
    <w:rsid w:val="00B6014E"/>
    <w:rsid w:val="00B622F5"/>
    <w:rsid w:val="00B665D6"/>
    <w:rsid w:val="00B66C24"/>
    <w:rsid w:val="00B74EFF"/>
    <w:rsid w:val="00B76E45"/>
    <w:rsid w:val="00B83FD5"/>
    <w:rsid w:val="00B86930"/>
    <w:rsid w:val="00B86A95"/>
    <w:rsid w:val="00B87033"/>
    <w:rsid w:val="00B96AA5"/>
    <w:rsid w:val="00BA18AD"/>
    <w:rsid w:val="00BA2DB4"/>
    <w:rsid w:val="00BB4A9A"/>
    <w:rsid w:val="00BB4B4E"/>
    <w:rsid w:val="00BB5A15"/>
    <w:rsid w:val="00BB5ED9"/>
    <w:rsid w:val="00BB6CA0"/>
    <w:rsid w:val="00BC0F12"/>
    <w:rsid w:val="00BC176E"/>
    <w:rsid w:val="00BC1B12"/>
    <w:rsid w:val="00BC5A8C"/>
    <w:rsid w:val="00BC5C06"/>
    <w:rsid w:val="00BC6FEF"/>
    <w:rsid w:val="00BD2882"/>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6E68"/>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B2752"/>
    <w:rsid w:val="00CB3C1F"/>
    <w:rsid w:val="00CB4675"/>
    <w:rsid w:val="00CB76D2"/>
    <w:rsid w:val="00CC2180"/>
    <w:rsid w:val="00CC64FF"/>
    <w:rsid w:val="00CD06D7"/>
    <w:rsid w:val="00CD3CA6"/>
    <w:rsid w:val="00CD4E87"/>
    <w:rsid w:val="00CD60D9"/>
    <w:rsid w:val="00CD65C6"/>
    <w:rsid w:val="00CE09B3"/>
    <w:rsid w:val="00CE5781"/>
    <w:rsid w:val="00CE699F"/>
    <w:rsid w:val="00CE78EF"/>
    <w:rsid w:val="00CF1D54"/>
    <w:rsid w:val="00D01834"/>
    <w:rsid w:val="00D02958"/>
    <w:rsid w:val="00D02D14"/>
    <w:rsid w:val="00D04375"/>
    <w:rsid w:val="00D06E57"/>
    <w:rsid w:val="00D07A56"/>
    <w:rsid w:val="00D11408"/>
    <w:rsid w:val="00D14538"/>
    <w:rsid w:val="00D23E90"/>
    <w:rsid w:val="00D2421B"/>
    <w:rsid w:val="00D26781"/>
    <w:rsid w:val="00D350DA"/>
    <w:rsid w:val="00D36C79"/>
    <w:rsid w:val="00D416DB"/>
    <w:rsid w:val="00D43CBC"/>
    <w:rsid w:val="00D466D5"/>
    <w:rsid w:val="00D47D76"/>
    <w:rsid w:val="00D536EB"/>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6534"/>
    <w:rsid w:val="00DF412A"/>
    <w:rsid w:val="00DF73D7"/>
    <w:rsid w:val="00DF7F57"/>
    <w:rsid w:val="00E03A29"/>
    <w:rsid w:val="00E057FE"/>
    <w:rsid w:val="00E05FAE"/>
    <w:rsid w:val="00E10AAC"/>
    <w:rsid w:val="00E11B5D"/>
    <w:rsid w:val="00E14C2E"/>
    <w:rsid w:val="00E1702B"/>
    <w:rsid w:val="00E245E2"/>
    <w:rsid w:val="00E24862"/>
    <w:rsid w:val="00E276FA"/>
    <w:rsid w:val="00E303AC"/>
    <w:rsid w:val="00E31499"/>
    <w:rsid w:val="00E3265C"/>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44DA"/>
    <w:rsid w:val="00E95B3E"/>
    <w:rsid w:val="00E978FC"/>
    <w:rsid w:val="00E97929"/>
    <w:rsid w:val="00EA28B6"/>
    <w:rsid w:val="00EA3451"/>
    <w:rsid w:val="00EA3839"/>
    <w:rsid w:val="00EA46E7"/>
    <w:rsid w:val="00EA4FDF"/>
    <w:rsid w:val="00EB4A92"/>
    <w:rsid w:val="00EB6039"/>
    <w:rsid w:val="00EC070F"/>
    <w:rsid w:val="00EC11FE"/>
    <w:rsid w:val="00EC5427"/>
    <w:rsid w:val="00EC5591"/>
    <w:rsid w:val="00EC578A"/>
    <w:rsid w:val="00EC5C55"/>
    <w:rsid w:val="00EC7D18"/>
    <w:rsid w:val="00ED05D3"/>
    <w:rsid w:val="00EE30EC"/>
    <w:rsid w:val="00EF37CF"/>
    <w:rsid w:val="00F032FA"/>
    <w:rsid w:val="00F05E4E"/>
    <w:rsid w:val="00F05F75"/>
    <w:rsid w:val="00F07184"/>
    <w:rsid w:val="00F10C62"/>
    <w:rsid w:val="00F10EEB"/>
    <w:rsid w:val="00F16D61"/>
    <w:rsid w:val="00F218A5"/>
    <w:rsid w:val="00F21F00"/>
    <w:rsid w:val="00F23B08"/>
    <w:rsid w:val="00F308E1"/>
    <w:rsid w:val="00F3192C"/>
    <w:rsid w:val="00F3271B"/>
    <w:rsid w:val="00F32A41"/>
    <w:rsid w:val="00F32D44"/>
    <w:rsid w:val="00F35918"/>
    <w:rsid w:val="00F35C7A"/>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914A1"/>
    <w:rsid w:val="00F91D35"/>
    <w:rsid w:val="00FA16A5"/>
    <w:rsid w:val="00FA2981"/>
    <w:rsid w:val="00FA307C"/>
    <w:rsid w:val="00FB1FF0"/>
    <w:rsid w:val="00FC4BEE"/>
    <w:rsid w:val="00FC6611"/>
    <w:rsid w:val="00FC786C"/>
    <w:rsid w:val="00FD23E0"/>
    <w:rsid w:val="00FD5B62"/>
    <w:rsid w:val="00FD65F4"/>
    <w:rsid w:val="00FD73BF"/>
    <w:rsid w:val="00FD78E3"/>
    <w:rsid w:val="00FE1603"/>
    <w:rsid w:val="00FE5B7E"/>
    <w:rsid w:val="00FE5CC8"/>
    <w:rsid w:val="00FE7809"/>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3043886">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kas-yra-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38202</Words>
  <Characters>21776</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2025-04-16T11:31:00Z</dcterms:created>
  <dcterms:modified xsi:type="dcterms:W3CDTF">2025-04-16T11:31:00Z</dcterms:modified>
</cp:coreProperties>
</file>