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39E5" w14:textId="77777777" w:rsidR="00B95C6D" w:rsidRDefault="00B95C6D">
      <w:pPr>
        <w:pStyle w:val="BodyText"/>
        <w:spacing w:before="27"/>
        <w:rPr>
          <w:rFonts w:ascii="Times New Roman"/>
        </w:rPr>
      </w:pPr>
    </w:p>
    <w:p w14:paraId="5DCAEB31" w14:textId="77777777" w:rsidR="00B95C6D" w:rsidRDefault="00742A25">
      <w:pPr>
        <w:pStyle w:val="BodyText"/>
        <w:ind w:left="102"/>
      </w:pPr>
      <w:r>
        <w:t>CVP</w:t>
      </w:r>
      <w:r>
        <w:rPr>
          <w:spacing w:val="-9"/>
        </w:rPr>
        <w:t xml:space="preserve"> </w:t>
      </w:r>
      <w:r>
        <w:t>IS</w:t>
      </w:r>
      <w:r>
        <w:rPr>
          <w:spacing w:val="-4"/>
        </w:rPr>
        <w:t xml:space="preserve"> </w:t>
      </w:r>
      <w:r>
        <w:rPr>
          <w:spacing w:val="-2"/>
        </w:rPr>
        <w:t>priemonėmis</w:t>
      </w:r>
    </w:p>
    <w:p w14:paraId="4CADB14F" w14:textId="6781EC55" w:rsidR="00B95C6D" w:rsidRDefault="00742A25" w:rsidP="00CD7BC8">
      <w:pPr>
        <w:pStyle w:val="BodyText"/>
        <w:spacing w:before="1" w:line="477" w:lineRule="auto"/>
        <w:ind w:left="157" w:right="16" w:hanging="56"/>
      </w:pPr>
      <w:r>
        <w:t>Rinkos</w:t>
      </w:r>
      <w:r>
        <w:rPr>
          <w:spacing w:val="-14"/>
        </w:rPr>
        <w:t xml:space="preserve"> </w:t>
      </w:r>
      <w:r>
        <w:t>konsultacijoje</w:t>
      </w:r>
      <w:r>
        <w:rPr>
          <w:spacing w:val="-13"/>
        </w:rPr>
        <w:t xml:space="preserve"> </w:t>
      </w:r>
      <w:r>
        <w:t>dalyvavusiems</w:t>
      </w:r>
      <w:r>
        <w:rPr>
          <w:spacing w:val="-14"/>
        </w:rPr>
        <w:t xml:space="preserve"> </w:t>
      </w:r>
      <w:r>
        <w:t>tiekėjams</w:t>
      </w:r>
      <w:r w:rsidR="00CD7BC8">
        <w:tab/>
      </w:r>
      <w:r w:rsidR="00CD7BC8">
        <w:tab/>
      </w:r>
      <w:r w:rsidR="00CD7BC8">
        <w:tab/>
      </w:r>
      <w:r w:rsidR="00CD7BC8">
        <w:tab/>
      </w:r>
      <w:r w:rsidR="00CD7BC8">
        <w:tab/>
      </w:r>
      <w:r w:rsidR="00CD7BC8">
        <w:tab/>
      </w:r>
      <w:r w:rsidR="00CD7BC8">
        <w:tab/>
      </w:r>
      <w:r>
        <w:t xml:space="preserve"> </w:t>
      </w:r>
      <w:r w:rsidRPr="006B3B7C">
        <w:rPr>
          <w:spacing w:val="-2"/>
        </w:rPr>
        <w:t>2024-</w:t>
      </w:r>
      <w:r w:rsidR="00CD7BC8" w:rsidRPr="006B3B7C">
        <w:rPr>
          <w:spacing w:val="-2"/>
        </w:rPr>
        <w:t>1</w:t>
      </w:r>
      <w:r w:rsidR="0080397C" w:rsidRPr="006B3B7C">
        <w:rPr>
          <w:spacing w:val="-2"/>
        </w:rPr>
        <w:t>2</w:t>
      </w:r>
      <w:r w:rsidRPr="006B3B7C">
        <w:rPr>
          <w:spacing w:val="-2"/>
        </w:rPr>
        <w:t>-</w:t>
      </w:r>
      <w:r w:rsidR="006B3B7C" w:rsidRPr="006B3B7C">
        <w:rPr>
          <w:spacing w:val="-2"/>
        </w:rPr>
        <w:t>30</w:t>
      </w:r>
    </w:p>
    <w:p w14:paraId="1C2C89F9" w14:textId="77777777" w:rsidR="00B95C6D" w:rsidRDefault="00B95C6D" w:rsidP="00096AC8">
      <w:pPr>
        <w:pStyle w:val="BodyText"/>
        <w:spacing w:before="14" w:line="360" w:lineRule="auto"/>
      </w:pPr>
    </w:p>
    <w:p w14:paraId="73B5C735" w14:textId="77777777" w:rsidR="00B95C6D" w:rsidRDefault="00742A25" w:rsidP="00096AC8">
      <w:pPr>
        <w:pStyle w:val="Title"/>
        <w:spacing w:line="360" w:lineRule="auto"/>
      </w:pPr>
      <w:r>
        <w:rPr>
          <w:spacing w:val="-2"/>
        </w:rPr>
        <w:t>DĖL</w:t>
      </w:r>
      <w:r>
        <w:rPr>
          <w:spacing w:val="-12"/>
        </w:rPr>
        <w:t xml:space="preserve"> </w:t>
      </w:r>
      <w:r>
        <w:rPr>
          <w:spacing w:val="-2"/>
        </w:rPr>
        <w:t>ATSAKYMŲ</w:t>
      </w:r>
      <w:r>
        <w:rPr>
          <w:spacing w:val="-6"/>
        </w:rPr>
        <w:t xml:space="preserve"> </w:t>
      </w:r>
      <w:r>
        <w:rPr>
          <w:spacing w:val="-2"/>
        </w:rPr>
        <w:t>Į</w:t>
      </w:r>
      <w:r>
        <w:rPr>
          <w:spacing w:val="-4"/>
        </w:rPr>
        <w:t xml:space="preserve"> </w:t>
      </w:r>
      <w:r>
        <w:rPr>
          <w:spacing w:val="-2"/>
        </w:rPr>
        <w:t>RINKOS</w:t>
      </w:r>
      <w:r>
        <w:rPr>
          <w:spacing w:val="-5"/>
        </w:rPr>
        <w:t xml:space="preserve"> </w:t>
      </w:r>
      <w:r>
        <w:rPr>
          <w:spacing w:val="-2"/>
        </w:rPr>
        <w:t>KONSULTACIJOS KLAUSIMUS</w:t>
      </w:r>
    </w:p>
    <w:p w14:paraId="1FA82D79" w14:textId="77777777" w:rsidR="00B95C6D" w:rsidRDefault="00B95C6D" w:rsidP="00096AC8">
      <w:pPr>
        <w:pStyle w:val="BodyText"/>
        <w:spacing w:before="20" w:line="360" w:lineRule="auto"/>
        <w:rPr>
          <w:b/>
        </w:rPr>
      </w:pPr>
    </w:p>
    <w:p w14:paraId="11E5401E" w14:textId="772222B6" w:rsidR="00B95C6D" w:rsidRDefault="00742A25" w:rsidP="00096AC8">
      <w:pPr>
        <w:pStyle w:val="BodyText"/>
        <w:spacing w:line="360" w:lineRule="auto"/>
        <w:ind w:left="102" w:right="16" w:firstLine="618"/>
        <w:jc w:val="both"/>
      </w:pPr>
      <w:r>
        <w:t>Dėkojame</w:t>
      </w:r>
      <w:r>
        <w:rPr>
          <w:spacing w:val="-6"/>
        </w:rPr>
        <w:t xml:space="preserve"> </w:t>
      </w:r>
      <w:r>
        <w:t>už</w:t>
      </w:r>
      <w:r>
        <w:rPr>
          <w:spacing w:val="-6"/>
        </w:rPr>
        <w:t xml:space="preserve"> </w:t>
      </w:r>
      <w:r w:rsidR="0086574D">
        <w:t>dalyvavimą</w:t>
      </w:r>
      <w:r>
        <w:rPr>
          <w:spacing w:val="-7"/>
        </w:rPr>
        <w:t xml:space="preserve"> </w:t>
      </w:r>
      <w:r>
        <w:t>rinkos</w:t>
      </w:r>
      <w:r>
        <w:rPr>
          <w:spacing w:val="-6"/>
        </w:rPr>
        <w:t xml:space="preserve"> </w:t>
      </w:r>
      <w:r>
        <w:t>konsultacijoje</w:t>
      </w:r>
      <w:r>
        <w:rPr>
          <w:spacing w:val="-7"/>
        </w:rPr>
        <w:t xml:space="preserve"> </w:t>
      </w:r>
      <w:r>
        <w:t>dėl</w:t>
      </w:r>
      <w:r w:rsidR="0080397C">
        <w:t xml:space="preserve"> </w:t>
      </w:r>
      <w:r w:rsidR="0080397C" w:rsidRPr="0080397C">
        <w:rPr>
          <w:b/>
          <w:bCs/>
        </w:rPr>
        <w:t xml:space="preserve">110 </w:t>
      </w:r>
      <w:proofErr w:type="spellStart"/>
      <w:r w:rsidR="0080397C" w:rsidRPr="0080397C">
        <w:rPr>
          <w:b/>
          <w:bCs/>
        </w:rPr>
        <w:t>kV</w:t>
      </w:r>
      <w:proofErr w:type="spellEnd"/>
      <w:r w:rsidR="0080397C" w:rsidRPr="0080397C">
        <w:rPr>
          <w:b/>
          <w:bCs/>
        </w:rPr>
        <w:t xml:space="preserve"> Kaunas-Jonava I, II ir Kaunas-Vandžiogala </w:t>
      </w:r>
      <w:proofErr w:type="spellStart"/>
      <w:r w:rsidR="0080397C" w:rsidRPr="0080397C">
        <w:rPr>
          <w:b/>
          <w:bCs/>
        </w:rPr>
        <w:t>kabeliavimo</w:t>
      </w:r>
      <w:proofErr w:type="spellEnd"/>
      <w:r w:rsidR="0080397C" w:rsidRPr="0080397C">
        <w:rPr>
          <w:b/>
          <w:bCs/>
        </w:rPr>
        <w:t xml:space="preserve"> projektavimo ir rangos darbų</w:t>
      </w:r>
      <w:r>
        <w:t>. Pateikiami atsakymai į pateiktus komentarus / siūlymus.</w:t>
      </w:r>
    </w:p>
    <w:p w14:paraId="02C7148D" w14:textId="77777777" w:rsidR="006C3394" w:rsidRDefault="006C3394">
      <w:pPr>
        <w:pStyle w:val="BodyText"/>
        <w:spacing w:line="249" w:lineRule="auto"/>
        <w:ind w:left="102"/>
      </w:pPr>
    </w:p>
    <w:tbl>
      <w:tblPr>
        <w:tblStyle w:val="TableGrid"/>
        <w:tblW w:w="9733" w:type="dxa"/>
        <w:tblInd w:w="137" w:type="dxa"/>
        <w:tblLayout w:type="fixed"/>
        <w:tblLook w:val="04A0" w:firstRow="1" w:lastRow="0" w:firstColumn="1" w:lastColumn="0" w:noHBand="0" w:noVBand="1"/>
      </w:tblPr>
      <w:tblGrid>
        <w:gridCol w:w="2693"/>
        <w:gridCol w:w="3795"/>
        <w:gridCol w:w="3245"/>
      </w:tblGrid>
      <w:tr w:rsidR="00CD7BC8" w:rsidRPr="001A2924" w14:paraId="7B96AF54" w14:textId="7F347B36" w:rsidTr="00CD7BC8">
        <w:trPr>
          <w:trHeight w:val="589"/>
        </w:trPr>
        <w:tc>
          <w:tcPr>
            <w:tcW w:w="2693" w:type="dxa"/>
          </w:tcPr>
          <w:p w14:paraId="004BB99C" w14:textId="77777777" w:rsidR="00CD7BC8" w:rsidRPr="00C944E7" w:rsidRDefault="00CD7BC8" w:rsidP="006C3394">
            <w:pPr>
              <w:tabs>
                <w:tab w:val="left" w:pos="704"/>
              </w:tabs>
              <w:jc w:val="both"/>
              <w:rPr>
                <w:rFonts w:ascii="Arial" w:hAnsi="Arial" w:cs="Arial"/>
                <w:b/>
                <w:color w:val="244061" w:themeColor="accent1" w:themeShade="80"/>
              </w:rPr>
            </w:pPr>
            <w:r w:rsidRPr="00C944E7">
              <w:rPr>
                <w:rFonts w:ascii="Arial" w:hAnsi="Arial" w:cs="Arial"/>
                <w:b/>
                <w:bCs/>
                <w:color w:val="244061" w:themeColor="accent1" w:themeShade="80"/>
              </w:rPr>
              <w:t>Klausimas/siūloma redakcija</w:t>
            </w:r>
          </w:p>
        </w:tc>
        <w:tc>
          <w:tcPr>
            <w:tcW w:w="3795" w:type="dxa"/>
          </w:tcPr>
          <w:p w14:paraId="741C452C" w14:textId="77777777" w:rsidR="00CD7BC8" w:rsidRPr="00742A25" w:rsidRDefault="00CD7BC8" w:rsidP="00742A25">
            <w:pPr>
              <w:tabs>
                <w:tab w:val="left" w:pos="704"/>
              </w:tabs>
              <w:jc w:val="both"/>
              <w:rPr>
                <w:rFonts w:ascii="Arial" w:hAnsi="Arial" w:cs="Arial"/>
                <w:b/>
                <w:bCs/>
              </w:rPr>
            </w:pPr>
            <w:r w:rsidRPr="00742A25">
              <w:rPr>
                <w:rFonts w:ascii="Arial" w:hAnsi="Arial" w:cs="Arial"/>
                <w:b/>
                <w:bCs/>
                <w:color w:val="244061" w:themeColor="accent1" w:themeShade="80"/>
              </w:rPr>
              <w:t>Teikiamas komentaras / siūlymas</w:t>
            </w:r>
          </w:p>
        </w:tc>
        <w:tc>
          <w:tcPr>
            <w:tcW w:w="3245" w:type="dxa"/>
          </w:tcPr>
          <w:p w14:paraId="1B67B357" w14:textId="25A782FE" w:rsidR="00CD7BC8" w:rsidRPr="00C944E7" w:rsidRDefault="00CD7BC8" w:rsidP="006C3394">
            <w:pPr>
              <w:tabs>
                <w:tab w:val="left" w:pos="704"/>
              </w:tabs>
              <w:jc w:val="both"/>
              <w:rPr>
                <w:rFonts w:ascii="Arial" w:hAnsi="Arial" w:cs="Arial"/>
                <w:b/>
                <w:bCs/>
                <w:color w:val="244061" w:themeColor="accent1" w:themeShade="80"/>
              </w:rPr>
            </w:pPr>
            <w:r>
              <w:rPr>
                <w:rFonts w:ascii="Arial" w:hAnsi="Arial" w:cs="Arial"/>
                <w:b/>
                <w:bCs/>
                <w:color w:val="244061" w:themeColor="accent1" w:themeShade="80"/>
              </w:rPr>
              <w:t>Perkančiojo subjekto atsakymai</w:t>
            </w:r>
          </w:p>
        </w:tc>
      </w:tr>
      <w:tr w:rsidR="0080397C" w:rsidRPr="00A20A0F" w14:paraId="70A6032F" w14:textId="77777777" w:rsidTr="00CD7BC8">
        <w:trPr>
          <w:trHeight w:val="271"/>
        </w:trPr>
        <w:tc>
          <w:tcPr>
            <w:tcW w:w="2693" w:type="dxa"/>
            <w:shd w:val="clear" w:color="auto" w:fill="FFFFFF" w:themeFill="background1"/>
            <w:vAlign w:val="center"/>
          </w:tcPr>
          <w:p w14:paraId="3863EF20" w14:textId="77777777" w:rsidR="0080397C" w:rsidRPr="0080397C" w:rsidRDefault="0080397C" w:rsidP="0080397C">
            <w:pPr>
              <w:contextualSpacing/>
              <w:jc w:val="both"/>
              <w:rPr>
                <w:rFonts w:ascii="Arial" w:hAnsi="Arial" w:cs="Arial"/>
              </w:rPr>
            </w:pPr>
            <w:r w:rsidRPr="0080397C">
              <w:rPr>
                <w:rFonts w:ascii="Arial" w:hAnsi="Arial" w:cs="Arial"/>
              </w:rPr>
              <w:t>Kokie veiksniai turi įtakos pirkimo objekto kainos? Kas ir kokia dalimi galėtų mažinti kainą? Kas ją didina?</w:t>
            </w:r>
          </w:p>
          <w:p w14:paraId="25C9C3DE" w14:textId="6CD9777D" w:rsidR="0080397C" w:rsidRPr="00CD7BC8" w:rsidRDefault="0080397C" w:rsidP="0080397C">
            <w:pPr>
              <w:tabs>
                <w:tab w:val="left" w:pos="704"/>
              </w:tabs>
              <w:contextualSpacing/>
              <w:jc w:val="both"/>
              <w:rPr>
                <w:rFonts w:ascii="Arial" w:hAnsi="Arial" w:cs="Arial"/>
              </w:rPr>
            </w:pPr>
            <w:r w:rsidRPr="00CE6258">
              <w:rPr>
                <w:rFonts w:ascii="Arial" w:hAnsi="Arial" w:cs="Arial"/>
              </w:rPr>
              <w:t>Į kokius kainodaros aspektus Užsakovas turėtų atsižvelgti?</w:t>
            </w:r>
          </w:p>
        </w:tc>
        <w:tc>
          <w:tcPr>
            <w:tcW w:w="3795" w:type="dxa"/>
            <w:shd w:val="clear" w:color="auto" w:fill="FFFFFF" w:themeFill="background1"/>
            <w:vAlign w:val="center"/>
          </w:tcPr>
          <w:p w14:paraId="49434CFA" w14:textId="77777777" w:rsidR="0080397C" w:rsidRPr="00742A25" w:rsidRDefault="0080397C" w:rsidP="00742A25">
            <w:pPr>
              <w:contextualSpacing/>
              <w:jc w:val="both"/>
              <w:rPr>
                <w:rFonts w:ascii="Arial" w:hAnsi="Arial" w:cs="Arial"/>
                <w:color w:val="000000" w:themeColor="text1"/>
              </w:rPr>
            </w:pPr>
            <w:r w:rsidRPr="00742A25">
              <w:rPr>
                <w:rFonts w:ascii="Arial" w:hAnsi="Arial" w:cs="Arial"/>
              </w:rPr>
              <w:t>Pirkimo objekto kainai įtakos turi šie veiksniai:</w:t>
            </w:r>
          </w:p>
          <w:p w14:paraId="35ECDD60" w14:textId="77777777" w:rsidR="0080397C" w:rsidRPr="00742A25" w:rsidRDefault="0080397C" w:rsidP="00742A25">
            <w:pPr>
              <w:pStyle w:val="ListParagraph"/>
              <w:numPr>
                <w:ilvl w:val="0"/>
                <w:numId w:val="25"/>
              </w:numPr>
              <w:tabs>
                <w:tab w:val="left" w:pos="447"/>
              </w:tabs>
              <w:spacing w:line="276" w:lineRule="auto"/>
              <w:contextualSpacing/>
              <w:jc w:val="both"/>
              <w:rPr>
                <w:rFonts w:ascii="Arial" w:hAnsi="Arial" w:cs="Arial"/>
              </w:rPr>
            </w:pPr>
            <w:r w:rsidRPr="00742A25">
              <w:rPr>
                <w:rFonts w:ascii="Arial" w:hAnsi="Arial" w:cs="Arial"/>
              </w:rPr>
              <w:t>Medžiagų brangimas ir negarantuotas jų tiekimas dėl situacijos pasaulyje.</w:t>
            </w:r>
          </w:p>
          <w:p w14:paraId="5AF57B73" w14:textId="77777777" w:rsidR="0080397C" w:rsidRPr="00742A25" w:rsidRDefault="0080397C" w:rsidP="00742A25">
            <w:pPr>
              <w:pStyle w:val="ListParagraph"/>
              <w:numPr>
                <w:ilvl w:val="0"/>
                <w:numId w:val="25"/>
              </w:numPr>
              <w:tabs>
                <w:tab w:val="left" w:pos="447"/>
              </w:tabs>
              <w:spacing w:line="276" w:lineRule="auto"/>
              <w:contextualSpacing/>
              <w:jc w:val="both"/>
              <w:rPr>
                <w:rFonts w:ascii="Arial" w:hAnsi="Arial" w:cs="Arial"/>
              </w:rPr>
            </w:pPr>
            <w:r w:rsidRPr="00742A25">
              <w:rPr>
                <w:rFonts w:ascii="Arial" w:hAnsi="Arial" w:cs="Arial"/>
              </w:rPr>
              <w:t>Kuro ir energetinių resursų brangimas.</w:t>
            </w:r>
          </w:p>
          <w:p w14:paraId="4C9121CE" w14:textId="77777777" w:rsidR="0080397C" w:rsidRPr="00742A25" w:rsidRDefault="0080397C" w:rsidP="00742A25">
            <w:pPr>
              <w:pStyle w:val="ListParagraph"/>
              <w:numPr>
                <w:ilvl w:val="0"/>
                <w:numId w:val="25"/>
              </w:numPr>
              <w:tabs>
                <w:tab w:val="left" w:pos="447"/>
              </w:tabs>
              <w:spacing w:line="276" w:lineRule="auto"/>
              <w:contextualSpacing/>
              <w:jc w:val="both"/>
              <w:rPr>
                <w:rFonts w:ascii="Arial" w:hAnsi="Arial" w:cs="Arial"/>
              </w:rPr>
            </w:pPr>
            <w:r w:rsidRPr="00742A25">
              <w:rPr>
                <w:rFonts w:ascii="Arial" w:hAnsi="Arial" w:cs="Arial"/>
              </w:rPr>
              <w:t>Darbo jėgos brangimas ir trūkumas.</w:t>
            </w:r>
          </w:p>
          <w:p w14:paraId="3EC89B4A" w14:textId="77777777" w:rsidR="00742A25" w:rsidRPr="00742A25" w:rsidRDefault="00742A25" w:rsidP="00742A25">
            <w:pPr>
              <w:tabs>
                <w:tab w:val="left" w:pos="447"/>
              </w:tabs>
              <w:spacing w:line="276" w:lineRule="auto"/>
              <w:contextualSpacing/>
              <w:jc w:val="both"/>
              <w:rPr>
                <w:rFonts w:ascii="Arial" w:hAnsi="Arial" w:cs="Arial"/>
              </w:rPr>
            </w:pPr>
          </w:p>
          <w:p w14:paraId="68128AA0" w14:textId="1E8B6FB3"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Veiksniai, galintys didinti kainą:</w:t>
            </w:r>
          </w:p>
          <w:p w14:paraId="2A5D14D6"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Techninių reikalavimų sudėtingumas:</w:t>
            </w:r>
          </w:p>
          <w:p w14:paraId="678D14F6" w14:textId="748873D7" w:rsidR="00742A25" w:rsidRPr="00742A25" w:rsidRDefault="00742A25" w:rsidP="00707A5A">
            <w:pPr>
              <w:pStyle w:val="ListParagraph"/>
              <w:numPr>
                <w:ilvl w:val="0"/>
                <w:numId w:val="25"/>
              </w:numPr>
              <w:tabs>
                <w:tab w:val="left" w:pos="605"/>
              </w:tabs>
              <w:spacing w:line="276" w:lineRule="auto"/>
              <w:ind w:left="38" w:firstLine="0"/>
              <w:contextualSpacing/>
              <w:jc w:val="both"/>
              <w:rPr>
                <w:rFonts w:ascii="Arial" w:hAnsi="Arial" w:cs="Arial"/>
              </w:rPr>
            </w:pPr>
            <w:r w:rsidRPr="00742A25">
              <w:rPr>
                <w:rFonts w:ascii="Arial" w:hAnsi="Arial" w:cs="Arial"/>
              </w:rPr>
              <w:t>Statybos techniniai normatyvai, reikalaujantys specialių įrenginių ar medžiagų.</w:t>
            </w:r>
          </w:p>
          <w:p w14:paraId="2A6A1A61"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Rizikų perdavimas rangovui:</w:t>
            </w:r>
          </w:p>
          <w:p w14:paraId="4F272A26" w14:textId="521DC447" w:rsidR="00742A25" w:rsidRPr="00742A25" w:rsidRDefault="00742A25" w:rsidP="000F0269">
            <w:pPr>
              <w:pStyle w:val="ListParagraph"/>
              <w:numPr>
                <w:ilvl w:val="0"/>
                <w:numId w:val="25"/>
              </w:numPr>
              <w:tabs>
                <w:tab w:val="left" w:pos="447"/>
              </w:tabs>
              <w:spacing w:line="276" w:lineRule="auto"/>
              <w:ind w:left="38" w:hanging="16"/>
              <w:contextualSpacing/>
              <w:jc w:val="both"/>
              <w:rPr>
                <w:rFonts w:ascii="Arial" w:hAnsi="Arial" w:cs="Arial"/>
              </w:rPr>
            </w:pPr>
            <w:r w:rsidRPr="00742A25">
              <w:rPr>
                <w:rFonts w:ascii="Arial" w:hAnsi="Arial" w:cs="Arial"/>
              </w:rPr>
              <w:t>Rangovui priskiriamos atsakomybės, tokios kaip leidimų, suderinimų ar tyrimų organizavimas, didina riziką, kurią rangovai įskaičiuoja į kainą.</w:t>
            </w:r>
          </w:p>
          <w:p w14:paraId="2C88E0AD"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Griežtos netesybos ir delspinigiai:</w:t>
            </w:r>
          </w:p>
          <w:p w14:paraId="19774522" w14:textId="1990C7CE" w:rsidR="00742A25" w:rsidRPr="00742A25" w:rsidRDefault="00742A25" w:rsidP="0028472E">
            <w:pPr>
              <w:pStyle w:val="ListParagraph"/>
              <w:numPr>
                <w:ilvl w:val="0"/>
                <w:numId w:val="25"/>
              </w:numPr>
              <w:tabs>
                <w:tab w:val="left" w:pos="463"/>
              </w:tabs>
              <w:spacing w:line="276" w:lineRule="auto"/>
              <w:ind w:left="38" w:hanging="16"/>
              <w:contextualSpacing/>
              <w:jc w:val="both"/>
              <w:rPr>
                <w:rFonts w:ascii="Arial" w:hAnsi="Arial" w:cs="Arial"/>
              </w:rPr>
            </w:pPr>
            <w:r w:rsidRPr="00742A25">
              <w:rPr>
                <w:rFonts w:ascii="Arial" w:hAnsi="Arial" w:cs="Arial"/>
              </w:rPr>
              <w:t>Delspinigiai už darbų vėlavimą, grafiko pateikimo ar kitų sąlygų nesilaikymą skatina rangovą pridėti papildomas išlaidas, skirtas šiai rizikai padengti.</w:t>
            </w:r>
          </w:p>
          <w:p w14:paraId="0FA3E4FF"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Mokėjimų etapavimas:</w:t>
            </w:r>
          </w:p>
          <w:p w14:paraId="6DE071F1" w14:textId="247F4A1E" w:rsidR="00742A25" w:rsidRPr="00742A25" w:rsidRDefault="00742A25" w:rsidP="00742A25">
            <w:pPr>
              <w:pStyle w:val="ListParagraph"/>
              <w:numPr>
                <w:ilvl w:val="0"/>
                <w:numId w:val="25"/>
              </w:numPr>
              <w:tabs>
                <w:tab w:val="left" w:pos="447"/>
              </w:tabs>
              <w:spacing w:line="276" w:lineRule="auto"/>
              <w:ind w:left="38" w:hanging="16"/>
              <w:contextualSpacing/>
              <w:jc w:val="both"/>
              <w:rPr>
                <w:rFonts w:ascii="Arial" w:hAnsi="Arial" w:cs="Arial"/>
              </w:rPr>
            </w:pPr>
            <w:r w:rsidRPr="00742A25">
              <w:rPr>
                <w:rFonts w:ascii="Arial" w:hAnsi="Arial" w:cs="Arial"/>
              </w:rPr>
              <w:t>Apribotas apmokėjimas už nesumontuotus įrenginius ar darbų dalis (pvz., tik iki 70 %) skatina įtraukti papildomas finansines išlaidas už pinigų srautų valdymą.</w:t>
            </w:r>
          </w:p>
          <w:p w14:paraId="56802AAB"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Projekto apimtis ir sudėtingumas:</w:t>
            </w:r>
          </w:p>
          <w:p w14:paraId="4EB1ED4E" w14:textId="6044B4D6" w:rsidR="00742A25" w:rsidRPr="00742A25" w:rsidRDefault="00742A25" w:rsidP="00742A25">
            <w:pPr>
              <w:pStyle w:val="ListParagraph"/>
              <w:numPr>
                <w:ilvl w:val="0"/>
                <w:numId w:val="25"/>
              </w:numPr>
              <w:tabs>
                <w:tab w:val="left" w:pos="463"/>
              </w:tabs>
              <w:spacing w:line="276" w:lineRule="auto"/>
              <w:ind w:left="38" w:hanging="16"/>
              <w:contextualSpacing/>
              <w:jc w:val="both"/>
              <w:rPr>
                <w:rFonts w:ascii="Arial" w:hAnsi="Arial" w:cs="Arial"/>
              </w:rPr>
            </w:pPr>
            <w:r w:rsidRPr="00742A25">
              <w:rPr>
                <w:rFonts w:ascii="Arial" w:hAnsi="Arial" w:cs="Arial"/>
              </w:rPr>
              <w:t>Kompleksiniai projektai, apimantys kelis etapus ir ilgesnį įvykdymo laikotarpį, padidina kaštus dėl ilgesnio finansavimo poreikio.</w:t>
            </w:r>
          </w:p>
          <w:p w14:paraId="1AE99863"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Veiksniai, galintys mažinti kainą:</w:t>
            </w:r>
          </w:p>
          <w:p w14:paraId="0E87D9A5"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lastRenderedPageBreak/>
              <w:t>Aiškiai apibrėžtas projektas ir reikalavimai:</w:t>
            </w:r>
          </w:p>
          <w:p w14:paraId="778D6F22" w14:textId="38AD2CDF" w:rsidR="00742A25" w:rsidRPr="00742A25" w:rsidRDefault="00742A25" w:rsidP="004619A9">
            <w:pPr>
              <w:pStyle w:val="ListParagraph"/>
              <w:numPr>
                <w:ilvl w:val="0"/>
                <w:numId w:val="25"/>
              </w:numPr>
              <w:tabs>
                <w:tab w:val="left" w:pos="447"/>
              </w:tabs>
              <w:spacing w:line="276" w:lineRule="auto"/>
              <w:ind w:left="38" w:hanging="16"/>
              <w:contextualSpacing/>
              <w:jc w:val="both"/>
              <w:rPr>
                <w:rFonts w:ascii="Arial" w:hAnsi="Arial" w:cs="Arial"/>
              </w:rPr>
            </w:pPr>
            <w:r w:rsidRPr="00742A25">
              <w:rPr>
                <w:rFonts w:ascii="Arial" w:hAnsi="Arial" w:cs="Arial"/>
              </w:rPr>
              <w:t>Jei techninė užduotis ir specifikacijos yra detalios bei nekintančios, rangovas gali tiksliau įvertinti išlaidas, mažindamas riziką ir kainą.</w:t>
            </w:r>
          </w:p>
          <w:p w14:paraId="07ED7167"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Palankios mokėjimo sąlygos:</w:t>
            </w:r>
          </w:p>
          <w:p w14:paraId="307D2EB0" w14:textId="7CFB4E16" w:rsidR="00742A25" w:rsidRPr="00742A25" w:rsidRDefault="00742A25" w:rsidP="00742A25">
            <w:pPr>
              <w:pStyle w:val="ListParagraph"/>
              <w:numPr>
                <w:ilvl w:val="0"/>
                <w:numId w:val="25"/>
              </w:numPr>
              <w:tabs>
                <w:tab w:val="left" w:pos="463"/>
              </w:tabs>
              <w:spacing w:line="276" w:lineRule="auto"/>
              <w:ind w:left="38" w:hanging="16"/>
              <w:contextualSpacing/>
              <w:jc w:val="both"/>
              <w:rPr>
                <w:rFonts w:ascii="Arial" w:hAnsi="Arial" w:cs="Arial"/>
              </w:rPr>
            </w:pPr>
            <w:r w:rsidRPr="00742A25">
              <w:rPr>
                <w:rFonts w:ascii="Arial" w:hAnsi="Arial" w:cs="Arial"/>
              </w:rPr>
              <w:t>Lankstesnis apmokėjimo už nesumontuotus įrenginius procentas</w:t>
            </w:r>
            <w:r>
              <w:rPr>
                <w:rFonts w:ascii="Arial" w:hAnsi="Arial" w:cs="Arial"/>
              </w:rPr>
              <w:t xml:space="preserve"> </w:t>
            </w:r>
            <w:r w:rsidRPr="00742A25">
              <w:rPr>
                <w:rFonts w:ascii="Arial" w:hAnsi="Arial" w:cs="Arial"/>
              </w:rPr>
              <w:t>ar išankstiniai mokėjimai sumažina rangovo finansavimo kaštus.</w:t>
            </w:r>
          </w:p>
          <w:p w14:paraId="192B21F6" w14:textId="34DF0BCC" w:rsidR="00742A25" w:rsidRPr="00742A25" w:rsidRDefault="00742A25" w:rsidP="00742A25">
            <w:pPr>
              <w:pStyle w:val="ListParagraph"/>
              <w:numPr>
                <w:ilvl w:val="0"/>
                <w:numId w:val="25"/>
              </w:numPr>
              <w:tabs>
                <w:tab w:val="left" w:pos="447"/>
              </w:tabs>
              <w:spacing w:line="276" w:lineRule="auto"/>
              <w:contextualSpacing/>
              <w:jc w:val="both"/>
              <w:rPr>
                <w:rFonts w:ascii="Arial" w:hAnsi="Arial" w:cs="Arial"/>
              </w:rPr>
            </w:pPr>
            <w:r w:rsidRPr="00742A25">
              <w:rPr>
                <w:rFonts w:ascii="Arial" w:hAnsi="Arial" w:cs="Arial"/>
              </w:rPr>
              <w:t>Efektyvus rizikos pasidalijimas:</w:t>
            </w:r>
          </w:p>
          <w:p w14:paraId="26C2926A" w14:textId="4EB66A2C" w:rsidR="00742A25" w:rsidRPr="00742A25" w:rsidRDefault="00742A25" w:rsidP="00742A25">
            <w:pPr>
              <w:pStyle w:val="ListParagraph"/>
              <w:numPr>
                <w:ilvl w:val="0"/>
                <w:numId w:val="25"/>
              </w:numPr>
              <w:tabs>
                <w:tab w:val="left" w:pos="447"/>
              </w:tabs>
              <w:spacing w:line="276" w:lineRule="auto"/>
              <w:contextualSpacing/>
              <w:jc w:val="both"/>
              <w:rPr>
                <w:rFonts w:ascii="Arial" w:hAnsi="Arial" w:cs="Arial"/>
              </w:rPr>
            </w:pPr>
            <w:r w:rsidRPr="00742A25">
              <w:rPr>
                <w:rFonts w:ascii="Arial" w:hAnsi="Arial" w:cs="Arial"/>
              </w:rPr>
              <w:t xml:space="preserve">Rizikų, tokių kaip leidimų gavimas ar </w:t>
            </w:r>
          </w:p>
          <w:p w14:paraId="078F558E" w14:textId="6BCCA09F"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suderinimai, pasidalijimas tarp rangovo ir užsakovo sumažina neapibrėžtumus ir galimas atsakomybės sąnaudas.</w:t>
            </w:r>
          </w:p>
          <w:p w14:paraId="20D1D745" w14:textId="77777777"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2. Užsakovas turėtų atsižvelgti į:</w:t>
            </w:r>
          </w:p>
          <w:p w14:paraId="2D3C2BC3" w14:textId="243AD2C6"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Mokėjimo struktūra ir sąlygas</w:t>
            </w:r>
            <w:r>
              <w:rPr>
                <w:rFonts w:ascii="Arial" w:hAnsi="Arial" w:cs="Arial"/>
              </w:rPr>
              <w:t>;</w:t>
            </w:r>
          </w:p>
          <w:p w14:paraId="7867AC6E" w14:textId="7FB4B5B1"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Rizikos valdymo paskirstymą</w:t>
            </w:r>
            <w:r>
              <w:rPr>
                <w:rFonts w:ascii="Arial" w:hAnsi="Arial" w:cs="Arial"/>
              </w:rPr>
              <w:t>;</w:t>
            </w:r>
          </w:p>
          <w:p w14:paraId="3C4EFAF0" w14:textId="16E07824"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Techninius reikalavimus</w:t>
            </w:r>
            <w:r>
              <w:rPr>
                <w:rFonts w:ascii="Arial" w:hAnsi="Arial" w:cs="Arial"/>
              </w:rPr>
              <w:t>;</w:t>
            </w:r>
          </w:p>
          <w:p w14:paraId="3CFD9025" w14:textId="0D732DC1"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Garantijas ir draudimą</w:t>
            </w:r>
            <w:r>
              <w:rPr>
                <w:rFonts w:ascii="Arial" w:hAnsi="Arial" w:cs="Arial"/>
              </w:rPr>
              <w:t>;</w:t>
            </w:r>
          </w:p>
          <w:p w14:paraId="486BF0B1" w14:textId="4F9240E6" w:rsidR="00742A25" w:rsidRPr="00742A25" w:rsidRDefault="00742A25" w:rsidP="00742A25">
            <w:pPr>
              <w:tabs>
                <w:tab w:val="left" w:pos="447"/>
              </w:tabs>
              <w:spacing w:line="276" w:lineRule="auto"/>
              <w:contextualSpacing/>
              <w:jc w:val="both"/>
              <w:rPr>
                <w:rFonts w:ascii="Arial" w:hAnsi="Arial" w:cs="Arial"/>
              </w:rPr>
            </w:pPr>
            <w:r w:rsidRPr="00742A25">
              <w:rPr>
                <w:rFonts w:ascii="Arial" w:hAnsi="Arial" w:cs="Arial"/>
              </w:rPr>
              <w:t>- Sutarties trukmę ir etapus (sudaryti realistišką grafiką)</w:t>
            </w:r>
            <w:r>
              <w:rPr>
                <w:rFonts w:ascii="Arial" w:hAnsi="Arial" w:cs="Arial"/>
              </w:rPr>
              <w:t>.</w:t>
            </w:r>
          </w:p>
        </w:tc>
        <w:tc>
          <w:tcPr>
            <w:tcW w:w="3245" w:type="dxa"/>
            <w:shd w:val="clear" w:color="auto" w:fill="FFFFFF" w:themeFill="background1"/>
          </w:tcPr>
          <w:p w14:paraId="6FFDA4BE" w14:textId="1BB024F4" w:rsidR="0080397C" w:rsidRPr="003B7C3D" w:rsidRDefault="00096AC8" w:rsidP="0080397C">
            <w:pPr>
              <w:tabs>
                <w:tab w:val="left" w:pos="704"/>
              </w:tabs>
              <w:contextualSpacing/>
              <w:rPr>
                <w:rFonts w:ascii="Arial" w:hAnsi="Arial" w:cs="Arial"/>
              </w:rPr>
            </w:pPr>
            <w:r>
              <w:rPr>
                <w:rFonts w:ascii="Arial" w:hAnsi="Arial" w:cs="Arial"/>
              </w:rPr>
              <w:lastRenderedPageBreak/>
              <w:t>Dėkojame už įžvalgas.</w:t>
            </w:r>
          </w:p>
        </w:tc>
      </w:tr>
      <w:tr w:rsidR="00A924DF" w:rsidRPr="00A20A0F" w14:paraId="7A932A63" w14:textId="77777777" w:rsidTr="00D0080A">
        <w:trPr>
          <w:trHeight w:val="271"/>
        </w:trPr>
        <w:tc>
          <w:tcPr>
            <w:tcW w:w="2693" w:type="dxa"/>
            <w:shd w:val="clear" w:color="auto" w:fill="FFFFFF" w:themeFill="background1"/>
            <w:vAlign w:val="center"/>
          </w:tcPr>
          <w:p w14:paraId="47BAD710" w14:textId="5CF87116" w:rsidR="00A924DF" w:rsidRDefault="00A924DF" w:rsidP="0080397C">
            <w:pPr>
              <w:contextualSpacing/>
              <w:jc w:val="both"/>
              <w:rPr>
                <w:rFonts w:ascii="Arial" w:hAnsi="Arial" w:cs="Arial"/>
                <w:color w:val="000000"/>
              </w:rPr>
            </w:pPr>
            <w:r w:rsidRPr="00A924DF">
              <w:rPr>
                <w:rFonts w:ascii="Arial" w:hAnsi="Arial" w:cs="Arial"/>
                <w:color w:val="000000"/>
              </w:rPr>
              <w:t xml:space="preserve">Ar nėra nepagrįstų ir perteklinių reikalavimų? </w:t>
            </w:r>
            <w:r w:rsidR="00D0080A">
              <w:rPr>
                <w:rFonts w:ascii="Arial" w:hAnsi="Arial" w:cs="Arial"/>
                <w:color w:val="000000"/>
              </w:rPr>
              <w:br/>
            </w:r>
          </w:p>
          <w:p w14:paraId="0B82E3F3" w14:textId="1FABE2B9" w:rsidR="00A924DF" w:rsidRPr="0080397C" w:rsidRDefault="00A924DF" w:rsidP="0080397C">
            <w:pPr>
              <w:contextualSpacing/>
              <w:jc w:val="both"/>
              <w:rPr>
                <w:rFonts w:ascii="Arial" w:hAnsi="Arial" w:cs="Arial"/>
                <w:color w:val="000000"/>
              </w:rPr>
            </w:pPr>
            <w:r w:rsidRPr="00A924DF">
              <w:rPr>
                <w:rFonts w:ascii="Arial" w:hAnsi="Arial" w:cs="Arial"/>
                <w:color w:val="000000"/>
              </w:rPr>
              <w:t>Kokius pasiūlytumėte taikyti aplinkosauginius reikalavimus?</w:t>
            </w:r>
          </w:p>
        </w:tc>
        <w:tc>
          <w:tcPr>
            <w:tcW w:w="3795" w:type="dxa"/>
            <w:shd w:val="clear" w:color="auto" w:fill="FFFFFF" w:themeFill="background1"/>
          </w:tcPr>
          <w:p w14:paraId="656F6217" w14:textId="7D13001E" w:rsidR="00D0080A" w:rsidRPr="00742A25" w:rsidRDefault="00A924DF" w:rsidP="00742A25">
            <w:pPr>
              <w:contextualSpacing/>
              <w:jc w:val="both"/>
              <w:rPr>
                <w:rFonts w:ascii="Arial" w:hAnsi="Arial" w:cs="Arial"/>
                <w:color w:val="000000" w:themeColor="text1"/>
              </w:rPr>
            </w:pPr>
            <w:r w:rsidRPr="00742A25">
              <w:rPr>
                <w:rFonts w:ascii="Arial" w:hAnsi="Arial" w:cs="Arial"/>
                <w:color w:val="000000" w:themeColor="text1"/>
              </w:rPr>
              <w:t>Sutarčių suma galėtų būti mažesnė.</w:t>
            </w:r>
            <w:r w:rsidR="00D0080A" w:rsidRPr="00742A25">
              <w:rPr>
                <w:rFonts w:ascii="Arial" w:hAnsi="Arial" w:cs="Arial"/>
                <w:color w:val="000000" w:themeColor="text1"/>
              </w:rPr>
              <w:br/>
            </w:r>
          </w:p>
          <w:p w14:paraId="376F8A7D" w14:textId="13BD30BD" w:rsidR="00A924DF" w:rsidRPr="00742A25" w:rsidRDefault="00A924DF" w:rsidP="00742A25">
            <w:pPr>
              <w:contextualSpacing/>
              <w:jc w:val="both"/>
              <w:rPr>
                <w:rFonts w:ascii="Arial" w:hAnsi="Arial" w:cs="Arial"/>
                <w:color w:val="000000" w:themeColor="text1"/>
              </w:rPr>
            </w:pPr>
            <w:r w:rsidRPr="00742A25">
              <w:rPr>
                <w:rFonts w:ascii="Arial" w:hAnsi="Arial" w:cs="Arial"/>
                <w:color w:val="000000" w:themeColor="text1"/>
              </w:rPr>
              <w:t xml:space="preserve">Siūlome pridėti ne tik ISO 14001 </w:t>
            </w:r>
            <w:r w:rsidR="00D0080A" w:rsidRPr="00742A25">
              <w:rPr>
                <w:rFonts w:ascii="Arial" w:hAnsi="Arial" w:cs="Arial"/>
                <w:color w:val="000000" w:themeColor="text1"/>
              </w:rPr>
              <w:t>reikalavimą</w:t>
            </w:r>
            <w:r w:rsidRPr="00742A25">
              <w:rPr>
                <w:rFonts w:ascii="Arial" w:hAnsi="Arial" w:cs="Arial"/>
                <w:color w:val="000000" w:themeColor="text1"/>
              </w:rPr>
              <w:t>, bet ir ISO 9001, kad būtų užtikrinama ir kokybė iš rangovo pusės</w:t>
            </w:r>
            <w:r w:rsidR="00D0080A" w:rsidRPr="00742A25">
              <w:rPr>
                <w:rFonts w:ascii="Arial" w:hAnsi="Arial" w:cs="Arial"/>
                <w:color w:val="000000" w:themeColor="text1"/>
              </w:rPr>
              <w:t>.</w:t>
            </w:r>
          </w:p>
        </w:tc>
        <w:tc>
          <w:tcPr>
            <w:tcW w:w="3245" w:type="dxa"/>
            <w:shd w:val="clear" w:color="auto" w:fill="FFFFFF" w:themeFill="background1"/>
          </w:tcPr>
          <w:p w14:paraId="23EC3A3A" w14:textId="77777777" w:rsidR="00A924DF" w:rsidRDefault="00042F1D" w:rsidP="00042F1D">
            <w:pPr>
              <w:pStyle w:val="ListParagraph"/>
              <w:numPr>
                <w:ilvl w:val="0"/>
                <w:numId w:val="25"/>
              </w:numPr>
              <w:tabs>
                <w:tab w:val="left" w:pos="704"/>
              </w:tabs>
              <w:contextualSpacing/>
              <w:rPr>
                <w:rFonts w:ascii="Arial" w:hAnsi="Arial" w:cs="Arial"/>
              </w:rPr>
            </w:pPr>
            <w:r w:rsidRPr="00042F1D">
              <w:rPr>
                <w:rFonts w:ascii="Arial" w:hAnsi="Arial" w:cs="Arial"/>
              </w:rPr>
              <w:t>Siekiame užtikrinti patyrusių tiekėjų dalyvavimą pirkime, todėl sutarčių sumų reikalavimo nemažinsime</w:t>
            </w:r>
          </w:p>
          <w:p w14:paraId="4D20B381" w14:textId="20637DEE" w:rsidR="00042F1D" w:rsidRPr="00042F1D" w:rsidRDefault="00042F1D" w:rsidP="00042F1D">
            <w:pPr>
              <w:pStyle w:val="ListParagraph"/>
              <w:numPr>
                <w:ilvl w:val="0"/>
                <w:numId w:val="25"/>
              </w:numPr>
              <w:tabs>
                <w:tab w:val="left" w:pos="704"/>
              </w:tabs>
              <w:contextualSpacing/>
              <w:rPr>
                <w:rFonts w:ascii="Arial" w:hAnsi="Arial" w:cs="Arial"/>
              </w:rPr>
            </w:pPr>
            <w:r>
              <w:rPr>
                <w:rFonts w:ascii="Arial" w:hAnsi="Arial" w:cs="Arial"/>
              </w:rPr>
              <w:t>Rangovų kokybę užtikrinsime kitais būdais (MKR)</w:t>
            </w:r>
          </w:p>
        </w:tc>
      </w:tr>
      <w:tr w:rsidR="0080397C" w:rsidRPr="00A20A0F" w14:paraId="1A07159A" w14:textId="77777777" w:rsidTr="00D0080A">
        <w:trPr>
          <w:trHeight w:val="271"/>
        </w:trPr>
        <w:tc>
          <w:tcPr>
            <w:tcW w:w="2693" w:type="dxa"/>
            <w:shd w:val="clear" w:color="auto" w:fill="FFFFFF" w:themeFill="background1"/>
            <w:vAlign w:val="center"/>
          </w:tcPr>
          <w:p w14:paraId="2E9E688F" w14:textId="77777777" w:rsidR="0080397C" w:rsidRPr="0080397C" w:rsidRDefault="0080397C" w:rsidP="00D0080A">
            <w:pPr>
              <w:contextualSpacing/>
              <w:jc w:val="both"/>
              <w:rPr>
                <w:rFonts w:ascii="Arial" w:hAnsi="Arial" w:cs="Arial"/>
                <w:color w:val="000000"/>
              </w:rPr>
            </w:pPr>
            <w:r w:rsidRPr="0080397C">
              <w:rPr>
                <w:rFonts w:ascii="Arial" w:hAnsi="Arial" w:cs="Arial"/>
                <w:color w:val="000000"/>
              </w:rPr>
              <w:t>Ar Sutarties projektas yra priimtinas? Ar yra kritinių punktų Sutartyje kas lemtų Jūsų nedalyvavimą pirkime arba reikšmingai didintų kainą?</w:t>
            </w:r>
          </w:p>
          <w:p w14:paraId="72ED66BE" w14:textId="0E1DF797" w:rsidR="0080397C" w:rsidRPr="00CD7BC8" w:rsidRDefault="0080397C" w:rsidP="00D0080A">
            <w:pPr>
              <w:tabs>
                <w:tab w:val="left" w:pos="704"/>
              </w:tabs>
              <w:contextualSpacing/>
              <w:jc w:val="both"/>
              <w:rPr>
                <w:rFonts w:ascii="Arial" w:hAnsi="Arial" w:cs="Arial"/>
              </w:rPr>
            </w:pPr>
            <w:r w:rsidRPr="003D4B4C">
              <w:rPr>
                <w:rFonts w:ascii="Arial" w:hAnsi="Arial" w:cs="Arial"/>
                <w:color w:val="000000"/>
              </w:rPr>
              <w:t>Komentarai gali būti teikiami rašant komentarus pridėtame Sutarties projekte arba šioje pastabų lentelėje.</w:t>
            </w:r>
          </w:p>
        </w:tc>
        <w:tc>
          <w:tcPr>
            <w:tcW w:w="3795" w:type="dxa"/>
            <w:shd w:val="clear" w:color="auto" w:fill="FFFFFF" w:themeFill="background1"/>
          </w:tcPr>
          <w:p w14:paraId="361D9FBC" w14:textId="77777777" w:rsidR="0080397C" w:rsidRPr="00742A25" w:rsidRDefault="0080397C" w:rsidP="00742A25">
            <w:pPr>
              <w:contextualSpacing/>
              <w:jc w:val="both"/>
              <w:rPr>
                <w:rFonts w:ascii="Arial" w:hAnsi="Arial" w:cs="Arial"/>
                <w:color w:val="000000" w:themeColor="text1"/>
              </w:rPr>
            </w:pPr>
            <w:r w:rsidRPr="00742A25">
              <w:rPr>
                <w:rFonts w:ascii="Arial" w:hAnsi="Arial" w:cs="Arial"/>
                <w:color w:val="000000" w:themeColor="text1"/>
              </w:rPr>
              <w:t xml:space="preserve">Ne, </w:t>
            </w:r>
            <w:r w:rsidRPr="00742A25">
              <w:rPr>
                <w:rFonts w:ascii="Arial" w:hAnsi="Arial" w:cs="Arial"/>
                <w:color w:val="000000"/>
              </w:rPr>
              <w:t>Sutarties projektas yra nepriimtinas:</w:t>
            </w:r>
          </w:p>
          <w:p w14:paraId="2985CF22" w14:textId="77777777" w:rsidR="0080397C" w:rsidRPr="00742A25" w:rsidRDefault="0080397C" w:rsidP="00742A25">
            <w:pPr>
              <w:pStyle w:val="ListParagraph"/>
              <w:numPr>
                <w:ilvl w:val="0"/>
                <w:numId w:val="25"/>
              </w:numPr>
              <w:contextualSpacing/>
              <w:jc w:val="both"/>
              <w:rPr>
                <w:rFonts w:ascii="Arial" w:hAnsi="Arial" w:cs="Arial"/>
                <w:color w:val="000000" w:themeColor="text1"/>
              </w:rPr>
            </w:pPr>
            <w:r w:rsidRPr="00742A25">
              <w:rPr>
                <w:rFonts w:ascii="Arial" w:hAnsi="Arial" w:cs="Arial"/>
                <w:color w:val="000000" w:themeColor="text1"/>
              </w:rPr>
              <w:t>Per trumpas I darbų etapas (nevertintas projektinių pasiūlymų derinimo laikas, statybos leidimo gavimo laikas (1 mėn.)). Siūlome I darbų etapo terminą – 8 mėn.</w:t>
            </w:r>
          </w:p>
          <w:p w14:paraId="68B1CE08" w14:textId="77777777" w:rsidR="0080397C" w:rsidRPr="00742A25" w:rsidRDefault="0080397C" w:rsidP="00742A25">
            <w:pPr>
              <w:pStyle w:val="CommentText"/>
              <w:tabs>
                <w:tab w:val="left" w:pos="567"/>
                <w:tab w:val="left" w:pos="704"/>
                <w:tab w:val="left" w:pos="993"/>
              </w:tabs>
              <w:jc w:val="both"/>
              <w:rPr>
                <w:rFonts w:ascii="Arial" w:hAnsi="Arial" w:cs="Arial"/>
                <w:color w:val="000000" w:themeColor="text1"/>
              </w:rPr>
            </w:pPr>
            <w:r w:rsidRPr="00742A25">
              <w:rPr>
                <w:rFonts w:ascii="Arial" w:hAnsi="Arial" w:cs="Arial"/>
                <w:color w:val="000000" w:themeColor="text1"/>
              </w:rPr>
              <w:t>Su kitais darbų etapų terminais</w:t>
            </w:r>
            <w:r w:rsidR="00D0080A" w:rsidRPr="00742A25">
              <w:rPr>
                <w:rFonts w:ascii="Arial" w:hAnsi="Arial" w:cs="Arial"/>
                <w:color w:val="000000" w:themeColor="text1"/>
              </w:rPr>
              <w:t xml:space="preserve"> s</w:t>
            </w:r>
            <w:r w:rsidRPr="00742A25">
              <w:rPr>
                <w:rFonts w:ascii="Arial" w:hAnsi="Arial" w:cs="Arial"/>
                <w:color w:val="000000" w:themeColor="text1"/>
              </w:rPr>
              <w:t>utinkame.</w:t>
            </w:r>
          </w:p>
          <w:p w14:paraId="35B5C642" w14:textId="77777777" w:rsidR="00D0080A" w:rsidRPr="00742A25" w:rsidRDefault="00D0080A" w:rsidP="00742A25">
            <w:pPr>
              <w:pStyle w:val="CommentText"/>
              <w:tabs>
                <w:tab w:val="left" w:pos="567"/>
                <w:tab w:val="left" w:pos="704"/>
                <w:tab w:val="left" w:pos="993"/>
              </w:tabs>
              <w:jc w:val="both"/>
              <w:rPr>
                <w:rFonts w:ascii="Arial" w:hAnsi="Arial" w:cs="Arial"/>
                <w:color w:val="000000" w:themeColor="text1"/>
              </w:rPr>
            </w:pPr>
          </w:p>
          <w:p w14:paraId="344BAB8F" w14:textId="6014838B"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Sutarties projektas atrodo išsamus, detaliai reglamentuojantis rangovo ir užsakovo teises bei pareigas. Pateikiama aiški darbų organizavimo, atlikimo, grafiko, apmokėjimų ir atsakomybės sistema. Tačiau kai kurie punktai gali būti vertinami kaip potencialiai problemiški rangovui:</w:t>
            </w:r>
          </w:p>
          <w:p w14:paraId="560153E8" w14:textId="77777777"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Delspinigiai ir netesybos:</w:t>
            </w:r>
          </w:p>
          <w:p w14:paraId="0BFCC5A6" w14:textId="4AAA7A5F" w:rsidR="00D0080A" w:rsidRPr="00742A25" w:rsidRDefault="00D0080A" w:rsidP="00742A25">
            <w:pPr>
              <w:pStyle w:val="CommentText"/>
              <w:numPr>
                <w:ilvl w:val="0"/>
                <w:numId w:val="25"/>
              </w:numPr>
              <w:tabs>
                <w:tab w:val="left" w:pos="567"/>
                <w:tab w:val="left" w:pos="704"/>
                <w:tab w:val="left" w:pos="993"/>
              </w:tabs>
              <w:jc w:val="both"/>
              <w:rPr>
                <w:rFonts w:ascii="Arial" w:hAnsi="Arial" w:cs="Arial"/>
              </w:rPr>
            </w:pPr>
            <w:r w:rsidRPr="00742A25">
              <w:rPr>
                <w:rFonts w:ascii="Arial" w:hAnsi="Arial" w:cs="Arial"/>
              </w:rPr>
              <w:t xml:space="preserve">Grafiko nesilaikymo atveju numatyti </w:t>
            </w:r>
          </w:p>
          <w:p w14:paraId="7B372706" w14:textId="77777777"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xml:space="preserve">delspinigiai (pvz., 100 eurų per dieną </w:t>
            </w:r>
          </w:p>
          <w:p w14:paraId="6BFF0B0C" w14:textId="7A61D45E"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už vėlavimą pateikti grafiką, su padidėjimu kas 5 dienas iki 10 000 eurų) yra griežti ir gali reikšmingai paveikti rangovo finansinę padėtį.</w:t>
            </w:r>
          </w:p>
          <w:p w14:paraId="3257B95B" w14:textId="61248028"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xml:space="preserve">- Už sutarties įsipareigojimų nevykdymą </w:t>
            </w:r>
          </w:p>
          <w:p w14:paraId="7C3C0097" w14:textId="161D212C"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lastRenderedPageBreak/>
              <w:t xml:space="preserve">taikomos netesybos už laiku neperduotus darbus yra reikšmingos (0,04 % už dieną nuo darbų vertės), kas </w:t>
            </w:r>
          </w:p>
          <w:p w14:paraId="1A08776B" w14:textId="77777777" w:rsidR="00742A25"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gali daryti spaudimą atlikti darbus greitai, tačiau ne visada užtikrinant jų kokybę.</w:t>
            </w:r>
          </w:p>
          <w:p w14:paraId="58B372AA" w14:textId="51DA1398"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Projekto derinimo procesai ir rizikos paskirstymas:</w:t>
            </w:r>
          </w:p>
          <w:p w14:paraId="5520B8A5" w14:textId="749C25F2" w:rsidR="00D0080A" w:rsidRPr="00742A25" w:rsidRDefault="00D0080A" w:rsidP="00742A25">
            <w:pPr>
              <w:pStyle w:val="CommentText"/>
              <w:numPr>
                <w:ilvl w:val="0"/>
                <w:numId w:val="25"/>
              </w:numPr>
              <w:tabs>
                <w:tab w:val="left" w:pos="567"/>
                <w:tab w:val="left" w:pos="704"/>
                <w:tab w:val="left" w:pos="993"/>
              </w:tabs>
              <w:ind w:left="38" w:hanging="16"/>
              <w:jc w:val="both"/>
              <w:rPr>
                <w:rFonts w:ascii="Arial" w:hAnsi="Arial" w:cs="Arial"/>
              </w:rPr>
            </w:pPr>
            <w:r w:rsidRPr="00742A25">
              <w:rPr>
                <w:rFonts w:ascii="Arial" w:hAnsi="Arial" w:cs="Arial"/>
              </w:rPr>
              <w:t>Rangovui tenka atsakomybė už visus reikalingus leidimus, suderinimus ir statybinius tyrimus. Jei užsakovo pastabų pateikimo terminas vėluoja, rangovui vis dar gresia delspinigiai už galutinio grafiko vėlavimą, kas gali būti neteisinga.</w:t>
            </w:r>
          </w:p>
          <w:p w14:paraId="63586902" w14:textId="77777777"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Apmokėjimo sąlygos:</w:t>
            </w:r>
          </w:p>
          <w:p w14:paraId="7FDE86F2" w14:textId="3F9A4B14" w:rsidR="00D0080A" w:rsidRPr="00742A25" w:rsidRDefault="00D0080A" w:rsidP="00742A25">
            <w:pPr>
              <w:pStyle w:val="CommentText"/>
              <w:numPr>
                <w:ilvl w:val="0"/>
                <w:numId w:val="25"/>
              </w:numPr>
              <w:tabs>
                <w:tab w:val="left" w:pos="567"/>
                <w:tab w:val="left" w:pos="704"/>
                <w:tab w:val="left" w:pos="993"/>
              </w:tabs>
              <w:ind w:left="38" w:hanging="16"/>
              <w:jc w:val="both"/>
              <w:rPr>
                <w:rFonts w:ascii="Arial" w:hAnsi="Arial" w:cs="Arial"/>
              </w:rPr>
            </w:pPr>
            <w:r w:rsidRPr="00742A25">
              <w:rPr>
                <w:rFonts w:ascii="Arial" w:hAnsi="Arial" w:cs="Arial"/>
              </w:rPr>
              <w:t xml:space="preserve">Apmokėjimas už nesumontuotus įrenginius siekia iki 70 %, tačiau detalių </w:t>
            </w:r>
          </w:p>
          <w:p w14:paraId="5889D17E" w14:textId="0A8D9EFE"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apie galutinio atsiskaitymo tvarką trūksta. Tai gali sukelti finansinį spaudimą.</w:t>
            </w:r>
          </w:p>
          <w:p w14:paraId="5F81CE9A" w14:textId="76193F67"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Kritiniai punktai, galintys lemti nedalyvavimą pirkime arba reikšmingai didinti kainą:</w:t>
            </w:r>
          </w:p>
          <w:p w14:paraId="501C0B0E" w14:textId="41A2370C"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Delspinigiai: Aukštos delspinigių ribos už grafikų ir dokumentacijos vėlavimą.</w:t>
            </w:r>
          </w:p>
          <w:p w14:paraId="5EE0E988" w14:textId="77777777"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xml:space="preserve">• Apmokėjimo lankstumo trūkumas: Jei </w:t>
            </w:r>
          </w:p>
          <w:p w14:paraId="7E870697" w14:textId="6FB276D1"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projektas apmokamas etapais, bet daug išlaidų reikia padengti iš anksto, tai gali sukelti finansinių sunkumų.</w:t>
            </w:r>
          </w:p>
          <w:p w14:paraId="53C99C06" w14:textId="0BCBB637"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Rangovo atsakomybė: Rangovui perkeliamas per didelis leidimų ir suderinimų vykdymo krūvis, kas gali sukelti vėlavimų, nepriklausančių nuo rangovo kontrolės.</w:t>
            </w:r>
          </w:p>
          <w:p w14:paraId="7873784E" w14:textId="5D56AB60" w:rsidR="00D0080A" w:rsidRPr="00742A25" w:rsidRDefault="00D0080A" w:rsidP="00742A25">
            <w:pPr>
              <w:pStyle w:val="CommentText"/>
              <w:tabs>
                <w:tab w:val="left" w:pos="567"/>
                <w:tab w:val="left" w:pos="704"/>
                <w:tab w:val="left" w:pos="993"/>
              </w:tabs>
              <w:jc w:val="both"/>
              <w:rPr>
                <w:rFonts w:ascii="Arial" w:hAnsi="Arial" w:cs="Arial"/>
                <w:b/>
                <w:bCs/>
              </w:rPr>
            </w:pPr>
            <w:r w:rsidRPr="00742A25">
              <w:rPr>
                <w:rFonts w:ascii="Arial" w:hAnsi="Arial" w:cs="Arial"/>
                <w:b/>
                <w:bCs/>
              </w:rPr>
              <w:t>Rekomendacijos:</w:t>
            </w:r>
          </w:p>
          <w:p w14:paraId="3DDA60B2" w14:textId="7F851089"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Peržiūrėti delspinigių ir netesybų nuostatas, užtikrinant jų proporcingumą faktiniams pažeidimams.</w:t>
            </w:r>
          </w:p>
          <w:p w14:paraId="3DC6CAC8" w14:textId="2ED84F95"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Suderinti aiškesnes apmokėjimo sąlygas, kurios padėtų išlaikyti pinigų srautų stabilumą.</w:t>
            </w:r>
          </w:p>
          <w:p w14:paraId="188B8CB3" w14:textId="17A0007F"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Derėtis dėl leidimų gavimo ir suderinimų, kad užsakovas dalyvautų daugiau, sumažinant rizikas rangovui.</w:t>
            </w:r>
          </w:p>
        </w:tc>
        <w:tc>
          <w:tcPr>
            <w:tcW w:w="3245" w:type="dxa"/>
            <w:shd w:val="clear" w:color="auto" w:fill="FFFFFF" w:themeFill="background1"/>
          </w:tcPr>
          <w:p w14:paraId="41B2ED14" w14:textId="77777777" w:rsidR="0080397C" w:rsidRDefault="0080397C" w:rsidP="0080397C">
            <w:pPr>
              <w:tabs>
                <w:tab w:val="left" w:pos="704"/>
              </w:tabs>
              <w:contextualSpacing/>
              <w:rPr>
                <w:rFonts w:ascii="Arial" w:hAnsi="Arial" w:cs="Arial"/>
              </w:rPr>
            </w:pPr>
          </w:p>
          <w:p w14:paraId="55DEF2A3" w14:textId="0BD0B65E" w:rsidR="00042F1D" w:rsidRPr="00042F1D" w:rsidRDefault="00042F1D" w:rsidP="00042F1D">
            <w:pPr>
              <w:pStyle w:val="ListParagraph"/>
              <w:numPr>
                <w:ilvl w:val="0"/>
                <w:numId w:val="25"/>
              </w:numPr>
              <w:rPr>
                <w:rFonts w:ascii="Arial" w:hAnsi="Arial" w:cs="Arial"/>
              </w:rPr>
            </w:pPr>
            <w:r w:rsidRPr="00042F1D">
              <w:rPr>
                <w:rFonts w:ascii="Arial" w:hAnsi="Arial" w:cs="Arial"/>
              </w:rPr>
              <w:t>Statybos leidimo gavimo terminas bus pakoreguotas.</w:t>
            </w:r>
          </w:p>
          <w:p w14:paraId="6E17A3CA" w14:textId="605ED934" w:rsidR="00042F1D" w:rsidRDefault="00042F1D" w:rsidP="00042F1D">
            <w:pPr>
              <w:pStyle w:val="ListParagraph"/>
              <w:numPr>
                <w:ilvl w:val="0"/>
                <w:numId w:val="25"/>
              </w:numPr>
              <w:rPr>
                <w:rFonts w:ascii="Arial" w:hAnsi="Arial" w:cs="Arial"/>
              </w:rPr>
            </w:pPr>
            <w:r w:rsidRPr="00042F1D">
              <w:rPr>
                <w:rFonts w:ascii="Arial" w:hAnsi="Arial" w:cs="Arial"/>
              </w:rPr>
              <w:t>Įvertinsime Delspinigių ir netesybų dydžius (dėl grafiko nesilaikymo atvejų)</w:t>
            </w:r>
          </w:p>
          <w:p w14:paraId="505DDB2F" w14:textId="355A21A8" w:rsidR="00042F1D" w:rsidRPr="00042F1D" w:rsidRDefault="00042F1D" w:rsidP="00042F1D">
            <w:pPr>
              <w:pStyle w:val="ListParagraph"/>
              <w:numPr>
                <w:ilvl w:val="0"/>
                <w:numId w:val="25"/>
              </w:numPr>
              <w:rPr>
                <w:rFonts w:ascii="Arial" w:hAnsi="Arial" w:cs="Arial"/>
              </w:rPr>
            </w:pPr>
            <w:r>
              <w:rPr>
                <w:rFonts w:ascii="Arial" w:hAnsi="Arial" w:cs="Arial"/>
              </w:rPr>
              <w:t>Dėkojame už įžvalgą, tačiau kokybinio kriterijaus svorio keisti neplanuojame.</w:t>
            </w:r>
          </w:p>
          <w:p w14:paraId="5F411833" w14:textId="77777777" w:rsidR="00042F1D" w:rsidRDefault="00042F1D" w:rsidP="00042F1D">
            <w:pPr>
              <w:rPr>
                <w:rFonts w:ascii="Arial" w:hAnsi="Arial" w:cs="Arial"/>
              </w:rPr>
            </w:pPr>
          </w:p>
          <w:p w14:paraId="16A34943" w14:textId="20C7C5FC" w:rsidR="00042F1D" w:rsidRDefault="00042F1D" w:rsidP="00042F1D">
            <w:pPr>
              <w:rPr>
                <w:rFonts w:ascii="Arial" w:hAnsi="Arial" w:cs="Arial"/>
              </w:rPr>
            </w:pPr>
          </w:p>
          <w:p w14:paraId="3CA17B61" w14:textId="157499C2" w:rsidR="00042F1D" w:rsidRPr="00042F1D" w:rsidRDefault="00042F1D" w:rsidP="00042F1D">
            <w:pPr>
              <w:rPr>
                <w:rFonts w:ascii="Arial" w:hAnsi="Arial" w:cs="Arial"/>
              </w:rPr>
            </w:pPr>
          </w:p>
        </w:tc>
      </w:tr>
      <w:tr w:rsidR="0080397C" w:rsidRPr="00A20A0F" w14:paraId="011103A8" w14:textId="77777777" w:rsidTr="00D0080A">
        <w:trPr>
          <w:trHeight w:val="271"/>
        </w:trPr>
        <w:tc>
          <w:tcPr>
            <w:tcW w:w="2693" w:type="dxa"/>
            <w:shd w:val="clear" w:color="auto" w:fill="FFFFFF" w:themeFill="background1"/>
          </w:tcPr>
          <w:p w14:paraId="00E5DBAE" w14:textId="77777777" w:rsidR="0080397C" w:rsidRPr="0080397C" w:rsidRDefault="0080397C" w:rsidP="00D0080A">
            <w:pPr>
              <w:contextualSpacing/>
              <w:jc w:val="both"/>
              <w:rPr>
                <w:rFonts w:ascii="Arial" w:hAnsi="Arial" w:cs="Arial"/>
                <w:color w:val="000000"/>
                <w:lang w:val="pt-BR"/>
              </w:rPr>
            </w:pPr>
            <w:r w:rsidRPr="0080397C">
              <w:rPr>
                <w:rFonts w:ascii="Arial" w:hAnsi="Arial" w:cs="Arial"/>
                <w:color w:val="000000"/>
              </w:rPr>
              <w:t>Kokius pasiūlytumėte taikyti ekonominio naudingumo kriterijus?</w:t>
            </w:r>
          </w:p>
          <w:p w14:paraId="6E4F3A19" w14:textId="0D294F65" w:rsidR="0080397C" w:rsidRPr="00CD7BC8" w:rsidRDefault="0080397C" w:rsidP="00D0080A">
            <w:pPr>
              <w:tabs>
                <w:tab w:val="left" w:pos="704"/>
              </w:tabs>
              <w:contextualSpacing/>
              <w:jc w:val="both"/>
              <w:rPr>
                <w:rFonts w:ascii="Arial" w:hAnsi="Arial" w:cs="Arial"/>
              </w:rPr>
            </w:pPr>
            <w:r w:rsidRPr="003D4B4C">
              <w:rPr>
                <w:rFonts w:ascii="Arial" w:hAnsi="Arial" w:cs="Arial"/>
                <w:color w:val="000000"/>
                <w:lang w:val="pt-BR"/>
              </w:rPr>
              <w:t>Ar priimtina siūloma ekonomiškai naudingiausio pasiūlymo vertinimo metodologija (4 priedas)?</w:t>
            </w:r>
          </w:p>
        </w:tc>
        <w:tc>
          <w:tcPr>
            <w:tcW w:w="3795" w:type="dxa"/>
            <w:shd w:val="clear" w:color="auto" w:fill="FFFFFF" w:themeFill="background1"/>
            <w:vAlign w:val="center"/>
          </w:tcPr>
          <w:p w14:paraId="6DA07EAB" w14:textId="77777777" w:rsidR="0080397C" w:rsidRPr="00742A25" w:rsidRDefault="0080397C" w:rsidP="00742A25">
            <w:pPr>
              <w:contextualSpacing/>
              <w:jc w:val="both"/>
              <w:rPr>
                <w:rFonts w:ascii="Arial" w:hAnsi="Arial" w:cs="Arial"/>
                <w:color w:val="000000" w:themeColor="text1"/>
              </w:rPr>
            </w:pPr>
            <w:r w:rsidRPr="00742A25">
              <w:rPr>
                <w:rFonts w:ascii="Arial" w:hAnsi="Arial" w:cs="Arial"/>
                <w:color w:val="000000" w:themeColor="text1"/>
              </w:rPr>
              <w:t>Nesiūlome.</w:t>
            </w:r>
          </w:p>
          <w:p w14:paraId="10220934" w14:textId="77777777" w:rsidR="0080397C" w:rsidRPr="00742A25" w:rsidRDefault="0080397C" w:rsidP="00742A25">
            <w:pPr>
              <w:pStyle w:val="CommentText"/>
              <w:tabs>
                <w:tab w:val="left" w:pos="567"/>
                <w:tab w:val="left" w:pos="704"/>
                <w:tab w:val="left" w:pos="993"/>
              </w:tabs>
              <w:jc w:val="both"/>
              <w:rPr>
                <w:rFonts w:ascii="Arial" w:hAnsi="Arial" w:cs="Arial"/>
                <w:color w:val="000000"/>
                <w:lang w:val="pt-BR"/>
              </w:rPr>
            </w:pPr>
            <w:r w:rsidRPr="00742A25">
              <w:rPr>
                <w:rFonts w:ascii="Arial" w:hAnsi="Arial" w:cs="Arial"/>
                <w:color w:val="000000" w:themeColor="text1"/>
              </w:rPr>
              <w:t xml:space="preserve">Taip, </w:t>
            </w:r>
            <w:r w:rsidRPr="00742A25">
              <w:rPr>
                <w:rFonts w:ascii="Arial" w:hAnsi="Arial" w:cs="Arial"/>
                <w:color w:val="000000"/>
                <w:lang w:val="pt-BR"/>
              </w:rPr>
              <w:t>siūloma ekonomiškai naudingiausio pasiūlymo vertinimo metodologija (4 priedas) priimtina.</w:t>
            </w:r>
          </w:p>
          <w:p w14:paraId="0B1A36ED" w14:textId="77777777" w:rsidR="00041353" w:rsidRPr="00742A25" w:rsidRDefault="00041353" w:rsidP="00742A25">
            <w:pPr>
              <w:pStyle w:val="CommentText"/>
              <w:tabs>
                <w:tab w:val="left" w:pos="567"/>
                <w:tab w:val="left" w:pos="704"/>
                <w:tab w:val="left" w:pos="993"/>
              </w:tabs>
              <w:jc w:val="both"/>
              <w:rPr>
                <w:rFonts w:ascii="Arial" w:hAnsi="Arial" w:cs="Arial"/>
                <w:color w:val="000000"/>
                <w:lang w:val="pt-BR"/>
              </w:rPr>
            </w:pPr>
            <w:r w:rsidRPr="00742A25">
              <w:rPr>
                <w:rFonts w:ascii="Arial" w:hAnsi="Arial" w:cs="Arial"/>
                <w:color w:val="000000"/>
                <w:lang w:val="pt-BR"/>
              </w:rPr>
              <w:t>Priimtina.</w:t>
            </w:r>
          </w:p>
          <w:p w14:paraId="7FB634E6" w14:textId="77777777" w:rsidR="00D0080A" w:rsidRPr="00742A25" w:rsidRDefault="00D0080A" w:rsidP="00742A25">
            <w:pPr>
              <w:pStyle w:val="CommentText"/>
              <w:tabs>
                <w:tab w:val="left" w:pos="567"/>
                <w:tab w:val="left" w:pos="704"/>
                <w:tab w:val="left" w:pos="993"/>
              </w:tabs>
              <w:jc w:val="both"/>
              <w:rPr>
                <w:rFonts w:ascii="Arial" w:hAnsi="Arial" w:cs="Arial"/>
                <w:color w:val="000000"/>
                <w:lang w:val="pt-BR"/>
              </w:rPr>
            </w:pPr>
          </w:p>
          <w:p w14:paraId="2E44CF59" w14:textId="32C06848"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xml:space="preserve">Jei pagrindinis tikslas yra paslaugų kokybė, siūlytina perskirstyti balų svorius, daugiau dėmesio skiriant kokybės aspektams. Jei prioritetas – maža kaina, metodologija gali būti </w:t>
            </w:r>
          </w:p>
          <w:p w14:paraId="20D35CE1" w14:textId="77777777"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laikoma priimtina.</w:t>
            </w:r>
          </w:p>
          <w:p w14:paraId="7074B376" w14:textId="7E5D8842" w:rsidR="00D0080A" w:rsidRPr="00742A25" w:rsidRDefault="00D0080A" w:rsidP="00742A25">
            <w:pPr>
              <w:pStyle w:val="CommentText"/>
              <w:tabs>
                <w:tab w:val="left" w:pos="567"/>
                <w:tab w:val="left" w:pos="704"/>
                <w:tab w:val="left" w:pos="993"/>
              </w:tabs>
              <w:jc w:val="both"/>
              <w:rPr>
                <w:rFonts w:ascii="Arial" w:hAnsi="Arial" w:cs="Arial"/>
              </w:rPr>
            </w:pPr>
            <w:r w:rsidRPr="00742A25">
              <w:rPr>
                <w:rFonts w:ascii="Arial" w:hAnsi="Arial" w:cs="Arial"/>
              </w:rPr>
              <w:t xml:space="preserve">Mažas kokybės kriterijaus (Q) svoris. Jei tikslas yra kokybiškų paslaugų </w:t>
            </w:r>
            <w:r w:rsidRPr="00742A25">
              <w:rPr>
                <w:rFonts w:ascii="Arial" w:hAnsi="Arial" w:cs="Arial"/>
              </w:rPr>
              <w:lastRenderedPageBreak/>
              <w:t>užtikrinimas, galbūt būtų tikslinga didinti kokybės kriterijaus lyginamąjį svorį. Taip pat reikėtų aiškiai apibrėžti, kaip elgtis su kainos ir kokybės balų artimais rezultatais (pvz., jeigu keli pasiūlymai surenka panašius balus).</w:t>
            </w:r>
          </w:p>
        </w:tc>
        <w:tc>
          <w:tcPr>
            <w:tcW w:w="3245" w:type="dxa"/>
            <w:shd w:val="clear" w:color="auto" w:fill="FFFFFF" w:themeFill="background1"/>
          </w:tcPr>
          <w:p w14:paraId="13FA9F22" w14:textId="77777777" w:rsidR="0080397C" w:rsidRDefault="00096AC8" w:rsidP="00D0080A">
            <w:pPr>
              <w:tabs>
                <w:tab w:val="left" w:pos="704"/>
              </w:tabs>
              <w:contextualSpacing/>
              <w:jc w:val="both"/>
              <w:rPr>
                <w:rFonts w:ascii="Arial" w:hAnsi="Arial" w:cs="Arial"/>
              </w:rPr>
            </w:pPr>
            <w:r>
              <w:rPr>
                <w:rFonts w:ascii="Arial" w:hAnsi="Arial" w:cs="Arial"/>
              </w:rPr>
              <w:lastRenderedPageBreak/>
              <w:t>Dėkojame už grįžtamąjį ryšį.</w:t>
            </w:r>
          </w:p>
          <w:p w14:paraId="70F15E84" w14:textId="77777777" w:rsidR="00D0080A" w:rsidRDefault="00D0080A" w:rsidP="00D0080A">
            <w:pPr>
              <w:tabs>
                <w:tab w:val="left" w:pos="704"/>
              </w:tabs>
              <w:contextualSpacing/>
              <w:jc w:val="both"/>
              <w:rPr>
                <w:rFonts w:ascii="Arial" w:hAnsi="Arial" w:cs="Arial"/>
              </w:rPr>
            </w:pPr>
          </w:p>
          <w:p w14:paraId="4815A2BD" w14:textId="5B163147" w:rsidR="00D0080A" w:rsidRPr="003B7C3D" w:rsidRDefault="00D0080A" w:rsidP="00D0080A">
            <w:pPr>
              <w:tabs>
                <w:tab w:val="left" w:pos="704"/>
              </w:tabs>
              <w:contextualSpacing/>
              <w:jc w:val="both"/>
              <w:rPr>
                <w:rFonts w:ascii="Arial" w:hAnsi="Arial" w:cs="Arial"/>
              </w:rPr>
            </w:pPr>
            <w:r>
              <w:rPr>
                <w:rFonts w:ascii="Arial" w:hAnsi="Arial" w:cs="Arial"/>
              </w:rPr>
              <w:t>Informuojame, kad remiantis Bendrosiomis Pirkimo sąlygomis, „</w:t>
            </w:r>
            <w:r w:rsidRPr="00D0080A">
              <w:rPr>
                <w:rFonts w:ascii="Arial" w:hAnsi="Arial" w:cs="Arial"/>
              </w:rPr>
              <w:t xml:space="preserve">Tais atvejais, kai kelių Tiekėjų Pasiūlymų ekonominis </w:t>
            </w:r>
            <w:r>
              <w:rPr>
                <w:rFonts w:ascii="Arial" w:hAnsi="Arial" w:cs="Arial"/>
              </w:rPr>
              <w:t>n</w:t>
            </w:r>
            <w:r w:rsidRPr="00D0080A">
              <w:rPr>
                <w:rFonts w:ascii="Arial" w:hAnsi="Arial" w:cs="Arial"/>
              </w:rPr>
              <w:t xml:space="preserve">audingumas yra vienodas, sudarant Pasiūlymų eilę </w:t>
            </w:r>
            <w:r>
              <w:rPr>
                <w:rFonts w:ascii="Arial" w:hAnsi="Arial" w:cs="Arial"/>
              </w:rPr>
              <w:t>p</w:t>
            </w:r>
            <w:r w:rsidRPr="00D0080A">
              <w:rPr>
                <w:rFonts w:ascii="Arial" w:hAnsi="Arial" w:cs="Arial"/>
              </w:rPr>
              <w:t xml:space="preserve">irmesnis į šią eilę įrašomas Tiekėjas, kurio Pasiūlymas </w:t>
            </w:r>
            <w:r>
              <w:rPr>
                <w:rFonts w:ascii="Arial" w:hAnsi="Arial" w:cs="Arial"/>
              </w:rPr>
              <w:t>p</w:t>
            </w:r>
            <w:r w:rsidRPr="00D0080A">
              <w:rPr>
                <w:rFonts w:ascii="Arial" w:hAnsi="Arial" w:cs="Arial"/>
              </w:rPr>
              <w:t>ateiktas anksčiausiai.</w:t>
            </w:r>
            <w:r>
              <w:rPr>
                <w:rFonts w:ascii="Arial" w:hAnsi="Arial" w:cs="Arial"/>
              </w:rPr>
              <w:t>“</w:t>
            </w:r>
          </w:p>
        </w:tc>
      </w:tr>
    </w:tbl>
    <w:p w14:paraId="151558A4" w14:textId="77777777" w:rsidR="00B95C6D" w:rsidRDefault="00B95C6D">
      <w:pPr>
        <w:pStyle w:val="BodyText"/>
        <w:spacing w:before="27" w:after="1"/>
      </w:pPr>
    </w:p>
    <w:p w14:paraId="7097E960" w14:textId="77777777" w:rsidR="00B95C6D" w:rsidRDefault="00B95C6D">
      <w:pPr>
        <w:pStyle w:val="BodyText"/>
      </w:pPr>
    </w:p>
    <w:p w14:paraId="0EE10D2D" w14:textId="77777777" w:rsidR="00B95C6D" w:rsidRDefault="00B95C6D">
      <w:pPr>
        <w:pStyle w:val="BodyText"/>
      </w:pPr>
    </w:p>
    <w:p w14:paraId="6AC33037" w14:textId="77777777" w:rsidR="00B95C6D" w:rsidRDefault="00B95C6D">
      <w:pPr>
        <w:pStyle w:val="BodyText"/>
      </w:pPr>
    </w:p>
    <w:p w14:paraId="2D22C8FA" w14:textId="77777777" w:rsidR="00B95C6D" w:rsidRDefault="00B95C6D">
      <w:pPr>
        <w:pStyle w:val="BodyText"/>
      </w:pPr>
    </w:p>
    <w:p w14:paraId="2A84E87A" w14:textId="77777777" w:rsidR="00B95C6D" w:rsidRDefault="00B95C6D">
      <w:pPr>
        <w:pStyle w:val="BodyText"/>
      </w:pPr>
    </w:p>
    <w:p w14:paraId="47D75900" w14:textId="77777777" w:rsidR="00B95C6D" w:rsidRDefault="00B95C6D">
      <w:pPr>
        <w:pStyle w:val="BodyText"/>
      </w:pPr>
    </w:p>
    <w:p w14:paraId="2B7E362F" w14:textId="77777777" w:rsidR="00B95C6D" w:rsidRDefault="00B95C6D">
      <w:pPr>
        <w:pStyle w:val="BodyText"/>
      </w:pPr>
    </w:p>
    <w:p w14:paraId="23F1731B" w14:textId="77777777" w:rsidR="00B95C6D" w:rsidRDefault="00742A25">
      <w:pPr>
        <w:pStyle w:val="BodyText"/>
        <w:ind w:left="102"/>
      </w:pPr>
      <w:r>
        <w:t>Rugilė</w:t>
      </w:r>
      <w:r>
        <w:rPr>
          <w:spacing w:val="-6"/>
        </w:rPr>
        <w:t xml:space="preserve"> </w:t>
      </w:r>
      <w:r>
        <w:t>Endzinaitė,</w:t>
      </w:r>
      <w:r>
        <w:rPr>
          <w:spacing w:val="-8"/>
        </w:rPr>
        <w:t xml:space="preserve"> </w:t>
      </w:r>
      <w:r>
        <w:t>tel.</w:t>
      </w:r>
      <w:r>
        <w:rPr>
          <w:spacing w:val="-6"/>
        </w:rPr>
        <w:t xml:space="preserve"> </w:t>
      </w:r>
      <w:r>
        <w:t>+370</w:t>
      </w:r>
      <w:r>
        <w:rPr>
          <w:spacing w:val="-6"/>
        </w:rPr>
        <w:t xml:space="preserve"> </w:t>
      </w:r>
      <w:r>
        <w:t>638</w:t>
      </w:r>
      <w:r>
        <w:rPr>
          <w:spacing w:val="-6"/>
        </w:rPr>
        <w:t xml:space="preserve"> </w:t>
      </w:r>
      <w:r>
        <w:t>35485,</w:t>
      </w:r>
      <w:r>
        <w:rPr>
          <w:spacing w:val="-6"/>
        </w:rPr>
        <w:t xml:space="preserve"> </w:t>
      </w:r>
      <w:r>
        <w:t>el.</w:t>
      </w:r>
      <w:r>
        <w:rPr>
          <w:spacing w:val="-6"/>
        </w:rPr>
        <w:t xml:space="preserve"> </w:t>
      </w:r>
      <w:r>
        <w:t>p.</w:t>
      </w:r>
      <w:r>
        <w:rPr>
          <w:spacing w:val="-7"/>
        </w:rPr>
        <w:t xml:space="preserve"> </w:t>
      </w:r>
      <w:hyperlink r:id="rId10">
        <w:r w:rsidR="00B95C6D">
          <w:rPr>
            <w:spacing w:val="-2"/>
          </w:rPr>
          <w:t>Rugile.Endzinaite@litgrid.eu</w:t>
        </w:r>
      </w:hyperlink>
    </w:p>
    <w:sectPr w:rsidR="00B95C6D">
      <w:headerReference w:type="default" r:id="rId11"/>
      <w:footerReference w:type="default" r:id="rId12"/>
      <w:pgSz w:w="11910" w:h="16840"/>
      <w:pgMar w:top="2000" w:right="580" w:bottom="1260" w:left="1600" w:header="587"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7018" w14:textId="77777777" w:rsidR="00EE31EF" w:rsidRDefault="00EE31EF">
      <w:r>
        <w:separator/>
      </w:r>
    </w:p>
  </w:endnote>
  <w:endnote w:type="continuationSeparator" w:id="0">
    <w:p w14:paraId="49823306" w14:textId="77777777" w:rsidR="00EE31EF" w:rsidRDefault="00EE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4D8" w14:textId="77777777" w:rsidR="00B95C6D" w:rsidRDefault="00742A25">
    <w:pPr>
      <w:pStyle w:val="BodyText"/>
      <w:spacing w:line="14" w:lineRule="auto"/>
    </w:pPr>
    <w:r>
      <w:rPr>
        <w:noProof/>
      </w:rPr>
      <mc:AlternateContent>
        <mc:Choice Requires="wps">
          <w:drawing>
            <wp:anchor distT="0" distB="0" distL="0" distR="0" simplePos="0" relativeHeight="487490048" behindDoc="1" locked="0" layoutInCell="1" allowOverlap="1" wp14:anchorId="36101728" wp14:editId="22552EBA">
              <wp:simplePos x="0" y="0"/>
              <wp:positionH relativeFrom="page">
                <wp:posOffset>1071168</wp:posOffset>
              </wp:positionH>
              <wp:positionV relativeFrom="page">
                <wp:posOffset>9876759</wp:posOffset>
              </wp:positionV>
              <wp:extent cx="1768475" cy="372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8475" cy="372745"/>
                      </a:xfrm>
                      <a:prstGeom prst="rect">
                        <a:avLst/>
                      </a:prstGeom>
                    </wps:spPr>
                    <wps:txbx>
                      <w:txbxContent>
                        <w:p w14:paraId="38C413C1" w14:textId="77777777" w:rsidR="00B95C6D" w:rsidRDefault="00742A25">
                          <w:pPr>
                            <w:spacing w:before="15"/>
                            <w:ind w:left="20"/>
                            <w:rPr>
                              <w:rFonts w:ascii="Arial"/>
                              <w:sz w:val="16"/>
                            </w:rPr>
                          </w:pPr>
                          <w:r>
                            <w:rPr>
                              <w:rFonts w:ascii="Arial"/>
                              <w:color w:val="0E2C46"/>
                              <w:spacing w:val="-2"/>
                              <w:sz w:val="16"/>
                            </w:rPr>
                            <w:t>LITGRID</w:t>
                          </w:r>
                          <w:r>
                            <w:rPr>
                              <w:rFonts w:ascii="Arial"/>
                              <w:color w:val="0E2C46"/>
                              <w:spacing w:val="-3"/>
                              <w:sz w:val="16"/>
                            </w:rPr>
                            <w:t xml:space="preserve"> </w:t>
                          </w:r>
                          <w:r>
                            <w:rPr>
                              <w:rFonts w:ascii="Arial"/>
                              <w:color w:val="0E2C46"/>
                              <w:spacing w:val="-5"/>
                              <w:sz w:val="16"/>
                            </w:rPr>
                            <w:t>AB</w:t>
                          </w:r>
                        </w:p>
                        <w:p w14:paraId="5536B2F2" w14:textId="77777777" w:rsidR="00B95C6D" w:rsidRDefault="00742A25">
                          <w:pPr>
                            <w:spacing w:before="1"/>
                            <w:ind w:left="20" w:right="18"/>
                            <w:rPr>
                              <w:rFonts w:ascii="Arial"/>
                              <w:sz w:val="16"/>
                            </w:rPr>
                          </w:pPr>
                          <w:r>
                            <w:rPr>
                              <w:rFonts w:ascii="Arial"/>
                              <w:color w:val="0E2C46"/>
                              <w:sz w:val="16"/>
                            </w:rPr>
                            <w:t>Karlo</w:t>
                          </w:r>
                          <w:r>
                            <w:rPr>
                              <w:rFonts w:ascii="Arial"/>
                              <w:color w:val="0E2C46"/>
                              <w:spacing w:val="-7"/>
                              <w:sz w:val="16"/>
                            </w:rPr>
                            <w:t xml:space="preserve"> </w:t>
                          </w:r>
                          <w:r>
                            <w:rPr>
                              <w:rFonts w:ascii="Arial"/>
                              <w:color w:val="0E2C46"/>
                              <w:sz w:val="16"/>
                            </w:rPr>
                            <w:t>Gustavo</w:t>
                          </w:r>
                          <w:r>
                            <w:rPr>
                              <w:rFonts w:ascii="Arial"/>
                              <w:color w:val="0E2C46"/>
                              <w:spacing w:val="-9"/>
                              <w:sz w:val="16"/>
                            </w:rPr>
                            <w:t xml:space="preserve"> </w:t>
                          </w:r>
                          <w:r>
                            <w:rPr>
                              <w:rFonts w:ascii="Arial"/>
                              <w:color w:val="0E2C46"/>
                              <w:sz w:val="16"/>
                            </w:rPr>
                            <w:t>Emilio</w:t>
                          </w:r>
                          <w:r>
                            <w:rPr>
                              <w:rFonts w:ascii="Arial"/>
                              <w:color w:val="0E2C46"/>
                              <w:spacing w:val="-7"/>
                              <w:sz w:val="16"/>
                            </w:rPr>
                            <w:t xml:space="preserve"> </w:t>
                          </w:r>
                          <w:proofErr w:type="spellStart"/>
                          <w:r>
                            <w:rPr>
                              <w:rFonts w:ascii="Arial"/>
                              <w:color w:val="0E2C46"/>
                              <w:sz w:val="16"/>
                            </w:rPr>
                            <w:t>Manarheimo</w:t>
                          </w:r>
                          <w:proofErr w:type="spellEnd"/>
                          <w:r>
                            <w:rPr>
                              <w:rFonts w:ascii="Arial"/>
                              <w:color w:val="0E2C46"/>
                              <w:spacing w:val="-7"/>
                              <w:sz w:val="16"/>
                            </w:rPr>
                            <w:t xml:space="preserve"> </w:t>
                          </w:r>
                          <w:r>
                            <w:rPr>
                              <w:rFonts w:ascii="Arial"/>
                              <w:color w:val="0E2C46"/>
                              <w:sz w:val="16"/>
                            </w:rPr>
                            <w:t>g.</w:t>
                          </w:r>
                          <w:r>
                            <w:rPr>
                              <w:rFonts w:ascii="Arial"/>
                              <w:color w:val="0E2C46"/>
                              <w:spacing w:val="-5"/>
                              <w:sz w:val="16"/>
                            </w:rPr>
                            <w:t xml:space="preserve"> </w:t>
                          </w:r>
                          <w:r>
                            <w:rPr>
                              <w:rFonts w:ascii="Arial"/>
                              <w:color w:val="0E2C46"/>
                              <w:sz w:val="16"/>
                            </w:rPr>
                            <w:t>8 LT-05131 Vilnius</w:t>
                          </w:r>
                        </w:p>
                      </w:txbxContent>
                    </wps:txbx>
                    <wps:bodyPr wrap="square" lIns="0" tIns="0" rIns="0" bIns="0" rtlCol="0">
                      <a:noAutofit/>
                    </wps:bodyPr>
                  </wps:wsp>
                </a:graphicData>
              </a:graphic>
            </wp:anchor>
          </w:drawing>
        </mc:Choice>
        <mc:Fallback>
          <w:pict>
            <v:shapetype w14:anchorId="36101728" id="_x0000_t202" coordsize="21600,21600" o:spt="202" path="m,l,21600r21600,l21600,xe">
              <v:stroke joinstyle="miter"/>
              <v:path gradientshapeok="t" o:connecttype="rect"/>
            </v:shapetype>
            <v:shape id="Textbox 2" o:spid="_x0000_s1026" type="#_x0000_t202" style="position:absolute;margin-left:84.35pt;margin-top:777.7pt;width:139.25pt;height:29.3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" filled="f" stroked="f">
              <v:textbox inset="0,0,0,0">
                <w:txbxContent>
                  <w:p w14:paraId="38C413C1" w14:textId="77777777" w:rsidR="00B95C6D" w:rsidRDefault="00742A25">
                    <w:pPr>
                      <w:spacing w:before="15"/>
                      <w:ind w:left="20"/>
                      <w:rPr>
                        <w:rFonts w:ascii="Arial"/>
                        <w:sz w:val="16"/>
                      </w:rPr>
                    </w:pPr>
                    <w:r>
                      <w:rPr>
                        <w:rFonts w:ascii="Arial"/>
                        <w:color w:val="0E2C46"/>
                        <w:spacing w:val="-2"/>
                        <w:sz w:val="16"/>
                      </w:rPr>
                      <w:t>LITGRID</w:t>
                    </w:r>
                    <w:r>
                      <w:rPr>
                        <w:rFonts w:ascii="Arial"/>
                        <w:color w:val="0E2C46"/>
                        <w:spacing w:val="-3"/>
                        <w:sz w:val="16"/>
                      </w:rPr>
                      <w:t xml:space="preserve"> </w:t>
                    </w:r>
                    <w:r>
                      <w:rPr>
                        <w:rFonts w:ascii="Arial"/>
                        <w:color w:val="0E2C46"/>
                        <w:spacing w:val="-5"/>
                        <w:sz w:val="16"/>
                      </w:rPr>
                      <w:t>AB</w:t>
                    </w:r>
                  </w:p>
                  <w:p w14:paraId="5536B2F2" w14:textId="77777777" w:rsidR="00B95C6D" w:rsidRDefault="00742A25">
                    <w:pPr>
                      <w:spacing w:before="1"/>
                      <w:ind w:left="20" w:right="18"/>
                      <w:rPr>
                        <w:rFonts w:ascii="Arial"/>
                        <w:sz w:val="16"/>
                      </w:rPr>
                    </w:pPr>
                    <w:r>
                      <w:rPr>
                        <w:rFonts w:ascii="Arial"/>
                        <w:color w:val="0E2C46"/>
                        <w:sz w:val="16"/>
                      </w:rPr>
                      <w:t>Karlo</w:t>
                    </w:r>
                    <w:r>
                      <w:rPr>
                        <w:rFonts w:ascii="Arial"/>
                        <w:color w:val="0E2C46"/>
                        <w:spacing w:val="-7"/>
                        <w:sz w:val="16"/>
                      </w:rPr>
                      <w:t xml:space="preserve"> </w:t>
                    </w:r>
                    <w:r>
                      <w:rPr>
                        <w:rFonts w:ascii="Arial"/>
                        <w:color w:val="0E2C46"/>
                        <w:sz w:val="16"/>
                      </w:rPr>
                      <w:t>Gustavo</w:t>
                    </w:r>
                    <w:r>
                      <w:rPr>
                        <w:rFonts w:ascii="Arial"/>
                        <w:color w:val="0E2C46"/>
                        <w:spacing w:val="-9"/>
                        <w:sz w:val="16"/>
                      </w:rPr>
                      <w:t xml:space="preserve"> </w:t>
                    </w:r>
                    <w:r>
                      <w:rPr>
                        <w:rFonts w:ascii="Arial"/>
                        <w:color w:val="0E2C46"/>
                        <w:sz w:val="16"/>
                      </w:rPr>
                      <w:t>Emilio</w:t>
                    </w:r>
                    <w:r>
                      <w:rPr>
                        <w:rFonts w:ascii="Arial"/>
                        <w:color w:val="0E2C46"/>
                        <w:spacing w:val="-7"/>
                        <w:sz w:val="16"/>
                      </w:rPr>
                      <w:t xml:space="preserve"> </w:t>
                    </w:r>
                    <w:proofErr w:type="spellStart"/>
                    <w:r>
                      <w:rPr>
                        <w:rFonts w:ascii="Arial"/>
                        <w:color w:val="0E2C46"/>
                        <w:sz w:val="16"/>
                      </w:rPr>
                      <w:t>Manarheimo</w:t>
                    </w:r>
                    <w:proofErr w:type="spellEnd"/>
                    <w:r>
                      <w:rPr>
                        <w:rFonts w:ascii="Arial"/>
                        <w:color w:val="0E2C46"/>
                        <w:spacing w:val="-7"/>
                        <w:sz w:val="16"/>
                      </w:rPr>
                      <w:t xml:space="preserve"> </w:t>
                    </w:r>
                    <w:r>
                      <w:rPr>
                        <w:rFonts w:ascii="Arial"/>
                        <w:color w:val="0E2C46"/>
                        <w:sz w:val="16"/>
                      </w:rPr>
                      <w:t>g.</w:t>
                    </w:r>
                    <w:r>
                      <w:rPr>
                        <w:rFonts w:ascii="Arial"/>
                        <w:color w:val="0E2C46"/>
                        <w:spacing w:val="-5"/>
                        <w:sz w:val="16"/>
                      </w:rPr>
                      <w:t xml:space="preserve"> </w:t>
                    </w:r>
                    <w:r>
                      <w:rPr>
                        <w:rFonts w:ascii="Arial"/>
                        <w:color w:val="0E2C46"/>
                        <w:sz w:val="16"/>
                      </w:rPr>
                      <w:t>8 LT-05131 Vilnius</w:t>
                    </w:r>
                  </w:p>
                </w:txbxContent>
              </v:textbox>
              <w10:wrap anchorx="page" anchory="page"/>
            </v:shape>
          </w:pict>
        </mc:Fallback>
      </mc:AlternateContent>
    </w:r>
    <w:r>
      <w:rPr>
        <w:noProof/>
      </w:rPr>
      <mc:AlternateContent>
        <mc:Choice Requires="wps">
          <w:drawing>
            <wp:anchor distT="0" distB="0" distL="0" distR="0" simplePos="0" relativeHeight="487490560" behindDoc="1" locked="0" layoutInCell="1" allowOverlap="1" wp14:anchorId="38EE5D34" wp14:editId="2B7A603E">
              <wp:simplePos x="0" y="0"/>
              <wp:positionH relativeFrom="page">
                <wp:posOffset>3596766</wp:posOffset>
              </wp:positionH>
              <wp:positionV relativeFrom="page">
                <wp:posOffset>9876759</wp:posOffset>
              </wp:positionV>
              <wp:extent cx="763270" cy="3727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372745"/>
                      </a:xfrm>
                      <a:prstGeom prst="rect">
                        <a:avLst/>
                      </a:prstGeom>
                    </wps:spPr>
                    <wps:txbx>
                      <w:txbxContent>
                        <w:p w14:paraId="5F7F93B4" w14:textId="77777777" w:rsidR="00B95C6D" w:rsidRDefault="00742A25">
                          <w:pPr>
                            <w:spacing w:before="15"/>
                            <w:ind w:left="20"/>
                            <w:rPr>
                              <w:rFonts w:ascii="Arial"/>
                              <w:sz w:val="16"/>
                            </w:rPr>
                          </w:pPr>
                          <w:r>
                            <w:rPr>
                              <w:rFonts w:ascii="Arial"/>
                              <w:color w:val="0E2C46"/>
                              <w:sz w:val="16"/>
                            </w:rPr>
                            <w:t>+370</w:t>
                          </w:r>
                          <w:r>
                            <w:rPr>
                              <w:rFonts w:ascii="Arial"/>
                              <w:color w:val="0E2C46"/>
                              <w:spacing w:val="-3"/>
                              <w:sz w:val="16"/>
                            </w:rPr>
                            <w:t xml:space="preserve"> </w:t>
                          </w:r>
                          <w:r>
                            <w:rPr>
                              <w:rFonts w:ascii="Arial"/>
                              <w:color w:val="0E2C46"/>
                              <w:sz w:val="16"/>
                            </w:rPr>
                            <w:t>707</w:t>
                          </w:r>
                          <w:r>
                            <w:rPr>
                              <w:rFonts w:ascii="Arial"/>
                              <w:color w:val="0E2C46"/>
                              <w:spacing w:val="-2"/>
                              <w:sz w:val="16"/>
                            </w:rPr>
                            <w:t xml:space="preserve"> 02171</w:t>
                          </w:r>
                        </w:p>
                        <w:p w14:paraId="3C524C96" w14:textId="77777777" w:rsidR="00B95C6D" w:rsidRDefault="00B95C6D">
                          <w:pPr>
                            <w:spacing w:before="1"/>
                            <w:ind w:left="20"/>
                            <w:rPr>
                              <w:rFonts w:ascii="Arial"/>
                              <w:sz w:val="16"/>
                            </w:rPr>
                          </w:pPr>
                          <w:hyperlink r:id="rId1">
                            <w:r>
                              <w:rPr>
                                <w:rFonts w:ascii="Arial"/>
                                <w:color w:val="0E2C46"/>
                                <w:spacing w:val="-2"/>
                                <w:sz w:val="16"/>
                              </w:rPr>
                              <w:t>info@litgrid.eu</w:t>
                            </w:r>
                          </w:hyperlink>
                          <w:r>
                            <w:rPr>
                              <w:rFonts w:ascii="Arial"/>
                              <w:color w:val="0E2C46"/>
                              <w:spacing w:val="-2"/>
                              <w:sz w:val="16"/>
                            </w:rPr>
                            <w:t xml:space="preserve"> </w:t>
                          </w:r>
                          <w:hyperlink r:id="rId2">
                            <w:r>
                              <w:rPr>
                                <w:rFonts w:ascii="Arial"/>
                                <w:color w:val="0E2C46"/>
                                <w:spacing w:val="-2"/>
                                <w:sz w:val="16"/>
                              </w:rPr>
                              <w:t>www.litgrid.eu</w:t>
                            </w:r>
                          </w:hyperlink>
                        </w:p>
                      </w:txbxContent>
                    </wps:txbx>
                    <wps:bodyPr wrap="square" lIns="0" tIns="0" rIns="0" bIns="0" rtlCol="0">
                      <a:noAutofit/>
                    </wps:bodyPr>
                  </wps:wsp>
                </a:graphicData>
              </a:graphic>
            </wp:anchor>
          </w:drawing>
        </mc:Choice>
        <mc:Fallback>
          <w:pict>
            <v:shape w14:anchorId="38EE5D34" id="Textbox 3" o:spid="_x0000_s1027" type="#_x0000_t202" style="position:absolute;margin-left:283.2pt;margin-top:777.7pt;width:60.1pt;height:29.3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" filled="f" stroked="f">
              <v:textbox inset="0,0,0,0">
                <w:txbxContent>
                  <w:p w14:paraId="5F7F93B4" w14:textId="77777777" w:rsidR="00B95C6D" w:rsidRDefault="00742A25">
                    <w:pPr>
                      <w:spacing w:before="15"/>
                      <w:ind w:left="20"/>
                      <w:rPr>
                        <w:rFonts w:ascii="Arial"/>
                        <w:sz w:val="16"/>
                      </w:rPr>
                    </w:pPr>
                    <w:r>
                      <w:rPr>
                        <w:rFonts w:ascii="Arial"/>
                        <w:color w:val="0E2C46"/>
                        <w:sz w:val="16"/>
                      </w:rPr>
                      <w:t>+370</w:t>
                    </w:r>
                    <w:r>
                      <w:rPr>
                        <w:rFonts w:ascii="Arial"/>
                        <w:color w:val="0E2C46"/>
                        <w:spacing w:val="-3"/>
                        <w:sz w:val="16"/>
                      </w:rPr>
                      <w:t xml:space="preserve"> </w:t>
                    </w:r>
                    <w:r>
                      <w:rPr>
                        <w:rFonts w:ascii="Arial"/>
                        <w:color w:val="0E2C46"/>
                        <w:sz w:val="16"/>
                      </w:rPr>
                      <w:t>707</w:t>
                    </w:r>
                    <w:r>
                      <w:rPr>
                        <w:rFonts w:ascii="Arial"/>
                        <w:color w:val="0E2C46"/>
                        <w:spacing w:val="-2"/>
                        <w:sz w:val="16"/>
                      </w:rPr>
                      <w:t xml:space="preserve"> 02171</w:t>
                    </w:r>
                  </w:p>
                  <w:p w14:paraId="3C524C96" w14:textId="77777777" w:rsidR="00B95C6D" w:rsidRDefault="00B95C6D">
                    <w:pPr>
                      <w:spacing w:before="1"/>
                      <w:ind w:left="20"/>
                      <w:rPr>
                        <w:rFonts w:ascii="Arial"/>
                        <w:sz w:val="16"/>
                      </w:rPr>
                    </w:pPr>
                    <w:hyperlink r:id="rId3">
                      <w:r>
                        <w:rPr>
                          <w:rFonts w:ascii="Arial"/>
                          <w:color w:val="0E2C46"/>
                          <w:spacing w:val="-2"/>
                          <w:sz w:val="16"/>
                        </w:rPr>
                        <w:t>info@litgrid.eu</w:t>
                      </w:r>
                    </w:hyperlink>
                    <w:r>
                      <w:rPr>
                        <w:rFonts w:ascii="Arial"/>
                        <w:color w:val="0E2C46"/>
                        <w:spacing w:val="-2"/>
                        <w:sz w:val="16"/>
                      </w:rPr>
                      <w:t xml:space="preserve"> </w:t>
                    </w:r>
                    <w:hyperlink r:id="rId4">
                      <w:r>
                        <w:rPr>
                          <w:rFonts w:ascii="Arial"/>
                          <w:color w:val="0E2C46"/>
                          <w:spacing w:val="-2"/>
                          <w:sz w:val="16"/>
                        </w:rPr>
                        <w:t>www.litgrid.eu</w:t>
                      </w:r>
                    </w:hyperlink>
                  </w:p>
                </w:txbxContent>
              </v:textbox>
              <w10:wrap anchorx="page" anchory="page"/>
            </v:shape>
          </w:pict>
        </mc:Fallback>
      </mc:AlternateContent>
    </w:r>
    <w:r>
      <w:rPr>
        <w:noProof/>
      </w:rPr>
      <mc:AlternateContent>
        <mc:Choice Requires="wps">
          <w:drawing>
            <wp:anchor distT="0" distB="0" distL="0" distR="0" simplePos="0" relativeHeight="487491072" behindDoc="1" locked="0" layoutInCell="1" allowOverlap="1" wp14:anchorId="10CB07E3" wp14:editId="57FA4F61">
              <wp:simplePos x="0" y="0"/>
              <wp:positionH relativeFrom="page">
                <wp:posOffset>5163692</wp:posOffset>
              </wp:positionH>
              <wp:positionV relativeFrom="page">
                <wp:posOffset>9875235</wp:posOffset>
              </wp:positionV>
              <wp:extent cx="1802130" cy="257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2130" cy="257175"/>
                      </a:xfrm>
                      <a:prstGeom prst="rect">
                        <a:avLst/>
                      </a:prstGeom>
                    </wps:spPr>
                    <wps:txbx>
                      <w:txbxContent>
                        <w:p w14:paraId="09CA2B6A" w14:textId="77777777" w:rsidR="00B95C6D" w:rsidRDefault="00742A25">
                          <w:pPr>
                            <w:spacing w:before="15"/>
                            <w:ind w:left="20"/>
                            <w:rPr>
                              <w:rFonts w:ascii="Arial" w:hAnsi="Arial"/>
                              <w:sz w:val="16"/>
                            </w:rPr>
                          </w:pPr>
                          <w:r>
                            <w:rPr>
                              <w:rFonts w:ascii="Arial" w:hAnsi="Arial"/>
                              <w:color w:val="0E2C46"/>
                              <w:sz w:val="16"/>
                            </w:rPr>
                            <w:t>Įmonės</w:t>
                          </w:r>
                          <w:r>
                            <w:rPr>
                              <w:rFonts w:ascii="Arial" w:hAnsi="Arial"/>
                              <w:color w:val="0E2C46"/>
                              <w:spacing w:val="-7"/>
                              <w:sz w:val="16"/>
                            </w:rPr>
                            <w:t xml:space="preserve"> </w:t>
                          </w:r>
                          <w:r>
                            <w:rPr>
                              <w:rFonts w:ascii="Arial" w:hAnsi="Arial"/>
                              <w:color w:val="0E2C46"/>
                              <w:sz w:val="16"/>
                            </w:rPr>
                            <w:t>kodas</w:t>
                          </w:r>
                          <w:r>
                            <w:rPr>
                              <w:rFonts w:ascii="Arial" w:hAnsi="Arial"/>
                              <w:color w:val="0E2C46"/>
                              <w:spacing w:val="-1"/>
                              <w:sz w:val="16"/>
                            </w:rPr>
                            <w:t xml:space="preserve"> </w:t>
                          </w:r>
                          <w:r>
                            <w:rPr>
                              <w:rFonts w:ascii="Arial" w:hAnsi="Arial"/>
                              <w:color w:val="0E2C46"/>
                              <w:spacing w:val="-2"/>
                              <w:sz w:val="16"/>
                            </w:rPr>
                            <w:t>302564383</w:t>
                          </w:r>
                        </w:p>
                        <w:p w14:paraId="2BF0386F" w14:textId="77777777" w:rsidR="00B95C6D" w:rsidRDefault="00742A25">
                          <w:pPr>
                            <w:spacing w:before="1"/>
                            <w:ind w:left="20"/>
                            <w:rPr>
                              <w:rFonts w:ascii="Arial" w:hAnsi="Arial"/>
                              <w:sz w:val="16"/>
                            </w:rPr>
                          </w:pPr>
                          <w:r>
                            <w:rPr>
                              <w:rFonts w:ascii="Arial" w:hAnsi="Arial"/>
                              <w:color w:val="0E2C46"/>
                              <w:sz w:val="16"/>
                            </w:rPr>
                            <w:t>PVM</w:t>
                          </w:r>
                          <w:r>
                            <w:rPr>
                              <w:rFonts w:ascii="Arial" w:hAnsi="Arial"/>
                              <w:color w:val="0E2C46"/>
                              <w:spacing w:val="-5"/>
                              <w:sz w:val="16"/>
                            </w:rPr>
                            <w:t xml:space="preserve"> </w:t>
                          </w:r>
                          <w:r>
                            <w:rPr>
                              <w:rFonts w:ascii="Arial" w:hAnsi="Arial"/>
                              <w:color w:val="0E2C46"/>
                              <w:sz w:val="16"/>
                            </w:rPr>
                            <w:t>mokėtojo</w:t>
                          </w:r>
                          <w:r>
                            <w:rPr>
                              <w:rFonts w:ascii="Arial" w:hAnsi="Arial"/>
                              <w:color w:val="0E2C46"/>
                              <w:spacing w:val="-7"/>
                              <w:sz w:val="16"/>
                            </w:rPr>
                            <w:t xml:space="preserve"> </w:t>
                          </w:r>
                          <w:r>
                            <w:rPr>
                              <w:rFonts w:ascii="Arial" w:hAnsi="Arial"/>
                              <w:color w:val="0E2C46"/>
                              <w:sz w:val="16"/>
                            </w:rPr>
                            <w:t>kodas</w:t>
                          </w:r>
                          <w:r>
                            <w:rPr>
                              <w:rFonts w:ascii="Arial" w:hAnsi="Arial"/>
                              <w:color w:val="0E2C46"/>
                              <w:spacing w:val="-5"/>
                              <w:sz w:val="16"/>
                            </w:rPr>
                            <w:t xml:space="preserve"> </w:t>
                          </w:r>
                          <w:r>
                            <w:rPr>
                              <w:rFonts w:ascii="Arial" w:hAnsi="Arial"/>
                              <w:color w:val="0E2C46"/>
                              <w:spacing w:val="-2"/>
                              <w:sz w:val="16"/>
                            </w:rPr>
                            <w:t>LT100005748413</w:t>
                          </w:r>
                        </w:p>
                      </w:txbxContent>
                    </wps:txbx>
                    <wps:bodyPr wrap="square" lIns="0" tIns="0" rIns="0" bIns="0" rtlCol="0">
                      <a:noAutofit/>
                    </wps:bodyPr>
                  </wps:wsp>
                </a:graphicData>
              </a:graphic>
            </wp:anchor>
          </w:drawing>
        </mc:Choice>
        <mc:Fallback>
          <w:pict>
            <v:shape w14:anchorId="10CB07E3" id="Textbox 4" o:spid="_x0000_s1028" type="#_x0000_t202" style="position:absolute;margin-left:406.6pt;margin-top:777.6pt;width:141.9pt;height:20.2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" filled="f" stroked="f">
              <v:textbox inset="0,0,0,0">
                <w:txbxContent>
                  <w:p w14:paraId="09CA2B6A" w14:textId="77777777" w:rsidR="00B95C6D" w:rsidRDefault="00742A25">
                    <w:pPr>
                      <w:spacing w:before="15"/>
                      <w:ind w:left="20"/>
                      <w:rPr>
                        <w:rFonts w:ascii="Arial" w:hAnsi="Arial"/>
                        <w:sz w:val="16"/>
                      </w:rPr>
                    </w:pPr>
                    <w:r>
                      <w:rPr>
                        <w:rFonts w:ascii="Arial" w:hAnsi="Arial"/>
                        <w:color w:val="0E2C46"/>
                        <w:sz w:val="16"/>
                      </w:rPr>
                      <w:t>Įmonės</w:t>
                    </w:r>
                    <w:r>
                      <w:rPr>
                        <w:rFonts w:ascii="Arial" w:hAnsi="Arial"/>
                        <w:color w:val="0E2C46"/>
                        <w:spacing w:val="-7"/>
                        <w:sz w:val="16"/>
                      </w:rPr>
                      <w:t xml:space="preserve"> </w:t>
                    </w:r>
                    <w:r>
                      <w:rPr>
                        <w:rFonts w:ascii="Arial" w:hAnsi="Arial"/>
                        <w:color w:val="0E2C46"/>
                        <w:sz w:val="16"/>
                      </w:rPr>
                      <w:t>kodas</w:t>
                    </w:r>
                    <w:r>
                      <w:rPr>
                        <w:rFonts w:ascii="Arial" w:hAnsi="Arial"/>
                        <w:color w:val="0E2C46"/>
                        <w:spacing w:val="-1"/>
                        <w:sz w:val="16"/>
                      </w:rPr>
                      <w:t xml:space="preserve"> </w:t>
                    </w:r>
                    <w:r>
                      <w:rPr>
                        <w:rFonts w:ascii="Arial" w:hAnsi="Arial"/>
                        <w:color w:val="0E2C46"/>
                        <w:spacing w:val="-2"/>
                        <w:sz w:val="16"/>
                      </w:rPr>
                      <w:t>302564383</w:t>
                    </w:r>
                  </w:p>
                  <w:p w14:paraId="2BF0386F" w14:textId="77777777" w:rsidR="00B95C6D" w:rsidRDefault="00742A25">
                    <w:pPr>
                      <w:spacing w:before="1"/>
                      <w:ind w:left="20"/>
                      <w:rPr>
                        <w:rFonts w:ascii="Arial" w:hAnsi="Arial"/>
                        <w:sz w:val="16"/>
                      </w:rPr>
                    </w:pPr>
                    <w:r>
                      <w:rPr>
                        <w:rFonts w:ascii="Arial" w:hAnsi="Arial"/>
                        <w:color w:val="0E2C46"/>
                        <w:sz w:val="16"/>
                      </w:rPr>
                      <w:t>PVM</w:t>
                    </w:r>
                    <w:r>
                      <w:rPr>
                        <w:rFonts w:ascii="Arial" w:hAnsi="Arial"/>
                        <w:color w:val="0E2C46"/>
                        <w:spacing w:val="-5"/>
                        <w:sz w:val="16"/>
                      </w:rPr>
                      <w:t xml:space="preserve"> </w:t>
                    </w:r>
                    <w:r>
                      <w:rPr>
                        <w:rFonts w:ascii="Arial" w:hAnsi="Arial"/>
                        <w:color w:val="0E2C46"/>
                        <w:sz w:val="16"/>
                      </w:rPr>
                      <w:t>mokėtojo</w:t>
                    </w:r>
                    <w:r>
                      <w:rPr>
                        <w:rFonts w:ascii="Arial" w:hAnsi="Arial"/>
                        <w:color w:val="0E2C46"/>
                        <w:spacing w:val="-7"/>
                        <w:sz w:val="16"/>
                      </w:rPr>
                      <w:t xml:space="preserve"> </w:t>
                    </w:r>
                    <w:r>
                      <w:rPr>
                        <w:rFonts w:ascii="Arial" w:hAnsi="Arial"/>
                        <w:color w:val="0E2C46"/>
                        <w:sz w:val="16"/>
                      </w:rPr>
                      <w:t>kodas</w:t>
                    </w:r>
                    <w:r>
                      <w:rPr>
                        <w:rFonts w:ascii="Arial" w:hAnsi="Arial"/>
                        <w:color w:val="0E2C46"/>
                        <w:spacing w:val="-5"/>
                        <w:sz w:val="16"/>
                      </w:rPr>
                      <w:t xml:space="preserve"> </w:t>
                    </w:r>
                    <w:r>
                      <w:rPr>
                        <w:rFonts w:ascii="Arial" w:hAnsi="Arial"/>
                        <w:color w:val="0E2C46"/>
                        <w:spacing w:val="-2"/>
                        <w:sz w:val="16"/>
                      </w:rPr>
                      <w:t>LT100005748413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E0C1" w14:textId="77777777" w:rsidR="00EE31EF" w:rsidRDefault="00EE31EF">
      <w:r>
        <w:separator/>
      </w:r>
    </w:p>
  </w:footnote>
  <w:footnote w:type="continuationSeparator" w:id="0">
    <w:p w14:paraId="6EE1DA9C" w14:textId="77777777" w:rsidR="00EE31EF" w:rsidRDefault="00EE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9627" w14:textId="77777777" w:rsidR="00B95C6D" w:rsidRDefault="00742A25">
    <w:pPr>
      <w:pStyle w:val="BodyText"/>
      <w:spacing w:line="14" w:lineRule="auto"/>
    </w:pPr>
    <w:r>
      <w:rPr>
        <w:noProof/>
      </w:rPr>
      <w:drawing>
        <wp:anchor distT="0" distB="0" distL="0" distR="0" simplePos="0" relativeHeight="487489536" behindDoc="1" locked="0" layoutInCell="1" allowOverlap="1" wp14:anchorId="3F191FFC" wp14:editId="41ECD765">
          <wp:simplePos x="0" y="0"/>
          <wp:positionH relativeFrom="page">
            <wp:posOffset>798830</wp:posOffset>
          </wp:positionH>
          <wp:positionV relativeFrom="page">
            <wp:posOffset>372795</wp:posOffset>
          </wp:positionV>
          <wp:extent cx="1567180" cy="575132"/>
          <wp:effectExtent l="0" t="0" r="0" b="0"/>
          <wp:wrapNone/>
          <wp:docPr id="13326177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7180" cy="57513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0745E"/>
    <w:multiLevelType w:val="hybridMultilevel"/>
    <w:tmpl w:val="CB4225B0"/>
    <w:lvl w:ilvl="0" w:tplc="9CF4B0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DB84A7C"/>
    <w:multiLevelType w:val="hybridMultilevel"/>
    <w:tmpl w:val="992A624E"/>
    <w:lvl w:ilvl="0" w:tplc="E45A00C0">
      <w:numFmt w:val="bullet"/>
      <w:lvlText w:val="-"/>
      <w:lvlJc w:val="left"/>
      <w:pPr>
        <w:ind w:left="108" w:hanging="360"/>
      </w:pPr>
      <w:rPr>
        <w:rFonts w:ascii="Calibri" w:eastAsia="Calibri" w:hAnsi="Calibri" w:cs="Calibri" w:hint="default"/>
        <w:b w:val="0"/>
        <w:bCs w:val="0"/>
        <w:i w:val="0"/>
        <w:iCs w:val="0"/>
        <w:spacing w:val="0"/>
        <w:w w:val="99"/>
        <w:sz w:val="20"/>
        <w:szCs w:val="20"/>
        <w:lang w:val="lt-LT" w:eastAsia="en-US" w:bidi="ar-SA"/>
      </w:rPr>
    </w:lvl>
    <w:lvl w:ilvl="1" w:tplc="3E3CF02E">
      <w:numFmt w:val="bullet"/>
      <w:lvlText w:val="•"/>
      <w:lvlJc w:val="left"/>
      <w:pPr>
        <w:ind w:left="514" w:hanging="360"/>
      </w:pPr>
      <w:rPr>
        <w:rFonts w:hint="default"/>
        <w:lang w:val="lt-LT" w:eastAsia="en-US" w:bidi="ar-SA"/>
      </w:rPr>
    </w:lvl>
    <w:lvl w:ilvl="2" w:tplc="9FEED67C">
      <w:numFmt w:val="bullet"/>
      <w:lvlText w:val="•"/>
      <w:lvlJc w:val="left"/>
      <w:pPr>
        <w:ind w:left="928" w:hanging="360"/>
      </w:pPr>
      <w:rPr>
        <w:rFonts w:hint="default"/>
        <w:lang w:val="lt-LT" w:eastAsia="en-US" w:bidi="ar-SA"/>
      </w:rPr>
    </w:lvl>
    <w:lvl w:ilvl="3" w:tplc="D5C0D7C0">
      <w:numFmt w:val="bullet"/>
      <w:lvlText w:val="•"/>
      <w:lvlJc w:val="left"/>
      <w:pPr>
        <w:ind w:left="1342" w:hanging="360"/>
      </w:pPr>
      <w:rPr>
        <w:rFonts w:hint="default"/>
        <w:lang w:val="lt-LT" w:eastAsia="en-US" w:bidi="ar-SA"/>
      </w:rPr>
    </w:lvl>
    <w:lvl w:ilvl="4" w:tplc="A3EE7BD6">
      <w:numFmt w:val="bullet"/>
      <w:lvlText w:val="•"/>
      <w:lvlJc w:val="left"/>
      <w:pPr>
        <w:ind w:left="1757" w:hanging="360"/>
      </w:pPr>
      <w:rPr>
        <w:rFonts w:hint="default"/>
        <w:lang w:val="lt-LT" w:eastAsia="en-US" w:bidi="ar-SA"/>
      </w:rPr>
    </w:lvl>
    <w:lvl w:ilvl="5" w:tplc="5D2E1682">
      <w:numFmt w:val="bullet"/>
      <w:lvlText w:val="•"/>
      <w:lvlJc w:val="left"/>
      <w:pPr>
        <w:ind w:left="2171" w:hanging="360"/>
      </w:pPr>
      <w:rPr>
        <w:rFonts w:hint="default"/>
        <w:lang w:val="lt-LT" w:eastAsia="en-US" w:bidi="ar-SA"/>
      </w:rPr>
    </w:lvl>
    <w:lvl w:ilvl="6" w:tplc="EB861EC6">
      <w:numFmt w:val="bullet"/>
      <w:lvlText w:val="•"/>
      <w:lvlJc w:val="left"/>
      <w:pPr>
        <w:ind w:left="2585" w:hanging="360"/>
      </w:pPr>
      <w:rPr>
        <w:rFonts w:hint="default"/>
        <w:lang w:val="lt-LT" w:eastAsia="en-US" w:bidi="ar-SA"/>
      </w:rPr>
    </w:lvl>
    <w:lvl w:ilvl="7" w:tplc="19821312">
      <w:numFmt w:val="bullet"/>
      <w:lvlText w:val="•"/>
      <w:lvlJc w:val="left"/>
      <w:pPr>
        <w:ind w:left="3000" w:hanging="360"/>
      </w:pPr>
      <w:rPr>
        <w:rFonts w:hint="default"/>
        <w:lang w:val="lt-LT" w:eastAsia="en-US" w:bidi="ar-SA"/>
      </w:rPr>
    </w:lvl>
    <w:lvl w:ilvl="8" w:tplc="1AEC3346">
      <w:numFmt w:val="bullet"/>
      <w:lvlText w:val="•"/>
      <w:lvlJc w:val="left"/>
      <w:pPr>
        <w:ind w:left="3414" w:hanging="360"/>
      </w:pPr>
      <w:rPr>
        <w:rFonts w:hint="default"/>
        <w:lang w:val="lt-LT" w:eastAsia="en-US" w:bidi="ar-SA"/>
      </w:rPr>
    </w:lvl>
  </w:abstractNum>
  <w:abstractNum w:abstractNumId="3" w15:restartNumberingAfterBreak="0">
    <w:nsid w:val="1DCD6961"/>
    <w:multiLevelType w:val="hybridMultilevel"/>
    <w:tmpl w:val="2DDE1274"/>
    <w:lvl w:ilvl="0" w:tplc="8E6EA7CE">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15:restartNumberingAfterBreak="0">
    <w:nsid w:val="1ED742DC"/>
    <w:multiLevelType w:val="hybridMultilevel"/>
    <w:tmpl w:val="2BA245EE"/>
    <w:lvl w:ilvl="0" w:tplc="E27669E0">
      <w:start w:val="1"/>
      <w:numFmt w:val="bullet"/>
      <w:lvlText w:val="-"/>
      <w:lvlJc w:val="left"/>
      <w:pPr>
        <w:ind w:left="382" w:hanging="360"/>
      </w:pPr>
      <w:rPr>
        <w:rFonts w:ascii="Arial" w:eastAsia="MS Mincho" w:hAnsi="Arial" w:cs="Arial"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C5855"/>
    <w:multiLevelType w:val="hybridMultilevel"/>
    <w:tmpl w:val="7BEA3C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F122D"/>
    <w:multiLevelType w:val="hybridMultilevel"/>
    <w:tmpl w:val="A606A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37F46"/>
    <w:multiLevelType w:val="hybridMultilevel"/>
    <w:tmpl w:val="1B7A8530"/>
    <w:lvl w:ilvl="0" w:tplc="9CF4B0A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A2E5E37"/>
    <w:multiLevelType w:val="hybridMultilevel"/>
    <w:tmpl w:val="82E86BF6"/>
    <w:lvl w:ilvl="0" w:tplc="5EE25C36">
      <w:start w:val="1"/>
      <w:numFmt w:val="decimal"/>
      <w:lvlText w:val="%1."/>
      <w:lvlJc w:val="left"/>
      <w:pPr>
        <w:ind w:left="276" w:hanging="284"/>
      </w:pPr>
      <w:rPr>
        <w:rFonts w:ascii="Tahoma" w:eastAsia="Tahoma" w:hAnsi="Tahoma" w:cs="Tahoma" w:hint="default"/>
        <w:b w:val="0"/>
        <w:bCs w:val="0"/>
        <w:i w:val="0"/>
        <w:iCs w:val="0"/>
        <w:spacing w:val="-1"/>
        <w:w w:val="99"/>
        <w:sz w:val="20"/>
        <w:szCs w:val="20"/>
        <w:lang w:val="lt-LT" w:eastAsia="en-US" w:bidi="ar-SA"/>
      </w:rPr>
    </w:lvl>
    <w:lvl w:ilvl="1" w:tplc="F9D4EFB0">
      <w:numFmt w:val="bullet"/>
      <w:lvlText w:val="•"/>
      <w:lvlJc w:val="left"/>
      <w:pPr>
        <w:ind w:left="591" w:hanging="284"/>
      </w:pPr>
      <w:rPr>
        <w:rFonts w:hint="default"/>
        <w:lang w:val="lt-LT" w:eastAsia="en-US" w:bidi="ar-SA"/>
      </w:rPr>
    </w:lvl>
    <w:lvl w:ilvl="2" w:tplc="E3D05164">
      <w:numFmt w:val="bullet"/>
      <w:lvlText w:val="•"/>
      <w:lvlJc w:val="left"/>
      <w:pPr>
        <w:ind w:left="902" w:hanging="284"/>
      </w:pPr>
      <w:rPr>
        <w:rFonts w:hint="default"/>
        <w:lang w:val="lt-LT" w:eastAsia="en-US" w:bidi="ar-SA"/>
      </w:rPr>
    </w:lvl>
    <w:lvl w:ilvl="3" w:tplc="E300363A">
      <w:numFmt w:val="bullet"/>
      <w:lvlText w:val="•"/>
      <w:lvlJc w:val="left"/>
      <w:pPr>
        <w:ind w:left="1213" w:hanging="284"/>
      </w:pPr>
      <w:rPr>
        <w:rFonts w:hint="default"/>
        <w:lang w:val="lt-LT" w:eastAsia="en-US" w:bidi="ar-SA"/>
      </w:rPr>
    </w:lvl>
    <w:lvl w:ilvl="4" w:tplc="A372C69A">
      <w:numFmt w:val="bullet"/>
      <w:lvlText w:val="•"/>
      <w:lvlJc w:val="left"/>
      <w:pPr>
        <w:ind w:left="1525" w:hanging="284"/>
      </w:pPr>
      <w:rPr>
        <w:rFonts w:hint="default"/>
        <w:lang w:val="lt-LT" w:eastAsia="en-US" w:bidi="ar-SA"/>
      </w:rPr>
    </w:lvl>
    <w:lvl w:ilvl="5" w:tplc="9F8EA908">
      <w:numFmt w:val="bullet"/>
      <w:lvlText w:val="•"/>
      <w:lvlJc w:val="left"/>
      <w:pPr>
        <w:ind w:left="1836" w:hanging="284"/>
      </w:pPr>
      <w:rPr>
        <w:rFonts w:hint="default"/>
        <w:lang w:val="lt-LT" w:eastAsia="en-US" w:bidi="ar-SA"/>
      </w:rPr>
    </w:lvl>
    <w:lvl w:ilvl="6" w:tplc="0BA89868">
      <w:numFmt w:val="bullet"/>
      <w:lvlText w:val="•"/>
      <w:lvlJc w:val="left"/>
      <w:pPr>
        <w:ind w:left="2147" w:hanging="284"/>
      </w:pPr>
      <w:rPr>
        <w:rFonts w:hint="default"/>
        <w:lang w:val="lt-LT" w:eastAsia="en-US" w:bidi="ar-SA"/>
      </w:rPr>
    </w:lvl>
    <w:lvl w:ilvl="7" w:tplc="7BC6E1AE">
      <w:numFmt w:val="bullet"/>
      <w:lvlText w:val="•"/>
      <w:lvlJc w:val="left"/>
      <w:pPr>
        <w:ind w:left="2459" w:hanging="284"/>
      </w:pPr>
      <w:rPr>
        <w:rFonts w:hint="default"/>
        <w:lang w:val="lt-LT" w:eastAsia="en-US" w:bidi="ar-SA"/>
      </w:rPr>
    </w:lvl>
    <w:lvl w:ilvl="8" w:tplc="7396CA70">
      <w:numFmt w:val="bullet"/>
      <w:lvlText w:val="•"/>
      <w:lvlJc w:val="left"/>
      <w:pPr>
        <w:ind w:left="2770" w:hanging="284"/>
      </w:pPr>
      <w:rPr>
        <w:rFonts w:hint="default"/>
        <w:lang w:val="lt-LT" w:eastAsia="en-US" w:bidi="ar-SA"/>
      </w:r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6B1592D"/>
    <w:multiLevelType w:val="hybridMultilevel"/>
    <w:tmpl w:val="E6784D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9A4E68"/>
    <w:multiLevelType w:val="hybridMultilevel"/>
    <w:tmpl w:val="4482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8A0ABB"/>
    <w:multiLevelType w:val="hybridMultilevel"/>
    <w:tmpl w:val="D73CCBD4"/>
    <w:lvl w:ilvl="0" w:tplc="20A4932E">
      <w:start w:val="1"/>
      <w:numFmt w:val="decimal"/>
      <w:lvlText w:val="%1."/>
      <w:lvlJc w:val="left"/>
      <w:pPr>
        <w:ind w:left="630" w:hanging="360"/>
      </w:pPr>
      <w:rPr>
        <w:rFonts w:ascii="Arial" w:eastAsia="MS Mincho" w:hAnsi="Arial" w:cs="Arial"/>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841F9"/>
    <w:multiLevelType w:val="hybridMultilevel"/>
    <w:tmpl w:val="FAD424B0"/>
    <w:lvl w:ilvl="0" w:tplc="C1C8BA8A">
      <w:start w:val="1"/>
      <w:numFmt w:val="decimal"/>
      <w:lvlText w:val="%1."/>
      <w:lvlJc w:val="left"/>
      <w:pPr>
        <w:ind w:left="630" w:hanging="360"/>
      </w:pPr>
      <w:rPr>
        <w:rFonts w:ascii="Arial" w:hAnsi="Arial" w:cs="Arial"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A164BAD"/>
    <w:multiLevelType w:val="hybridMultilevel"/>
    <w:tmpl w:val="D0E20542"/>
    <w:lvl w:ilvl="0" w:tplc="7CE61E4C">
      <w:start w:val="1"/>
      <w:numFmt w:val="decimal"/>
      <w:lvlText w:val="%1."/>
      <w:lvlJc w:val="left"/>
      <w:pPr>
        <w:ind w:left="63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20" w15:restartNumberingAfterBreak="0">
    <w:nsid w:val="5E9259EB"/>
    <w:multiLevelType w:val="hybridMultilevel"/>
    <w:tmpl w:val="B8AC4DEC"/>
    <w:lvl w:ilvl="0" w:tplc="02F86052">
      <w:start w:val="1"/>
      <w:numFmt w:val="decimal"/>
      <w:lvlText w:val="%1."/>
      <w:lvlJc w:val="left"/>
      <w:pPr>
        <w:ind w:left="842" w:hanging="360"/>
      </w:pPr>
      <w:rPr>
        <w:rFonts w:ascii="Arial" w:hAnsi="Arial" w:cs="Arial" w:hint="default"/>
        <w:color w:val="000000"/>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1"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96788B"/>
    <w:multiLevelType w:val="hybridMultilevel"/>
    <w:tmpl w:val="793E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991C31"/>
    <w:multiLevelType w:val="hybridMultilevel"/>
    <w:tmpl w:val="978A1F70"/>
    <w:lvl w:ilvl="0" w:tplc="BE08E764">
      <w:start w:val="1"/>
      <w:numFmt w:val="decimal"/>
      <w:lvlText w:val="%1."/>
      <w:lvlJc w:val="left"/>
      <w:pPr>
        <w:ind w:left="700" w:hanging="360"/>
      </w:pPr>
      <w:rPr>
        <w:rFonts w:ascii="Arial" w:hAnsi="Arial" w:cs="Aria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758B2B38"/>
    <w:multiLevelType w:val="multilevel"/>
    <w:tmpl w:val="92821A16"/>
    <w:lvl w:ilvl="0">
      <w:start w:val="3"/>
      <w:numFmt w:val="decimal"/>
      <w:lvlText w:val="%1"/>
      <w:lvlJc w:val="left"/>
      <w:pPr>
        <w:ind w:left="108" w:hanging="946"/>
      </w:pPr>
      <w:rPr>
        <w:rFonts w:hint="default"/>
        <w:lang w:val="lt-LT" w:eastAsia="en-US" w:bidi="ar-SA"/>
      </w:rPr>
    </w:lvl>
    <w:lvl w:ilvl="1">
      <w:start w:val="1"/>
      <w:numFmt w:val="decimal"/>
      <w:lvlText w:val="%1.%2."/>
      <w:lvlJc w:val="left"/>
      <w:pPr>
        <w:ind w:left="108" w:hanging="946"/>
      </w:pPr>
      <w:rPr>
        <w:rFonts w:ascii="Tahoma" w:eastAsia="Tahoma" w:hAnsi="Tahoma" w:cs="Tahoma" w:hint="default"/>
        <w:b w:val="0"/>
        <w:bCs w:val="0"/>
        <w:i w:val="0"/>
        <w:iCs w:val="0"/>
        <w:spacing w:val="-2"/>
        <w:w w:val="99"/>
        <w:sz w:val="20"/>
        <w:szCs w:val="20"/>
        <w:lang w:val="lt-LT" w:eastAsia="en-US" w:bidi="ar-SA"/>
      </w:rPr>
    </w:lvl>
    <w:lvl w:ilvl="2">
      <w:numFmt w:val="bullet"/>
      <w:lvlText w:val="•"/>
      <w:lvlJc w:val="left"/>
      <w:pPr>
        <w:ind w:left="758" w:hanging="946"/>
      </w:pPr>
      <w:rPr>
        <w:rFonts w:hint="default"/>
        <w:lang w:val="lt-LT" w:eastAsia="en-US" w:bidi="ar-SA"/>
      </w:rPr>
    </w:lvl>
    <w:lvl w:ilvl="3">
      <w:numFmt w:val="bullet"/>
      <w:lvlText w:val="•"/>
      <w:lvlJc w:val="left"/>
      <w:pPr>
        <w:ind w:left="1087" w:hanging="946"/>
      </w:pPr>
      <w:rPr>
        <w:rFonts w:hint="default"/>
        <w:lang w:val="lt-LT" w:eastAsia="en-US" w:bidi="ar-SA"/>
      </w:rPr>
    </w:lvl>
    <w:lvl w:ilvl="4">
      <w:numFmt w:val="bullet"/>
      <w:lvlText w:val="•"/>
      <w:lvlJc w:val="left"/>
      <w:pPr>
        <w:ind w:left="1417" w:hanging="946"/>
      </w:pPr>
      <w:rPr>
        <w:rFonts w:hint="default"/>
        <w:lang w:val="lt-LT" w:eastAsia="en-US" w:bidi="ar-SA"/>
      </w:rPr>
    </w:lvl>
    <w:lvl w:ilvl="5">
      <w:numFmt w:val="bullet"/>
      <w:lvlText w:val="•"/>
      <w:lvlJc w:val="left"/>
      <w:pPr>
        <w:ind w:left="1746" w:hanging="946"/>
      </w:pPr>
      <w:rPr>
        <w:rFonts w:hint="default"/>
        <w:lang w:val="lt-LT" w:eastAsia="en-US" w:bidi="ar-SA"/>
      </w:rPr>
    </w:lvl>
    <w:lvl w:ilvl="6">
      <w:numFmt w:val="bullet"/>
      <w:lvlText w:val="•"/>
      <w:lvlJc w:val="left"/>
      <w:pPr>
        <w:ind w:left="2075" w:hanging="946"/>
      </w:pPr>
      <w:rPr>
        <w:rFonts w:hint="default"/>
        <w:lang w:val="lt-LT" w:eastAsia="en-US" w:bidi="ar-SA"/>
      </w:rPr>
    </w:lvl>
    <w:lvl w:ilvl="7">
      <w:numFmt w:val="bullet"/>
      <w:lvlText w:val="•"/>
      <w:lvlJc w:val="left"/>
      <w:pPr>
        <w:ind w:left="2405" w:hanging="946"/>
      </w:pPr>
      <w:rPr>
        <w:rFonts w:hint="default"/>
        <w:lang w:val="lt-LT" w:eastAsia="en-US" w:bidi="ar-SA"/>
      </w:rPr>
    </w:lvl>
    <w:lvl w:ilvl="8">
      <w:numFmt w:val="bullet"/>
      <w:lvlText w:val="•"/>
      <w:lvlJc w:val="left"/>
      <w:pPr>
        <w:ind w:left="2734" w:hanging="946"/>
      </w:pPr>
      <w:rPr>
        <w:rFonts w:hint="default"/>
        <w:lang w:val="lt-LT" w:eastAsia="en-US" w:bidi="ar-SA"/>
      </w:rPr>
    </w:lvl>
  </w:abstractNum>
  <w:abstractNum w:abstractNumId="25" w15:restartNumberingAfterBreak="0">
    <w:nsid w:val="793244BF"/>
    <w:multiLevelType w:val="hybridMultilevel"/>
    <w:tmpl w:val="4698989A"/>
    <w:lvl w:ilvl="0" w:tplc="DC3A26D0">
      <w:start w:val="2"/>
      <w:numFmt w:val="decimal"/>
      <w:lvlText w:val="%1."/>
      <w:lvlJc w:val="left"/>
      <w:pPr>
        <w:ind w:left="108" w:hanging="1297"/>
      </w:pPr>
      <w:rPr>
        <w:rFonts w:ascii="Tahoma" w:eastAsia="Tahoma" w:hAnsi="Tahoma" w:cs="Tahoma" w:hint="default"/>
        <w:b w:val="0"/>
        <w:bCs w:val="0"/>
        <w:i w:val="0"/>
        <w:iCs w:val="0"/>
        <w:spacing w:val="-1"/>
        <w:w w:val="99"/>
        <w:sz w:val="20"/>
        <w:szCs w:val="20"/>
        <w:lang w:val="lt-LT" w:eastAsia="en-US" w:bidi="ar-SA"/>
      </w:rPr>
    </w:lvl>
    <w:lvl w:ilvl="1" w:tplc="818A2BEC">
      <w:start w:val="1"/>
      <w:numFmt w:val="decimal"/>
      <w:lvlText w:val="%2."/>
      <w:lvlJc w:val="left"/>
      <w:pPr>
        <w:ind w:left="828" w:hanging="360"/>
      </w:pPr>
      <w:rPr>
        <w:rFonts w:ascii="Tahoma" w:eastAsia="Tahoma" w:hAnsi="Tahoma" w:cs="Tahoma" w:hint="default"/>
        <w:b w:val="0"/>
        <w:bCs w:val="0"/>
        <w:i w:val="0"/>
        <w:iCs w:val="0"/>
        <w:spacing w:val="-1"/>
        <w:w w:val="99"/>
        <w:sz w:val="20"/>
        <w:szCs w:val="20"/>
        <w:lang w:val="lt-LT" w:eastAsia="en-US" w:bidi="ar-SA"/>
      </w:rPr>
    </w:lvl>
    <w:lvl w:ilvl="2" w:tplc="6ED2D9D0">
      <w:numFmt w:val="bullet"/>
      <w:lvlText w:val="•"/>
      <w:lvlJc w:val="left"/>
      <w:pPr>
        <w:ind w:left="1200" w:hanging="360"/>
      </w:pPr>
      <w:rPr>
        <w:rFonts w:hint="default"/>
        <w:lang w:val="lt-LT" w:eastAsia="en-US" w:bidi="ar-SA"/>
      </w:rPr>
    </w:lvl>
    <w:lvl w:ilvl="3" w:tplc="81005CB8">
      <w:numFmt w:val="bullet"/>
      <w:lvlText w:val="•"/>
      <w:lvlJc w:val="left"/>
      <w:pPr>
        <w:ind w:left="1580" w:hanging="360"/>
      </w:pPr>
      <w:rPr>
        <w:rFonts w:hint="default"/>
        <w:lang w:val="lt-LT" w:eastAsia="en-US" w:bidi="ar-SA"/>
      </w:rPr>
    </w:lvl>
    <w:lvl w:ilvl="4" w:tplc="63DE985E">
      <w:numFmt w:val="bullet"/>
      <w:lvlText w:val="•"/>
      <w:lvlJc w:val="left"/>
      <w:pPr>
        <w:ind w:left="1961" w:hanging="360"/>
      </w:pPr>
      <w:rPr>
        <w:rFonts w:hint="default"/>
        <w:lang w:val="lt-LT" w:eastAsia="en-US" w:bidi="ar-SA"/>
      </w:rPr>
    </w:lvl>
    <w:lvl w:ilvl="5" w:tplc="D420503A">
      <w:numFmt w:val="bullet"/>
      <w:lvlText w:val="•"/>
      <w:lvlJc w:val="left"/>
      <w:pPr>
        <w:ind w:left="2341" w:hanging="360"/>
      </w:pPr>
      <w:rPr>
        <w:rFonts w:hint="default"/>
        <w:lang w:val="lt-LT" w:eastAsia="en-US" w:bidi="ar-SA"/>
      </w:rPr>
    </w:lvl>
    <w:lvl w:ilvl="6" w:tplc="2F9E302A">
      <w:numFmt w:val="bullet"/>
      <w:lvlText w:val="•"/>
      <w:lvlJc w:val="left"/>
      <w:pPr>
        <w:ind w:left="2721" w:hanging="360"/>
      </w:pPr>
      <w:rPr>
        <w:rFonts w:hint="default"/>
        <w:lang w:val="lt-LT" w:eastAsia="en-US" w:bidi="ar-SA"/>
      </w:rPr>
    </w:lvl>
    <w:lvl w:ilvl="7" w:tplc="47A01624">
      <w:numFmt w:val="bullet"/>
      <w:lvlText w:val="•"/>
      <w:lvlJc w:val="left"/>
      <w:pPr>
        <w:ind w:left="3102" w:hanging="360"/>
      </w:pPr>
      <w:rPr>
        <w:rFonts w:hint="default"/>
        <w:lang w:val="lt-LT" w:eastAsia="en-US" w:bidi="ar-SA"/>
      </w:rPr>
    </w:lvl>
    <w:lvl w:ilvl="8" w:tplc="BB18FAE2">
      <w:numFmt w:val="bullet"/>
      <w:lvlText w:val="•"/>
      <w:lvlJc w:val="left"/>
      <w:pPr>
        <w:ind w:left="3482" w:hanging="360"/>
      </w:pPr>
      <w:rPr>
        <w:rFonts w:hint="default"/>
        <w:lang w:val="lt-LT" w:eastAsia="en-US" w:bidi="ar-SA"/>
      </w:rPr>
    </w:lvl>
  </w:abstractNum>
  <w:abstractNum w:abstractNumId="26" w15:restartNumberingAfterBreak="0">
    <w:nsid w:val="7F5D5E88"/>
    <w:multiLevelType w:val="hybridMultilevel"/>
    <w:tmpl w:val="E140109C"/>
    <w:lvl w:ilvl="0" w:tplc="E092EBC8">
      <w:start w:val="1"/>
      <w:numFmt w:val="decimal"/>
      <w:lvlText w:val="%1."/>
      <w:lvlJc w:val="left"/>
      <w:pPr>
        <w:ind w:left="666" w:hanging="360"/>
      </w:pPr>
      <w:rPr>
        <w:rFonts w:hint="default"/>
        <w:color w:val="000000" w:themeColor="text1"/>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num w:numId="1" w16cid:durableId="109325207">
    <w:abstractNumId w:val="24"/>
  </w:num>
  <w:num w:numId="2" w16cid:durableId="375783570">
    <w:abstractNumId w:val="25"/>
  </w:num>
  <w:num w:numId="3" w16cid:durableId="485247731">
    <w:abstractNumId w:val="10"/>
  </w:num>
  <w:num w:numId="4" w16cid:durableId="2070957077">
    <w:abstractNumId w:val="2"/>
  </w:num>
  <w:num w:numId="5" w16cid:durableId="2097942819">
    <w:abstractNumId w:val="0"/>
  </w:num>
  <w:num w:numId="6" w16cid:durableId="1580554872">
    <w:abstractNumId w:val="26"/>
  </w:num>
  <w:num w:numId="7" w16cid:durableId="1016467138">
    <w:abstractNumId w:val="8"/>
  </w:num>
  <w:num w:numId="8" w16cid:durableId="1318070963">
    <w:abstractNumId w:val="9"/>
  </w:num>
  <w:num w:numId="9" w16cid:durableId="1923567199">
    <w:abstractNumId w:val="5"/>
  </w:num>
  <w:num w:numId="10" w16cid:durableId="1057358430">
    <w:abstractNumId w:val="15"/>
  </w:num>
  <w:num w:numId="11" w16cid:durableId="2062552183">
    <w:abstractNumId w:val="11"/>
  </w:num>
  <w:num w:numId="12" w16cid:durableId="139420113">
    <w:abstractNumId w:val="1"/>
  </w:num>
  <w:num w:numId="13" w16cid:durableId="17202585">
    <w:abstractNumId w:val="13"/>
  </w:num>
  <w:num w:numId="14" w16cid:durableId="513497650">
    <w:abstractNumId w:val="20"/>
  </w:num>
  <w:num w:numId="15" w16cid:durableId="1189875650">
    <w:abstractNumId w:val="16"/>
  </w:num>
  <w:num w:numId="16" w16cid:durableId="1035615895">
    <w:abstractNumId w:val="21"/>
  </w:num>
  <w:num w:numId="17" w16cid:durableId="164174827">
    <w:abstractNumId w:val="17"/>
  </w:num>
  <w:num w:numId="18" w16cid:durableId="110587513">
    <w:abstractNumId w:val="23"/>
  </w:num>
  <w:num w:numId="19" w16cid:durableId="1808357143">
    <w:abstractNumId w:val="18"/>
  </w:num>
  <w:num w:numId="20" w16cid:durableId="1520200762">
    <w:abstractNumId w:val="3"/>
  </w:num>
  <w:num w:numId="21" w16cid:durableId="620457492">
    <w:abstractNumId w:val="14"/>
  </w:num>
  <w:num w:numId="22" w16cid:durableId="571740121">
    <w:abstractNumId w:val="22"/>
  </w:num>
  <w:num w:numId="23" w16cid:durableId="1285691808">
    <w:abstractNumId w:val="19"/>
  </w:num>
  <w:num w:numId="24" w16cid:durableId="872881426">
    <w:abstractNumId w:val="12"/>
  </w:num>
  <w:num w:numId="25" w16cid:durableId="1023286396">
    <w:abstractNumId w:val="4"/>
  </w:num>
  <w:num w:numId="26" w16cid:durableId="976645742">
    <w:abstractNumId w:val="6"/>
  </w:num>
  <w:num w:numId="27" w16cid:durableId="684289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6D"/>
    <w:rsid w:val="00041353"/>
    <w:rsid w:val="00042F1D"/>
    <w:rsid w:val="00096AC8"/>
    <w:rsid w:val="00272102"/>
    <w:rsid w:val="002E5759"/>
    <w:rsid w:val="00305ED3"/>
    <w:rsid w:val="00345985"/>
    <w:rsid w:val="003B7C3D"/>
    <w:rsid w:val="006B3B7C"/>
    <w:rsid w:val="006C3394"/>
    <w:rsid w:val="00742A25"/>
    <w:rsid w:val="00800F6C"/>
    <w:rsid w:val="0080397C"/>
    <w:rsid w:val="0086574D"/>
    <w:rsid w:val="008D5B08"/>
    <w:rsid w:val="00972487"/>
    <w:rsid w:val="00A924DF"/>
    <w:rsid w:val="00B52673"/>
    <w:rsid w:val="00B91BF2"/>
    <w:rsid w:val="00B95C6D"/>
    <w:rsid w:val="00B971F9"/>
    <w:rsid w:val="00CD7BC8"/>
    <w:rsid w:val="00D0080A"/>
    <w:rsid w:val="00D00D10"/>
    <w:rsid w:val="00DD1318"/>
    <w:rsid w:val="00E34FB9"/>
    <w:rsid w:val="00EE3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A78F"/>
  <w15:docId w15:val="{88B72951-4770-43EC-AAB8-81EA65EB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0"/>
      <w:szCs w:val="20"/>
    </w:rPr>
  </w:style>
  <w:style w:type="paragraph" w:styleId="Title">
    <w:name w:val="Title"/>
    <w:basedOn w:val="Normal"/>
    <w:uiPriority w:val="10"/>
    <w:qFormat/>
    <w:pPr>
      <w:ind w:left="102"/>
    </w:pPr>
    <w:rPr>
      <w:rFonts w:ascii="Arial" w:eastAsia="Arial" w:hAnsi="Arial" w:cs="Arial"/>
      <w:b/>
      <w:bCs/>
      <w:sz w:val="20"/>
      <w:szCs w:val="20"/>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sid w:val="006C3394"/>
    <w:pPr>
      <w:widowControl/>
      <w:autoSpaceDE/>
      <w:autoSpaceDN/>
    </w:pPr>
    <w:rPr>
      <w:rFonts w:eastAsia="MS Mincho" w:cs="Times New Roman"/>
      <w:sz w:val="20"/>
      <w:szCs w:val="20"/>
    </w:rPr>
  </w:style>
  <w:style w:type="character" w:customStyle="1" w:styleId="CommentTextChar">
    <w:name w:val="Comment Text Char"/>
    <w:basedOn w:val="DefaultParagraphFont"/>
    <w:link w:val="CommentText"/>
    <w:uiPriority w:val="99"/>
    <w:rsid w:val="006C3394"/>
    <w:rPr>
      <w:rFonts w:ascii="Tahoma" w:eastAsia="MS Mincho" w:hAnsi="Tahoma" w:cs="Times New Roman"/>
      <w:sz w:val="20"/>
      <w:szCs w:val="20"/>
      <w:lang w:val="lt-LT"/>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6C3394"/>
    <w:rPr>
      <w:rFonts w:ascii="Tahoma" w:eastAsia="Tahoma" w:hAnsi="Tahoma" w:cs="Tahoma"/>
      <w:lang w:val="lt-LT"/>
    </w:rPr>
  </w:style>
  <w:style w:type="table" w:styleId="TableGrid">
    <w:name w:val="Table Grid"/>
    <w:basedOn w:val="TableNormal"/>
    <w:uiPriority w:val="59"/>
    <w:rsid w:val="006C3394"/>
    <w:pPr>
      <w:widowControl/>
      <w:autoSpaceDE/>
      <w:autoSpaceDN/>
    </w:pPr>
    <w:rPr>
      <w:rFonts w:ascii="Tahoma" w:eastAsia="MS Mincho"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397C"/>
    <w:pPr>
      <w:widowControl/>
      <w:tabs>
        <w:tab w:val="center" w:pos="4320"/>
        <w:tab w:val="right" w:pos="8640"/>
      </w:tabs>
      <w:autoSpaceDE/>
      <w:autoSpaceDN/>
    </w:pPr>
    <w:rPr>
      <w:rFonts w:eastAsia="MS Mincho" w:cs="Times New Roman"/>
      <w:sz w:val="20"/>
      <w:szCs w:val="24"/>
    </w:rPr>
  </w:style>
  <w:style w:type="character" w:customStyle="1" w:styleId="FooterChar">
    <w:name w:val="Footer Char"/>
    <w:basedOn w:val="DefaultParagraphFont"/>
    <w:link w:val="Footer"/>
    <w:uiPriority w:val="99"/>
    <w:rsid w:val="0080397C"/>
    <w:rPr>
      <w:rFonts w:ascii="Tahoma" w:eastAsia="MS Mincho" w:hAnsi="Tahoma" w:cs="Times New Roman"/>
      <w:sz w:val="20"/>
      <w:szCs w:val="24"/>
      <w:lang w:val="lt-LT"/>
    </w:rPr>
  </w:style>
  <w:style w:type="character" w:styleId="CommentReference">
    <w:name w:val="annotation reference"/>
    <w:basedOn w:val="DefaultParagraphFont"/>
    <w:uiPriority w:val="99"/>
    <w:semiHidden/>
    <w:unhideWhenUsed/>
    <w:rsid w:val="00B52673"/>
    <w:rPr>
      <w:sz w:val="16"/>
      <w:szCs w:val="16"/>
    </w:rPr>
  </w:style>
  <w:style w:type="paragraph" w:styleId="CommentSubject">
    <w:name w:val="annotation subject"/>
    <w:basedOn w:val="CommentText"/>
    <w:next w:val="CommentText"/>
    <w:link w:val="CommentSubjectChar"/>
    <w:uiPriority w:val="99"/>
    <w:semiHidden/>
    <w:unhideWhenUsed/>
    <w:rsid w:val="00B52673"/>
    <w:pPr>
      <w:widowControl w:val="0"/>
      <w:autoSpaceDE w:val="0"/>
      <w:autoSpaceDN w:val="0"/>
    </w:pPr>
    <w:rPr>
      <w:rFonts w:eastAsia="Tahoma" w:cs="Tahoma"/>
      <w:b/>
      <w:bCs/>
    </w:rPr>
  </w:style>
  <w:style w:type="character" w:customStyle="1" w:styleId="CommentSubjectChar">
    <w:name w:val="Comment Subject Char"/>
    <w:basedOn w:val="CommentTextChar"/>
    <w:link w:val="CommentSubject"/>
    <w:uiPriority w:val="99"/>
    <w:semiHidden/>
    <w:rsid w:val="00B52673"/>
    <w:rPr>
      <w:rFonts w:ascii="Tahoma" w:eastAsia="Tahoma" w:hAnsi="Tahoma" w:cs="Tahoma"/>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62466">
      <w:bodyDiv w:val="1"/>
      <w:marLeft w:val="0"/>
      <w:marRight w:val="0"/>
      <w:marTop w:val="0"/>
      <w:marBottom w:val="0"/>
      <w:divBdr>
        <w:top w:val="none" w:sz="0" w:space="0" w:color="auto"/>
        <w:left w:val="none" w:sz="0" w:space="0" w:color="auto"/>
        <w:bottom w:val="none" w:sz="0" w:space="0" w:color="auto"/>
        <w:right w:val="none" w:sz="0" w:space="0" w:color="auto"/>
      </w:divBdr>
    </w:div>
    <w:div w:id="182966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ugile.Endzinaite@litgrid.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litgrid.eu" TargetMode="External"/><Relationship Id="rId2" Type="http://schemas.openxmlformats.org/officeDocument/2006/relationships/hyperlink" Target="http://www.litgrid.eu/" TargetMode="External"/><Relationship Id="rId1" Type="http://schemas.openxmlformats.org/officeDocument/2006/relationships/hyperlink" Target="mailto:info@litgrid.eu" TargetMode="External"/><Relationship Id="rId4" Type="http://schemas.openxmlformats.org/officeDocument/2006/relationships/hyperlink" Target="http://www.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194267390514DA42C559875C91CD2" ma:contentTypeVersion="4" ma:contentTypeDescription="Create a new document." ma:contentTypeScope="" ma:versionID="2ac1f29686b98208fce0d948cd27b6ad">
  <xsd:schema xmlns:xsd="http://www.w3.org/2001/XMLSchema" xmlns:xs="http://www.w3.org/2001/XMLSchema" xmlns:p="http://schemas.microsoft.com/office/2006/metadata/properties" xmlns:ns2="95e0a06d-01cd-4cae-b028-c4fd4c9224f9" targetNamespace="http://schemas.microsoft.com/office/2006/metadata/properties" ma:root="true" ma:fieldsID="25cb14e1dab8927a43243bd89cc82b03"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FD193-C701-49F3-A4A4-B14BBD73E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5B4888-137F-415F-9F80-F275B7422DC5}">
  <ds:schemaRefs>
    <ds:schemaRef ds:uri="http://schemas.microsoft.com/sharepoint/v3/contenttype/forms"/>
  </ds:schemaRefs>
</ds:datastoreItem>
</file>

<file path=customXml/itemProps3.xml><?xml version="1.0" encoding="utf-8"?>
<ds:datastoreItem xmlns:ds="http://schemas.openxmlformats.org/officeDocument/2006/customXml" ds:itemID="{19474AE8-E9C1-4EDA-B69F-0AFDDB796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a06d-01cd-4cae-b028-c4fd4c92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T</dc:creator>
  <cp:lastModifiedBy>Monika Puidokė</cp:lastModifiedBy>
  <cp:revision>3</cp:revision>
  <dcterms:created xsi:type="dcterms:W3CDTF">2024-12-20T07:40:00Z</dcterms:created>
  <dcterms:modified xsi:type="dcterms:W3CDTF">2024-12-30T09:11:00Z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Creator">
    <vt:lpwstr>Microsoft® Word for Microsoft 365</vt:lpwstr>
  </property>
  <property fmtid="{D5CDD505-2E9C-101B-9397-08002B2CF9AE}" pid="4" name="LastSaved">
    <vt:filetime>2024-04-24T00:00:00Z</vt:filetime>
  </property>
  <property fmtid="{D5CDD505-2E9C-101B-9397-08002B2CF9AE}" pid="5" name="MSIP_Label_32ae7b5d-0aac-474b-ae2b-02c331ef2874_ActionId">
    <vt:lpwstr>4c6bedd2-492e-4106-ae03-52effddcd656</vt:lpwstr>
  </property>
  <property fmtid="{D5CDD505-2E9C-101B-9397-08002B2CF9AE}" pid="6" name="MSIP_Label_32ae7b5d-0aac-474b-ae2b-02c331ef2874_ContentBits">
    <vt:lpwstr>0</vt:lpwstr>
  </property>
  <property fmtid="{D5CDD505-2E9C-101B-9397-08002B2CF9AE}" pid="7" name="MSIP_Label_32ae7b5d-0aac-474b-ae2b-02c331ef2874_Enabled">
    <vt:lpwstr>true</vt:lpwstr>
  </property>
  <property fmtid="{D5CDD505-2E9C-101B-9397-08002B2CF9AE}" pid="8" name="MSIP_Label_32ae7b5d-0aac-474b-ae2b-02c331ef2874_Method">
    <vt:lpwstr>Privileged</vt:lpwstr>
  </property>
  <property fmtid="{D5CDD505-2E9C-101B-9397-08002B2CF9AE}" pid="9" name="MSIP_Label_32ae7b5d-0aac-474b-ae2b-02c331ef2874_Name">
    <vt:lpwstr>VIDINÄ–</vt:lpwstr>
  </property>
  <property fmtid="{D5CDD505-2E9C-101B-9397-08002B2CF9AE}" pid="10" name="MSIP_Label_32ae7b5d-0aac-474b-ae2b-02c331ef2874_SetDate">
    <vt:lpwstr>2022-03-23T08:26:43Z</vt:lpwstr>
  </property>
  <property fmtid="{D5CDD505-2E9C-101B-9397-08002B2CF9AE}" pid="11" name="MSIP_Label_32ae7b5d-0aac-474b-ae2b-02c331ef2874_SiteId">
    <vt:lpwstr>86bcf768-7bcf-4cd6-b041-b219988b7a9c</vt:lpwstr>
  </property>
  <property fmtid="{D5CDD505-2E9C-101B-9397-08002B2CF9AE}" pid="12" name="Producer">
    <vt:lpwstr>Microsoft® Word for Microsoft 365</vt:lpwstr>
  </property>
  <property fmtid="{D5CDD505-2E9C-101B-9397-08002B2CF9AE}" pid="13" name="ContentTypeId">
    <vt:lpwstr>0x010100D82194267390514DA42C559875C91CD2</vt:lpwstr>
  </property>
</Properties>
</file>