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71719" w14:textId="50762022" w:rsidR="00574512" w:rsidRPr="0048451D" w:rsidRDefault="00574512" w:rsidP="0048451D">
      <w:pPr>
        <w:jc w:val="right"/>
        <w:rPr>
          <w:sz w:val="20"/>
          <w:szCs w:val="20"/>
          <w:lang w:val="en-US"/>
        </w:rPr>
      </w:pPr>
      <w:bookmarkStart w:id="0" w:name="_Hlk168496504"/>
      <w:bookmarkStart w:id="1" w:name="_Hlk176385106"/>
      <w:r w:rsidRPr="0048451D">
        <w:rPr>
          <w:sz w:val="20"/>
          <w:szCs w:val="20"/>
        </w:rPr>
        <w:t>Pirkimo sąlygų 1 priedas „Techninė specifikacija”</w:t>
      </w:r>
    </w:p>
    <w:p w14:paraId="7EDF73C1" w14:textId="77777777" w:rsidR="00574512" w:rsidRDefault="00574512" w:rsidP="009B386D">
      <w:pPr>
        <w:jc w:val="center"/>
        <w:rPr>
          <w:b/>
          <w:bCs/>
        </w:rPr>
      </w:pPr>
    </w:p>
    <w:p w14:paraId="40894278" w14:textId="40B1C500" w:rsidR="009B386D" w:rsidRPr="0007306F" w:rsidRDefault="009B386D" w:rsidP="009B386D">
      <w:pPr>
        <w:jc w:val="center"/>
        <w:rPr>
          <w:b/>
          <w:bCs/>
        </w:rPr>
      </w:pPr>
      <w:r w:rsidRPr="0007306F">
        <w:rPr>
          <w:b/>
          <w:bCs/>
        </w:rPr>
        <w:t xml:space="preserve">ORACLE DUOMENŲ BAZIŲ </w:t>
      </w:r>
    </w:p>
    <w:p w14:paraId="6CC7DBA5" w14:textId="77777777" w:rsidR="009B386D" w:rsidRPr="0007306F" w:rsidRDefault="009B386D" w:rsidP="009B386D">
      <w:pPr>
        <w:jc w:val="center"/>
        <w:rPr>
          <w:b/>
          <w:bCs/>
        </w:rPr>
      </w:pPr>
      <w:r w:rsidRPr="0007306F">
        <w:rPr>
          <w:b/>
          <w:bCs/>
        </w:rPr>
        <w:t xml:space="preserve">MIGRAVIMO ANALIZĖS, TESTAVIMO IR KONSULTAVIMO </w:t>
      </w:r>
      <w:bookmarkEnd w:id="0"/>
      <w:r w:rsidRPr="0007306F">
        <w:rPr>
          <w:b/>
          <w:bCs/>
        </w:rPr>
        <w:t>PASLAUGŲ</w:t>
      </w:r>
    </w:p>
    <w:p w14:paraId="4A4231EA" w14:textId="77777777" w:rsidR="009B386D" w:rsidRPr="0007306F" w:rsidRDefault="009B386D" w:rsidP="009B386D">
      <w:pPr>
        <w:jc w:val="center"/>
        <w:rPr>
          <w:b/>
          <w:bCs/>
        </w:rPr>
      </w:pPr>
      <w:r w:rsidRPr="0007306F">
        <w:rPr>
          <w:b/>
          <w:bCs/>
        </w:rPr>
        <w:t>TECHNINĖ SPECIFIKACIJA</w:t>
      </w:r>
    </w:p>
    <w:bookmarkEnd w:id="1"/>
    <w:p w14:paraId="74E6D8A7" w14:textId="77777777" w:rsidR="009B386D" w:rsidRPr="0007306F" w:rsidRDefault="009B386D" w:rsidP="009B386D">
      <w:pPr>
        <w:tabs>
          <w:tab w:val="left" w:pos="3600"/>
        </w:tabs>
        <w:spacing w:line="22" w:lineRule="atLeast"/>
        <w:jc w:val="center"/>
        <w:rPr>
          <w:b/>
        </w:rPr>
      </w:pPr>
    </w:p>
    <w:p w14:paraId="57127A60" w14:textId="77777777" w:rsidR="009B386D" w:rsidRPr="0007306F" w:rsidRDefault="009B386D" w:rsidP="009B386D">
      <w:pPr>
        <w:tabs>
          <w:tab w:val="left" w:pos="3600"/>
        </w:tabs>
        <w:spacing w:line="22" w:lineRule="atLeast"/>
        <w:jc w:val="center"/>
        <w:rPr>
          <w:b/>
        </w:rPr>
      </w:pPr>
      <w:r w:rsidRPr="0007306F">
        <w:rPr>
          <w:b/>
        </w:rPr>
        <w:t>I SKYRIUS</w:t>
      </w:r>
    </w:p>
    <w:p w14:paraId="7AED8A84" w14:textId="77777777" w:rsidR="009B386D" w:rsidRPr="0007306F" w:rsidRDefault="009B386D" w:rsidP="009B386D">
      <w:pPr>
        <w:tabs>
          <w:tab w:val="left" w:pos="3600"/>
        </w:tabs>
        <w:spacing w:line="22" w:lineRule="atLeast"/>
        <w:jc w:val="center"/>
        <w:rPr>
          <w:b/>
        </w:rPr>
      </w:pPr>
      <w:r w:rsidRPr="0007306F">
        <w:rPr>
          <w:b/>
        </w:rPr>
        <w:t>PIRKIMO OBJEKTAS</w:t>
      </w:r>
    </w:p>
    <w:p w14:paraId="05E7DB66" w14:textId="77777777" w:rsidR="009B386D" w:rsidRPr="0007306F" w:rsidRDefault="009B386D" w:rsidP="009B386D">
      <w:pPr>
        <w:tabs>
          <w:tab w:val="left" w:pos="3600"/>
        </w:tabs>
        <w:spacing w:line="22" w:lineRule="atLeast"/>
        <w:jc w:val="center"/>
        <w:rPr>
          <w:b/>
        </w:rPr>
      </w:pPr>
    </w:p>
    <w:p w14:paraId="5079318F" w14:textId="405E82FA" w:rsidR="009B386D" w:rsidRPr="0007306F" w:rsidRDefault="009B386D" w:rsidP="008D0829">
      <w:pPr>
        <w:pStyle w:val="ListParagraph"/>
        <w:numPr>
          <w:ilvl w:val="0"/>
          <w:numId w:val="2"/>
        </w:numPr>
        <w:jc w:val="both"/>
      </w:pPr>
      <w:r w:rsidRPr="0007306F">
        <w:t xml:space="preserve">Valstybės įmonė Registrų centras (toliau – Perkančioji organizacija) siekia įsigyti </w:t>
      </w:r>
      <w:proofErr w:type="spellStart"/>
      <w:r w:rsidRPr="0007306F">
        <w:t>Oracle</w:t>
      </w:r>
      <w:proofErr w:type="spellEnd"/>
      <w:r w:rsidRPr="0007306F">
        <w:t xml:space="preserve"> duomenų bazių (toliau – DB) migravimo analizės, testavimo ir konsultavimo paslaugas (toliau – Paslaugos), pagal šioje techninėje specifikacijoje nurodytus reikalavimus.</w:t>
      </w:r>
    </w:p>
    <w:p w14:paraId="47B37611" w14:textId="77777777" w:rsidR="009B386D" w:rsidRPr="0007306F" w:rsidRDefault="009B386D" w:rsidP="009B386D">
      <w:pPr>
        <w:tabs>
          <w:tab w:val="left" w:pos="3600"/>
        </w:tabs>
        <w:spacing w:line="22" w:lineRule="atLeast"/>
        <w:jc w:val="both"/>
      </w:pPr>
    </w:p>
    <w:p w14:paraId="4AC54E34" w14:textId="77777777" w:rsidR="009B386D" w:rsidRPr="0007306F" w:rsidRDefault="009B386D" w:rsidP="009B386D">
      <w:pPr>
        <w:pStyle w:val="ListParagraph"/>
        <w:tabs>
          <w:tab w:val="left" w:pos="3600"/>
        </w:tabs>
        <w:spacing w:line="22" w:lineRule="atLeast"/>
        <w:ind w:left="0"/>
        <w:jc w:val="center"/>
        <w:rPr>
          <w:b/>
          <w:bCs/>
        </w:rPr>
      </w:pPr>
      <w:r w:rsidRPr="0007306F">
        <w:rPr>
          <w:b/>
          <w:bCs/>
        </w:rPr>
        <w:t>II SKYRIUS</w:t>
      </w:r>
    </w:p>
    <w:p w14:paraId="0E560D8A" w14:textId="77777777" w:rsidR="009B386D" w:rsidRPr="0007306F" w:rsidRDefault="009B386D" w:rsidP="009B386D">
      <w:pPr>
        <w:pStyle w:val="ListParagraph"/>
        <w:tabs>
          <w:tab w:val="left" w:pos="3600"/>
        </w:tabs>
        <w:spacing w:line="22" w:lineRule="atLeast"/>
        <w:ind w:left="0"/>
        <w:jc w:val="center"/>
        <w:rPr>
          <w:b/>
          <w:bCs/>
        </w:rPr>
      </w:pPr>
      <w:r w:rsidRPr="0007306F">
        <w:rPr>
          <w:b/>
          <w:bCs/>
        </w:rPr>
        <w:t>ESAMOS SITUACIJOS APRAŠYMAS</w:t>
      </w:r>
    </w:p>
    <w:p w14:paraId="16522926" w14:textId="77777777" w:rsidR="009B386D" w:rsidRPr="0007306F" w:rsidRDefault="009B386D" w:rsidP="009B386D">
      <w:pPr>
        <w:pStyle w:val="ListParagraph"/>
        <w:tabs>
          <w:tab w:val="left" w:pos="3600"/>
        </w:tabs>
        <w:spacing w:line="22" w:lineRule="atLeast"/>
        <w:ind w:left="0"/>
        <w:jc w:val="center"/>
        <w:rPr>
          <w:b/>
        </w:rPr>
      </w:pPr>
    </w:p>
    <w:p w14:paraId="427AA462" w14:textId="5DAE04A5" w:rsidR="008D0829" w:rsidRPr="0007306F" w:rsidRDefault="008D0829" w:rsidP="00AD1EF3">
      <w:pPr>
        <w:pStyle w:val="ListParagraph"/>
        <w:numPr>
          <w:ilvl w:val="0"/>
          <w:numId w:val="9"/>
        </w:numPr>
        <w:tabs>
          <w:tab w:val="left" w:pos="0"/>
          <w:tab w:val="left" w:pos="851"/>
        </w:tabs>
        <w:suppressAutoHyphens/>
        <w:autoSpaceDN w:val="0"/>
        <w:spacing w:line="276" w:lineRule="auto"/>
        <w:ind w:left="0" w:firstLine="567"/>
        <w:contextualSpacing w:val="0"/>
        <w:jc w:val="both"/>
        <w:textAlignment w:val="baseline"/>
      </w:pPr>
      <w:bookmarkStart w:id="2" w:name="_Hlk180106510"/>
      <w:r w:rsidRPr="0007306F">
        <w:t xml:space="preserve">Perkančioji organizacija vykdo savo tvarkomų </w:t>
      </w:r>
      <w:proofErr w:type="spellStart"/>
      <w:r w:rsidRPr="0007306F">
        <w:t>Oracle</w:t>
      </w:r>
      <w:proofErr w:type="spellEnd"/>
      <w:r w:rsidRPr="0007306F">
        <w:t xml:space="preserve"> </w:t>
      </w:r>
      <w:proofErr w:type="spellStart"/>
      <w:r w:rsidRPr="0007306F">
        <w:t>Database</w:t>
      </w:r>
      <w:proofErr w:type="spellEnd"/>
      <w:r w:rsidRPr="0007306F">
        <w:t xml:space="preserve"> </w:t>
      </w:r>
      <w:proofErr w:type="spellStart"/>
      <w:r w:rsidRPr="0007306F">
        <w:t>Enterprise</w:t>
      </w:r>
      <w:proofErr w:type="spellEnd"/>
      <w:r w:rsidRPr="0007306F">
        <w:t xml:space="preserve"> tipo duomenų bazių migravimą iš ASCII pagrindu sudarytų 1–o baito koduočių (pvz. NEE8ISO8859P4, BLT8MSWIN1257) į universalią UTF-8 koduotę (AL32UTF8) (toliau – migravimas)</w:t>
      </w:r>
      <w:bookmarkEnd w:id="2"/>
      <w:r w:rsidRPr="0007306F">
        <w:t>.</w:t>
      </w:r>
    </w:p>
    <w:p w14:paraId="233810B5" w14:textId="104BF94D" w:rsidR="008D0829" w:rsidRPr="0007306F" w:rsidRDefault="006A56BD" w:rsidP="00AD1EF3">
      <w:pPr>
        <w:pStyle w:val="ListParagraph"/>
        <w:numPr>
          <w:ilvl w:val="0"/>
          <w:numId w:val="9"/>
        </w:numPr>
        <w:tabs>
          <w:tab w:val="left" w:pos="0"/>
          <w:tab w:val="left" w:pos="851"/>
        </w:tabs>
        <w:suppressAutoHyphens/>
        <w:autoSpaceDN w:val="0"/>
        <w:spacing w:line="276" w:lineRule="auto"/>
        <w:ind w:left="0" w:firstLine="567"/>
        <w:contextualSpacing w:val="0"/>
        <w:jc w:val="both"/>
        <w:textAlignment w:val="baseline"/>
      </w:pPr>
      <w:r w:rsidRPr="006A56BD">
        <w:t xml:space="preserve">Siekiant užtikrinti kuo mažesnį informacinių sistemų prastovos laiką migravimo metu, bus naudojama </w:t>
      </w:r>
      <w:proofErr w:type="spellStart"/>
      <w:r w:rsidRPr="006A56BD">
        <w:t>Oracle</w:t>
      </w:r>
      <w:proofErr w:type="spellEnd"/>
      <w:r w:rsidRPr="006A56BD">
        <w:t xml:space="preserve"> </w:t>
      </w:r>
      <w:proofErr w:type="spellStart"/>
      <w:r w:rsidRPr="006A56BD">
        <w:t>GoldenGate</w:t>
      </w:r>
      <w:proofErr w:type="spellEnd"/>
      <w:r w:rsidRPr="006A56BD">
        <w:t xml:space="preserve"> (OGG) programinė įranga transakcijų kaupimui, </w:t>
      </w:r>
      <w:r w:rsidRPr="006A56BD">
        <w:rPr>
          <w:b/>
          <w:bCs/>
        </w:rPr>
        <w:t>duomenų transformavimui, sinchronizavimui tarp atskirų DB</w:t>
      </w:r>
      <w:r w:rsidRPr="006A56BD">
        <w:t xml:space="preserve"> ir replikavimui iš esamos koduotės DB į UTF8 koduotės DB. Tam Perkančioji organizacija yra įsigijusi reikiamą kiekį </w:t>
      </w:r>
      <w:proofErr w:type="spellStart"/>
      <w:r w:rsidRPr="006A56BD">
        <w:t>Oracle</w:t>
      </w:r>
      <w:proofErr w:type="spellEnd"/>
      <w:r w:rsidRPr="006A56BD">
        <w:t xml:space="preserve"> </w:t>
      </w:r>
      <w:proofErr w:type="spellStart"/>
      <w:r w:rsidRPr="006A56BD">
        <w:t>GoldenGate</w:t>
      </w:r>
      <w:proofErr w:type="spellEnd"/>
      <w:r w:rsidRPr="006A56BD">
        <w:t xml:space="preserve"> licencijų.</w:t>
      </w:r>
    </w:p>
    <w:p w14:paraId="70E871C7" w14:textId="77777777" w:rsidR="008D0829" w:rsidRPr="0007306F" w:rsidRDefault="008D0829" w:rsidP="00AD1EF3">
      <w:pPr>
        <w:pStyle w:val="ListParagraph"/>
        <w:numPr>
          <w:ilvl w:val="0"/>
          <w:numId w:val="9"/>
        </w:numPr>
        <w:tabs>
          <w:tab w:val="left" w:pos="0"/>
          <w:tab w:val="left" w:pos="851"/>
        </w:tabs>
        <w:suppressAutoHyphens/>
        <w:autoSpaceDN w:val="0"/>
        <w:spacing w:line="276" w:lineRule="auto"/>
        <w:ind w:left="0" w:firstLine="567"/>
        <w:contextualSpacing w:val="0"/>
        <w:jc w:val="both"/>
        <w:textAlignment w:val="baseline"/>
      </w:pPr>
      <w:r w:rsidRPr="0007306F">
        <w:t>Perkančioji organizacija lygiagrečiai vykdo projektą, kurio metu DB ruošiamos migravimui –  sprendžiamos šiuo metu jau žinomos tekstinių DB laukų struktūrų problemos.</w:t>
      </w:r>
    </w:p>
    <w:p w14:paraId="2061C68C" w14:textId="4A1C09D3" w:rsidR="008D0829" w:rsidRPr="0007306F" w:rsidRDefault="008D0829" w:rsidP="00AD1EF3">
      <w:pPr>
        <w:pStyle w:val="ListParagraph"/>
        <w:numPr>
          <w:ilvl w:val="0"/>
          <w:numId w:val="9"/>
        </w:numPr>
        <w:tabs>
          <w:tab w:val="left" w:pos="0"/>
          <w:tab w:val="left" w:pos="851"/>
        </w:tabs>
        <w:suppressAutoHyphens/>
        <w:autoSpaceDN w:val="0"/>
        <w:spacing w:line="276" w:lineRule="auto"/>
        <w:ind w:left="0" w:firstLine="567"/>
        <w:contextualSpacing w:val="0"/>
        <w:jc w:val="both"/>
        <w:textAlignment w:val="baseline"/>
      </w:pPr>
      <w:r w:rsidRPr="0007306F">
        <w:t>Po migravimo būtų viršijamas šiuo metu numatytas tekstinio lauko dydis baitais – keičiami tekstinių laukų ilgiai.</w:t>
      </w:r>
    </w:p>
    <w:p w14:paraId="2671A58A" w14:textId="7B6A0F2C" w:rsidR="008D0829" w:rsidRPr="0007306F" w:rsidRDefault="008D0829" w:rsidP="00AD1EF3">
      <w:pPr>
        <w:pStyle w:val="ListParagraph"/>
        <w:numPr>
          <w:ilvl w:val="0"/>
          <w:numId w:val="9"/>
        </w:numPr>
        <w:tabs>
          <w:tab w:val="left" w:pos="0"/>
          <w:tab w:val="left" w:pos="851"/>
        </w:tabs>
        <w:suppressAutoHyphens/>
        <w:autoSpaceDN w:val="0"/>
        <w:spacing w:line="276" w:lineRule="auto"/>
        <w:ind w:left="0" w:firstLine="567"/>
        <w:contextualSpacing w:val="0"/>
        <w:jc w:val="both"/>
        <w:textAlignment w:val="baseline"/>
      </w:pPr>
      <w:r w:rsidRPr="0007306F">
        <w:t>Po migravimo būtų viršijamas maksimalus leistinas šiuo metu naudojamų duomenų tipų ilgis – keičiami duomenų tipai (CHAR į VARCHAR2, VARCHAR2 į CLOB).</w:t>
      </w:r>
    </w:p>
    <w:p w14:paraId="68A96ACC" w14:textId="4673070D" w:rsidR="008D0829" w:rsidRPr="0007306F" w:rsidRDefault="008D0829" w:rsidP="00AD1EF3">
      <w:pPr>
        <w:pStyle w:val="ListParagraph"/>
        <w:numPr>
          <w:ilvl w:val="0"/>
          <w:numId w:val="9"/>
        </w:numPr>
        <w:tabs>
          <w:tab w:val="left" w:pos="0"/>
          <w:tab w:val="left" w:pos="851"/>
        </w:tabs>
        <w:suppressAutoHyphens/>
        <w:autoSpaceDN w:val="0"/>
        <w:spacing w:line="276" w:lineRule="auto"/>
        <w:ind w:left="0" w:firstLine="567"/>
        <w:contextualSpacing w:val="0"/>
        <w:jc w:val="both"/>
        <w:textAlignment w:val="baseline"/>
      </w:pPr>
      <w:r w:rsidRPr="0007306F">
        <w:t>Žemiau lentelėse pateikta informaciją apie migravimui pasirinktas DB.</w:t>
      </w:r>
    </w:p>
    <w:p w14:paraId="38E5C180" w14:textId="77777777" w:rsidR="008D0829" w:rsidRPr="0007306F" w:rsidRDefault="008D0829" w:rsidP="008D0829">
      <w:pPr>
        <w:tabs>
          <w:tab w:val="left" w:pos="426"/>
        </w:tabs>
      </w:pPr>
    </w:p>
    <w:p w14:paraId="613D2BDB" w14:textId="77777777" w:rsidR="008D0829" w:rsidRPr="0007306F" w:rsidRDefault="008D0829" w:rsidP="008D0829">
      <w:pPr>
        <w:keepNext/>
        <w:spacing w:after="200"/>
        <w:jc w:val="right"/>
        <w:rPr>
          <w:bCs/>
          <w:iCs/>
        </w:rPr>
      </w:pPr>
      <w:r w:rsidRPr="0007306F">
        <w:rPr>
          <w:bCs/>
          <w:noProof/>
          <w:lang w:val="en-US"/>
        </w:rPr>
        <w:t>1</w:t>
      </w:r>
      <w:r w:rsidRPr="0007306F">
        <w:rPr>
          <w:bCs/>
          <w:iCs/>
        </w:rPr>
        <w:t xml:space="preserve"> lentelė Turimų duomenų bazių infrastruktūra: </w:t>
      </w:r>
    </w:p>
    <w:tbl>
      <w:tblPr>
        <w:tblStyle w:val="TableGrid"/>
        <w:tblW w:w="0" w:type="auto"/>
        <w:tblInd w:w="137" w:type="dxa"/>
        <w:tblLook w:val="04A0" w:firstRow="1" w:lastRow="0" w:firstColumn="1" w:lastColumn="0" w:noHBand="0" w:noVBand="1"/>
      </w:tblPr>
      <w:tblGrid>
        <w:gridCol w:w="567"/>
        <w:gridCol w:w="4678"/>
        <w:gridCol w:w="4246"/>
      </w:tblGrid>
      <w:tr w:rsidR="008D0829" w:rsidRPr="0007306F" w14:paraId="5C4F13D4" w14:textId="77777777" w:rsidTr="00556C7C">
        <w:tc>
          <w:tcPr>
            <w:tcW w:w="567" w:type="dxa"/>
          </w:tcPr>
          <w:p w14:paraId="02C86108" w14:textId="77777777" w:rsidR="008D0829" w:rsidRPr="0007306F" w:rsidRDefault="008D0829" w:rsidP="00556C7C">
            <w:pPr>
              <w:tabs>
                <w:tab w:val="left" w:pos="851"/>
              </w:tabs>
              <w:jc w:val="both"/>
              <w:rPr>
                <w:b/>
              </w:rPr>
            </w:pPr>
            <w:r w:rsidRPr="0007306F">
              <w:rPr>
                <w:b/>
              </w:rPr>
              <w:t>Eil. Nr.</w:t>
            </w:r>
          </w:p>
        </w:tc>
        <w:tc>
          <w:tcPr>
            <w:tcW w:w="4678" w:type="dxa"/>
            <w:vAlign w:val="center"/>
          </w:tcPr>
          <w:p w14:paraId="5C3F15AB" w14:textId="77777777" w:rsidR="008D0829" w:rsidRPr="0007306F" w:rsidRDefault="008D0829" w:rsidP="00556C7C">
            <w:pPr>
              <w:tabs>
                <w:tab w:val="left" w:pos="851"/>
              </w:tabs>
              <w:rPr>
                <w:b/>
              </w:rPr>
            </w:pPr>
            <w:r w:rsidRPr="0007306F">
              <w:rPr>
                <w:b/>
              </w:rPr>
              <w:t>Sudėtinė dalis</w:t>
            </w:r>
          </w:p>
        </w:tc>
        <w:tc>
          <w:tcPr>
            <w:tcW w:w="4246" w:type="dxa"/>
            <w:vAlign w:val="center"/>
          </w:tcPr>
          <w:p w14:paraId="7B2F2FF0" w14:textId="77777777" w:rsidR="008D0829" w:rsidRPr="0007306F" w:rsidRDefault="008D0829" w:rsidP="00556C7C">
            <w:pPr>
              <w:tabs>
                <w:tab w:val="left" w:pos="851"/>
              </w:tabs>
              <w:rPr>
                <w:b/>
              </w:rPr>
            </w:pPr>
            <w:r w:rsidRPr="0007306F">
              <w:rPr>
                <w:b/>
              </w:rPr>
              <w:t>Reikšmė</w:t>
            </w:r>
          </w:p>
        </w:tc>
      </w:tr>
      <w:tr w:rsidR="008D0829" w:rsidRPr="0007306F" w14:paraId="6F005708" w14:textId="77777777" w:rsidTr="00556C7C">
        <w:tc>
          <w:tcPr>
            <w:tcW w:w="567" w:type="dxa"/>
          </w:tcPr>
          <w:p w14:paraId="60B89FC7" w14:textId="77777777" w:rsidR="008D0829" w:rsidRPr="0007306F" w:rsidRDefault="008D0829" w:rsidP="00556C7C">
            <w:pPr>
              <w:tabs>
                <w:tab w:val="left" w:pos="227"/>
              </w:tabs>
              <w:spacing w:line="276" w:lineRule="auto"/>
            </w:pPr>
            <w:r w:rsidRPr="0007306F">
              <w:t>1.</w:t>
            </w:r>
          </w:p>
        </w:tc>
        <w:tc>
          <w:tcPr>
            <w:tcW w:w="4678" w:type="dxa"/>
          </w:tcPr>
          <w:p w14:paraId="25D6877C" w14:textId="77777777" w:rsidR="008D0829" w:rsidRPr="0007306F" w:rsidRDefault="008D0829" w:rsidP="00556C7C">
            <w:pPr>
              <w:tabs>
                <w:tab w:val="left" w:pos="227"/>
              </w:tabs>
              <w:spacing w:line="276" w:lineRule="auto"/>
            </w:pPr>
            <w:r w:rsidRPr="0007306F">
              <w:t>Platforma</w:t>
            </w:r>
          </w:p>
        </w:tc>
        <w:tc>
          <w:tcPr>
            <w:tcW w:w="4246" w:type="dxa"/>
          </w:tcPr>
          <w:p w14:paraId="321872FE" w14:textId="77777777" w:rsidR="008D0829" w:rsidRPr="0007306F" w:rsidRDefault="008D0829" w:rsidP="00556C7C">
            <w:pPr>
              <w:tabs>
                <w:tab w:val="left" w:pos="227"/>
              </w:tabs>
              <w:spacing w:line="276" w:lineRule="auto"/>
              <w:jc w:val="both"/>
            </w:pPr>
            <w:r w:rsidRPr="0007306F">
              <w:t>X86.</w:t>
            </w:r>
          </w:p>
        </w:tc>
      </w:tr>
      <w:tr w:rsidR="008D0829" w:rsidRPr="0007306F" w14:paraId="1C5ABE87" w14:textId="77777777" w:rsidTr="00556C7C">
        <w:tc>
          <w:tcPr>
            <w:tcW w:w="567" w:type="dxa"/>
          </w:tcPr>
          <w:p w14:paraId="7B17C929" w14:textId="77777777" w:rsidR="008D0829" w:rsidRPr="0007306F" w:rsidRDefault="008D0829" w:rsidP="00556C7C">
            <w:pPr>
              <w:tabs>
                <w:tab w:val="left" w:pos="227"/>
              </w:tabs>
              <w:spacing w:line="276" w:lineRule="auto"/>
            </w:pPr>
            <w:r w:rsidRPr="0007306F">
              <w:t>2.</w:t>
            </w:r>
          </w:p>
        </w:tc>
        <w:tc>
          <w:tcPr>
            <w:tcW w:w="4678" w:type="dxa"/>
          </w:tcPr>
          <w:p w14:paraId="5A8D2274" w14:textId="77777777" w:rsidR="008D0829" w:rsidRPr="0007306F" w:rsidRDefault="008D0829" w:rsidP="00556C7C">
            <w:pPr>
              <w:tabs>
                <w:tab w:val="left" w:pos="227"/>
              </w:tabs>
              <w:spacing w:line="276" w:lineRule="auto"/>
            </w:pPr>
            <w:r w:rsidRPr="0007306F">
              <w:t>Operacinė sistema</w:t>
            </w:r>
          </w:p>
        </w:tc>
        <w:tc>
          <w:tcPr>
            <w:tcW w:w="4246" w:type="dxa"/>
          </w:tcPr>
          <w:p w14:paraId="736FA004" w14:textId="77777777" w:rsidR="008D0829" w:rsidRPr="0007306F" w:rsidRDefault="008D0829" w:rsidP="00556C7C">
            <w:pPr>
              <w:tabs>
                <w:tab w:val="left" w:pos="227"/>
              </w:tabs>
              <w:spacing w:line="276" w:lineRule="auto"/>
              <w:jc w:val="both"/>
            </w:pPr>
            <w:proofErr w:type="spellStart"/>
            <w:r w:rsidRPr="0007306F">
              <w:t>Red</w:t>
            </w:r>
            <w:proofErr w:type="spellEnd"/>
            <w:r w:rsidRPr="0007306F">
              <w:t xml:space="preserve"> </w:t>
            </w:r>
            <w:proofErr w:type="spellStart"/>
            <w:r w:rsidRPr="0007306F">
              <w:t>Hat</w:t>
            </w:r>
            <w:proofErr w:type="spellEnd"/>
            <w:r w:rsidRPr="0007306F">
              <w:t xml:space="preserve"> </w:t>
            </w:r>
            <w:proofErr w:type="spellStart"/>
            <w:r w:rsidRPr="0007306F">
              <w:t>Enterprise</w:t>
            </w:r>
            <w:proofErr w:type="spellEnd"/>
            <w:r w:rsidRPr="0007306F">
              <w:t xml:space="preserve"> Linux Server </w:t>
            </w:r>
            <w:proofErr w:type="spellStart"/>
            <w:r w:rsidRPr="0007306F">
              <w:t>release</w:t>
            </w:r>
            <w:proofErr w:type="spellEnd"/>
            <w:r w:rsidRPr="0007306F">
              <w:t xml:space="preserve"> 7.9 (</w:t>
            </w:r>
            <w:proofErr w:type="spellStart"/>
            <w:r w:rsidRPr="0007306F">
              <w:t>Maipo</w:t>
            </w:r>
            <w:proofErr w:type="spellEnd"/>
            <w:r w:rsidRPr="0007306F">
              <w:t>).</w:t>
            </w:r>
          </w:p>
        </w:tc>
      </w:tr>
      <w:tr w:rsidR="008D0829" w:rsidRPr="0007306F" w14:paraId="3C147F28" w14:textId="77777777" w:rsidTr="00556C7C">
        <w:tc>
          <w:tcPr>
            <w:tcW w:w="567" w:type="dxa"/>
          </w:tcPr>
          <w:p w14:paraId="604C0B4C" w14:textId="77777777" w:rsidR="008D0829" w:rsidRPr="0007306F" w:rsidRDefault="008D0829" w:rsidP="00556C7C">
            <w:pPr>
              <w:tabs>
                <w:tab w:val="left" w:pos="227"/>
              </w:tabs>
              <w:spacing w:line="276" w:lineRule="auto"/>
            </w:pPr>
            <w:r w:rsidRPr="0007306F">
              <w:t>3.</w:t>
            </w:r>
          </w:p>
        </w:tc>
        <w:tc>
          <w:tcPr>
            <w:tcW w:w="4678" w:type="dxa"/>
          </w:tcPr>
          <w:p w14:paraId="605A3CAC" w14:textId="77777777" w:rsidR="008D0829" w:rsidRPr="0007306F" w:rsidRDefault="008D0829" w:rsidP="00556C7C">
            <w:pPr>
              <w:tabs>
                <w:tab w:val="left" w:pos="227"/>
              </w:tabs>
              <w:spacing w:line="276" w:lineRule="auto"/>
            </w:pPr>
            <w:r w:rsidRPr="0007306F">
              <w:t>Reliacinės duomenų bazių valdymo sistemos versijos</w:t>
            </w:r>
          </w:p>
        </w:tc>
        <w:tc>
          <w:tcPr>
            <w:tcW w:w="4246" w:type="dxa"/>
          </w:tcPr>
          <w:p w14:paraId="00D67911" w14:textId="77777777" w:rsidR="008D0829" w:rsidRPr="0007306F" w:rsidRDefault="008D0829" w:rsidP="00556C7C">
            <w:pPr>
              <w:tabs>
                <w:tab w:val="left" w:pos="227"/>
              </w:tabs>
              <w:spacing w:line="276" w:lineRule="auto"/>
              <w:jc w:val="both"/>
            </w:pPr>
            <w:proofErr w:type="spellStart"/>
            <w:r w:rsidRPr="0007306F">
              <w:t>Oracle</w:t>
            </w:r>
            <w:proofErr w:type="spellEnd"/>
            <w:r w:rsidRPr="0007306F">
              <w:t xml:space="preserve"> </w:t>
            </w:r>
            <w:proofErr w:type="spellStart"/>
            <w:r w:rsidRPr="0007306F">
              <w:t>Database</w:t>
            </w:r>
            <w:proofErr w:type="spellEnd"/>
            <w:r w:rsidRPr="0007306F">
              <w:t xml:space="preserve"> 11g </w:t>
            </w:r>
            <w:proofErr w:type="spellStart"/>
            <w:r w:rsidRPr="0007306F">
              <w:t>Release</w:t>
            </w:r>
            <w:proofErr w:type="spellEnd"/>
            <w:r w:rsidRPr="0007306F">
              <w:t xml:space="preserve"> 11.2.0.4.0;</w:t>
            </w:r>
          </w:p>
          <w:p w14:paraId="3EEF27D7" w14:textId="77777777" w:rsidR="008D0829" w:rsidRPr="0007306F" w:rsidRDefault="008D0829" w:rsidP="00556C7C">
            <w:pPr>
              <w:tabs>
                <w:tab w:val="left" w:pos="227"/>
              </w:tabs>
              <w:spacing w:line="276" w:lineRule="auto"/>
              <w:jc w:val="both"/>
            </w:pPr>
            <w:proofErr w:type="spellStart"/>
            <w:r w:rsidRPr="0007306F">
              <w:t>Oracle</w:t>
            </w:r>
            <w:proofErr w:type="spellEnd"/>
            <w:r w:rsidRPr="0007306F">
              <w:t xml:space="preserve"> </w:t>
            </w:r>
            <w:proofErr w:type="spellStart"/>
            <w:r w:rsidRPr="0007306F">
              <w:t>Database</w:t>
            </w:r>
            <w:proofErr w:type="spellEnd"/>
            <w:r w:rsidRPr="0007306F">
              <w:t xml:space="preserve"> 12c </w:t>
            </w:r>
            <w:proofErr w:type="spellStart"/>
            <w:r w:rsidRPr="0007306F">
              <w:t>Enterprise</w:t>
            </w:r>
            <w:proofErr w:type="spellEnd"/>
            <w:r w:rsidRPr="0007306F">
              <w:t xml:space="preserve"> Edition </w:t>
            </w:r>
            <w:proofErr w:type="spellStart"/>
            <w:r w:rsidRPr="0007306F">
              <w:t>Release</w:t>
            </w:r>
            <w:proofErr w:type="spellEnd"/>
            <w:r w:rsidRPr="0007306F">
              <w:t xml:space="preserve"> 12.1.0.2.0;</w:t>
            </w:r>
          </w:p>
          <w:p w14:paraId="77D83274" w14:textId="77777777" w:rsidR="008D0829" w:rsidRPr="0007306F" w:rsidRDefault="008D0829" w:rsidP="00556C7C">
            <w:pPr>
              <w:tabs>
                <w:tab w:val="left" w:pos="227"/>
              </w:tabs>
              <w:spacing w:line="276" w:lineRule="auto"/>
              <w:jc w:val="both"/>
            </w:pPr>
            <w:proofErr w:type="spellStart"/>
            <w:r w:rsidRPr="0007306F">
              <w:t>Oracle</w:t>
            </w:r>
            <w:proofErr w:type="spellEnd"/>
            <w:r w:rsidRPr="0007306F">
              <w:t xml:space="preserve"> </w:t>
            </w:r>
            <w:proofErr w:type="spellStart"/>
            <w:r w:rsidRPr="0007306F">
              <w:t>Database</w:t>
            </w:r>
            <w:proofErr w:type="spellEnd"/>
            <w:r w:rsidRPr="0007306F">
              <w:t xml:space="preserve"> 19c </w:t>
            </w:r>
            <w:proofErr w:type="spellStart"/>
            <w:r w:rsidRPr="0007306F">
              <w:t>Enterprise</w:t>
            </w:r>
            <w:proofErr w:type="spellEnd"/>
            <w:r w:rsidRPr="0007306F">
              <w:t xml:space="preserve"> Edition </w:t>
            </w:r>
            <w:proofErr w:type="spellStart"/>
            <w:r w:rsidRPr="0007306F">
              <w:t>Release</w:t>
            </w:r>
            <w:proofErr w:type="spellEnd"/>
            <w:r w:rsidRPr="0007306F">
              <w:t xml:space="preserve"> 19.0.0.0.0.</w:t>
            </w:r>
          </w:p>
        </w:tc>
      </w:tr>
      <w:tr w:rsidR="008D0829" w:rsidRPr="0007306F" w14:paraId="6C222E16" w14:textId="77777777" w:rsidTr="00556C7C">
        <w:tc>
          <w:tcPr>
            <w:tcW w:w="567" w:type="dxa"/>
          </w:tcPr>
          <w:p w14:paraId="795EF479" w14:textId="77777777" w:rsidR="008D0829" w:rsidRPr="0007306F" w:rsidRDefault="008D0829" w:rsidP="00556C7C">
            <w:pPr>
              <w:tabs>
                <w:tab w:val="left" w:pos="227"/>
              </w:tabs>
              <w:spacing w:line="276" w:lineRule="auto"/>
            </w:pPr>
            <w:r w:rsidRPr="0007306F">
              <w:t>4.</w:t>
            </w:r>
          </w:p>
        </w:tc>
        <w:tc>
          <w:tcPr>
            <w:tcW w:w="4678" w:type="dxa"/>
          </w:tcPr>
          <w:p w14:paraId="4AD5C915" w14:textId="77777777" w:rsidR="008D0829" w:rsidRPr="0007306F" w:rsidRDefault="008D0829" w:rsidP="00556C7C">
            <w:pPr>
              <w:tabs>
                <w:tab w:val="left" w:pos="227"/>
              </w:tabs>
              <w:spacing w:line="276" w:lineRule="auto"/>
            </w:pPr>
            <w:r w:rsidRPr="0007306F">
              <w:t>Bendras duomenų bazių dydis</w:t>
            </w:r>
          </w:p>
          <w:p w14:paraId="068FFFAD" w14:textId="77777777" w:rsidR="008D0829" w:rsidRPr="0007306F" w:rsidRDefault="008D0829" w:rsidP="00556C7C">
            <w:pPr>
              <w:tabs>
                <w:tab w:val="left" w:pos="227"/>
              </w:tabs>
              <w:spacing w:line="276" w:lineRule="auto"/>
            </w:pPr>
            <w:r w:rsidRPr="0007306F">
              <w:t>(vystymo + testavimo + gamybinė aplinkos)</w:t>
            </w:r>
          </w:p>
        </w:tc>
        <w:tc>
          <w:tcPr>
            <w:tcW w:w="4246" w:type="dxa"/>
          </w:tcPr>
          <w:p w14:paraId="5D50498A" w14:textId="77777777" w:rsidR="008D0829" w:rsidRPr="0007306F" w:rsidRDefault="008D0829" w:rsidP="00556C7C">
            <w:pPr>
              <w:tabs>
                <w:tab w:val="left" w:pos="227"/>
              </w:tabs>
              <w:spacing w:line="276" w:lineRule="auto"/>
              <w:jc w:val="both"/>
            </w:pPr>
            <w:r w:rsidRPr="0007306F">
              <w:t>Apie 170 TB (</w:t>
            </w:r>
            <w:proofErr w:type="spellStart"/>
            <w:r w:rsidRPr="0007306F">
              <w:t>terabaitų</w:t>
            </w:r>
            <w:proofErr w:type="spellEnd"/>
            <w:r w:rsidRPr="0007306F">
              <w:t xml:space="preserve">). </w:t>
            </w:r>
          </w:p>
        </w:tc>
      </w:tr>
      <w:tr w:rsidR="008D0829" w:rsidRPr="0007306F" w14:paraId="00AFCDF4" w14:textId="77777777" w:rsidTr="00556C7C">
        <w:trPr>
          <w:trHeight w:val="427"/>
        </w:trPr>
        <w:tc>
          <w:tcPr>
            <w:tcW w:w="567" w:type="dxa"/>
          </w:tcPr>
          <w:p w14:paraId="764F04F7" w14:textId="77777777" w:rsidR="008D0829" w:rsidRPr="0007306F" w:rsidRDefault="008D0829" w:rsidP="00556C7C">
            <w:pPr>
              <w:tabs>
                <w:tab w:val="left" w:pos="227"/>
              </w:tabs>
              <w:spacing w:line="276" w:lineRule="auto"/>
            </w:pPr>
            <w:r w:rsidRPr="0007306F">
              <w:t>5.</w:t>
            </w:r>
          </w:p>
        </w:tc>
        <w:tc>
          <w:tcPr>
            <w:tcW w:w="4678" w:type="dxa"/>
          </w:tcPr>
          <w:p w14:paraId="507E650D" w14:textId="77777777" w:rsidR="008D0829" w:rsidRPr="0007306F" w:rsidRDefault="008D0829" w:rsidP="00556C7C">
            <w:pPr>
              <w:tabs>
                <w:tab w:val="left" w:pos="227"/>
              </w:tabs>
              <w:spacing w:line="276" w:lineRule="auto"/>
            </w:pPr>
            <w:r w:rsidRPr="0007306F">
              <w:t xml:space="preserve">Mazgų (angl. </w:t>
            </w:r>
            <w:proofErr w:type="spellStart"/>
            <w:r w:rsidRPr="0007306F">
              <w:t>nodes</w:t>
            </w:r>
            <w:proofErr w:type="spellEnd"/>
            <w:r w:rsidRPr="0007306F">
              <w:t>) kiekis</w:t>
            </w:r>
          </w:p>
        </w:tc>
        <w:tc>
          <w:tcPr>
            <w:tcW w:w="4246" w:type="dxa"/>
          </w:tcPr>
          <w:p w14:paraId="1BF77E2A" w14:textId="77777777" w:rsidR="008D0829" w:rsidRPr="0007306F" w:rsidRDefault="008D0829" w:rsidP="00556C7C">
            <w:pPr>
              <w:tabs>
                <w:tab w:val="left" w:pos="227"/>
              </w:tabs>
              <w:spacing w:line="276" w:lineRule="auto"/>
              <w:jc w:val="both"/>
            </w:pPr>
            <w:proofErr w:type="spellStart"/>
            <w:r w:rsidRPr="0007306F">
              <w:t>Oracle</w:t>
            </w:r>
            <w:proofErr w:type="spellEnd"/>
            <w:r w:rsidRPr="0007306F">
              <w:t xml:space="preserve"> RAC, 4 </w:t>
            </w:r>
            <w:proofErr w:type="spellStart"/>
            <w:r w:rsidRPr="0007306F">
              <w:t>nodes</w:t>
            </w:r>
            <w:proofErr w:type="spellEnd"/>
            <w:r w:rsidRPr="0007306F">
              <w:t>.</w:t>
            </w:r>
          </w:p>
        </w:tc>
      </w:tr>
    </w:tbl>
    <w:p w14:paraId="737CC20F" w14:textId="77777777" w:rsidR="008D0829" w:rsidRPr="0007306F" w:rsidRDefault="008D0829" w:rsidP="008D0829"/>
    <w:p w14:paraId="142DB10A" w14:textId="77777777" w:rsidR="008D0829" w:rsidRPr="0007306F" w:rsidRDefault="008D0829" w:rsidP="008D0829"/>
    <w:p w14:paraId="7F951D2D" w14:textId="77777777" w:rsidR="006B0569" w:rsidRPr="0007306F" w:rsidRDefault="006B0569" w:rsidP="008D0829"/>
    <w:p w14:paraId="4404A925" w14:textId="77777777" w:rsidR="006B0569" w:rsidRPr="0007306F" w:rsidRDefault="006B0569" w:rsidP="008D0829"/>
    <w:p w14:paraId="1D1D87B7" w14:textId="77777777" w:rsidR="006B0569" w:rsidRPr="0007306F" w:rsidRDefault="006B0569" w:rsidP="008D0829"/>
    <w:p w14:paraId="37ED87C1" w14:textId="77777777" w:rsidR="008D0829" w:rsidRPr="0007306F" w:rsidRDefault="008D0829" w:rsidP="008D0829">
      <w:pPr>
        <w:spacing w:after="200"/>
        <w:jc w:val="right"/>
        <w:rPr>
          <w:bCs/>
          <w:iCs/>
        </w:rPr>
      </w:pPr>
      <w:r w:rsidRPr="0007306F">
        <w:rPr>
          <w:bCs/>
          <w:iCs/>
        </w:rPr>
        <w:t>2 lentelė Turimų duomenų bazių parametrai:</w:t>
      </w:r>
    </w:p>
    <w:tbl>
      <w:tblPr>
        <w:tblStyle w:val="TableGrid"/>
        <w:tblW w:w="9491" w:type="dxa"/>
        <w:tblInd w:w="137" w:type="dxa"/>
        <w:tblLook w:val="04A0" w:firstRow="1" w:lastRow="0" w:firstColumn="1" w:lastColumn="0" w:noHBand="0" w:noVBand="1"/>
      </w:tblPr>
      <w:tblGrid>
        <w:gridCol w:w="524"/>
        <w:gridCol w:w="2248"/>
        <w:gridCol w:w="1674"/>
        <w:gridCol w:w="1529"/>
        <w:gridCol w:w="1758"/>
        <w:gridCol w:w="1758"/>
      </w:tblGrid>
      <w:tr w:rsidR="008D0829" w:rsidRPr="0007306F" w14:paraId="2D3339DC" w14:textId="77777777" w:rsidTr="00E33C3F">
        <w:tc>
          <w:tcPr>
            <w:tcW w:w="851" w:type="dxa"/>
          </w:tcPr>
          <w:p w14:paraId="2E7DB6A7" w14:textId="77777777" w:rsidR="008D0829" w:rsidRPr="0007306F" w:rsidRDefault="008D0829" w:rsidP="00556C7C">
            <w:pPr>
              <w:tabs>
                <w:tab w:val="left" w:pos="851"/>
              </w:tabs>
              <w:jc w:val="both"/>
              <w:rPr>
                <w:b/>
              </w:rPr>
            </w:pPr>
            <w:r w:rsidRPr="0007306F">
              <w:rPr>
                <w:b/>
              </w:rPr>
              <w:t>Eil. Nr.</w:t>
            </w:r>
          </w:p>
        </w:tc>
        <w:tc>
          <w:tcPr>
            <w:tcW w:w="1921" w:type="dxa"/>
            <w:vAlign w:val="center"/>
          </w:tcPr>
          <w:p w14:paraId="27D4FFB5" w14:textId="77777777" w:rsidR="008D0829" w:rsidRPr="0007306F" w:rsidRDefault="008D0829" w:rsidP="00556C7C">
            <w:pPr>
              <w:tabs>
                <w:tab w:val="left" w:pos="851"/>
              </w:tabs>
              <w:rPr>
                <w:b/>
              </w:rPr>
            </w:pPr>
            <w:r w:rsidRPr="0007306F">
              <w:rPr>
                <w:b/>
              </w:rPr>
              <w:t>Parametras</w:t>
            </w:r>
          </w:p>
        </w:tc>
        <w:tc>
          <w:tcPr>
            <w:tcW w:w="1674" w:type="dxa"/>
            <w:vAlign w:val="center"/>
          </w:tcPr>
          <w:p w14:paraId="316290D5" w14:textId="77777777" w:rsidR="008D0829" w:rsidRPr="0007306F" w:rsidRDefault="008D0829" w:rsidP="00556C7C">
            <w:pPr>
              <w:tabs>
                <w:tab w:val="left" w:pos="851"/>
              </w:tabs>
              <w:jc w:val="center"/>
              <w:rPr>
                <w:b/>
              </w:rPr>
            </w:pPr>
            <w:r w:rsidRPr="0007306F">
              <w:rPr>
                <w:b/>
              </w:rPr>
              <w:t>DB 1</w:t>
            </w:r>
          </w:p>
        </w:tc>
        <w:tc>
          <w:tcPr>
            <w:tcW w:w="0" w:type="auto"/>
            <w:vAlign w:val="center"/>
          </w:tcPr>
          <w:p w14:paraId="2D5AF932" w14:textId="77777777" w:rsidR="008D0829" w:rsidRPr="0007306F" w:rsidRDefault="008D0829" w:rsidP="00556C7C">
            <w:pPr>
              <w:tabs>
                <w:tab w:val="left" w:pos="851"/>
              </w:tabs>
              <w:jc w:val="center"/>
              <w:rPr>
                <w:b/>
              </w:rPr>
            </w:pPr>
            <w:r w:rsidRPr="0007306F">
              <w:rPr>
                <w:b/>
              </w:rPr>
              <w:t>DB 2</w:t>
            </w:r>
          </w:p>
        </w:tc>
        <w:tc>
          <w:tcPr>
            <w:tcW w:w="0" w:type="auto"/>
            <w:vAlign w:val="center"/>
          </w:tcPr>
          <w:p w14:paraId="1616C763" w14:textId="77777777" w:rsidR="008D0829" w:rsidRPr="0007306F" w:rsidRDefault="008D0829" w:rsidP="00556C7C">
            <w:pPr>
              <w:tabs>
                <w:tab w:val="left" w:pos="851"/>
              </w:tabs>
              <w:jc w:val="center"/>
              <w:rPr>
                <w:b/>
              </w:rPr>
            </w:pPr>
            <w:r w:rsidRPr="0007306F">
              <w:rPr>
                <w:b/>
              </w:rPr>
              <w:t>DB 3</w:t>
            </w:r>
          </w:p>
        </w:tc>
        <w:tc>
          <w:tcPr>
            <w:tcW w:w="1758" w:type="dxa"/>
            <w:vAlign w:val="center"/>
          </w:tcPr>
          <w:p w14:paraId="02EBDABD" w14:textId="77777777" w:rsidR="008D0829" w:rsidRPr="0007306F" w:rsidRDefault="008D0829" w:rsidP="00556C7C">
            <w:pPr>
              <w:tabs>
                <w:tab w:val="left" w:pos="851"/>
              </w:tabs>
              <w:jc w:val="center"/>
              <w:rPr>
                <w:b/>
              </w:rPr>
            </w:pPr>
            <w:r w:rsidRPr="0007306F">
              <w:rPr>
                <w:b/>
              </w:rPr>
              <w:t>DB 4</w:t>
            </w:r>
          </w:p>
        </w:tc>
      </w:tr>
      <w:tr w:rsidR="008D0829" w:rsidRPr="0007306F" w14:paraId="0947C4AE" w14:textId="77777777" w:rsidTr="00E33C3F">
        <w:tc>
          <w:tcPr>
            <w:tcW w:w="851" w:type="dxa"/>
          </w:tcPr>
          <w:p w14:paraId="213F856B" w14:textId="77777777" w:rsidR="008D0829" w:rsidRPr="0007306F" w:rsidRDefault="008D0829" w:rsidP="00556C7C">
            <w:pPr>
              <w:tabs>
                <w:tab w:val="left" w:pos="227"/>
              </w:tabs>
            </w:pPr>
            <w:r w:rsidRPr="0007306F">
              <w:t>1.</w:t>
            </w:r>
          </w:p>
        </w:tc>
        <w:tc>
          <w:tcPr>
            <w:tcW w:w="1921" w:type="dxa"/>
          </w:tcPr>
          <w:p w14:paraId="1CEE11D8" w14:textId="77777777" w:rsidR="008D0829" w:rsidRPr="0007306F" w:rsidRDefault="008D0829" w:rsidP="00556C7C">
            <w:pPr>
              <w:tabs>
                <w:tab w:val="left" w:pos="227"/>
              </w:tabs>
              <w:jc w:val="both"/>
            </w:pPr>
            <w:r w:rsidRPr="0007306F">
              <w:t>Apytikslis duomenų kiekis</w:t>
            </w:r>
          </w:p>
        </w:tc>
        <w:tc>
          <w:tcPr>
            <w:tcW w:w="1674" w:type="dxa"/>
            <w:vAlign w:val="center"/>
          </w:tcPr>
          <w:p w14:paraId="742F593E" w14:textId="77777777" w:rsidR="008D0829" w:rsidRPr="0007306F" w:rsidRDefault="008D0829" w:rsidP="00556C7C">
            <w:pPr>
              <w:tabs>
                <w:tab w:val="left" w:pos="227"/>
              </w:tabs>
              <w:jc w:val="center"/>
            </w:pPr>
            <w:r w:rsidRPr="0007306F">
              <w:t>60 TB</w:t>
            </w:r>
          </w:p>
        </w:tc>
        <w:tc>
          <w:tcPr>
            <w:tcW w:w="0" w:type="auto"/>
            <w:vAlign w:val="center"/>
          </w:tcPr>
          <w:p w14:paraId="577F8E31" w14:textId="77777777" w:rsidR="008D0829" w:rsidRPr="0007306F" w:rsidRDefault="008D0829" w:rsidP="00556C7C">
            <w:pPr>
              <w:tabs>
                <w:tab w:val="left" w:pos="851"/>
              </w:tabs>
              <w:jc w:val="center"/>
            </w:pPr>
            <w:r w:rsidRPr="0007306F">
              <w:t>22 TB</w:t>
            </w:r>
          </w:p>
        </w:tc>
        <w:tc>
          <w:tcPr>
            <w:tcW w:w="0" w:type="auto"/>
            <w:vAlign w:val="center"/>
          </w:tcPr>
          <w:p w14:paraId="537ED294" w14:textId="77777777" w:rsidR="008D0829" w:rsidRPr="0007306F" w:rsidRDefault="008D0829" w:rsidP="00556C7C">
            <w:pPr>
              <w:tabs>
                <w:tab w:val="left" w:pos="851"/>
              </w:tabs>
              <w:jc w:val="center"/>
            </w:pPr>
            <w:r w:rsidRPr="0007306F">
              <w:t>6.5 TB</w:t>
            </w:r>
          </w:p>
        </w:tc>
        <w:tc>
          <w:tcPr>
            <w:tcW w:w="1758" w:type="dxa"/>
            <w:vAlign w:val="center"/>
          </w:tcPr>
          <w:p w14:paraId="43615D5E" w14:textId="77777777" w:rsidR="008D0829" w:rsidRPr="0007306F" w:rsidRDefault="008D0829" w:rsidP="00556C7C">
            <w:pPr>
              <w:tabs>
                <w:tab w:val="left" w:pos="851"/>
              </w:tabs>
              <w:jc w:val="center"/>
            </w:pPr>
            <w:r w:rsidRPr="0007306F">
              <w:t>5.5 TB</w:t>
            </w:r>
          </w:p>
        </w:tc>
      </w:tr>
      <w:tr w:rsidR="008D0829" w:rsidRPr="0007306F" w14:paraId="7FFB8CE7" w14:textId="77777777" w:rsidTr="00E33C3F">
        <w:tc>
          <w:tcPr>
            <w:tcW w:w="851" w:type="dxa"/>
          </w:tcPr>
          <w:p w14:paraId="2150FF69" w14:textId="77777777" w:rsidR="008D0829" w:rsidRPr="0007306F" w:rsidRDefault="008D0829" w:rsidP="00556C7C">
            <w:pPr>
              <w:tabs>
                <w:tab w:val="left" w:pos="227"/>
              </w:tabs>
            </w:pPr>
            <w:r w:rsidRPr="0007306F">
              <w:t>2.</w:t>
            </w:r>
          </w:p>
        </w:tc>
        <w:tc>
          <w:tcPr>
            <w:tcW w:w="1921" w:type="dxa"/>
          </w:tcPr>
          <w:p w14:paraId="3B631B76" w14:textId="77777777" w:rsidR="008D0829" w:rsidRPr="0007306F" w:rsidRDefault="008D0829" w:rsidP="00556C7C">
            <w:pPr>
              <w:tabs>
                <w:tab w:val="left" w:pos="227"/>
              </w:tabs>
              <w:jc w:val="both"/>
            </w:pPr>
            <w:r w:rsidRPr="0007306F">
              <w:t>LOB segmentų dydis</w:t>
            </w:r>
          </w:p>
        </w:tc>
        <w:tc>
          <w:tcPr>
            <w:tcW w:w="1674" w:type="dxa"/>
            <w:vAlign w:val="center"/>
          </w:tcPr>
          <w:p w14:paraId="6421602C" w14:textId="77777777" w:rsidR="008D0829" w:rsidRPr="0007306F" w:rsidRDefault="008D0829" w:rsidP="00556C7C">
            <w:pPr>
              <w:tabs>
                <w:tab w:val="left" w:pos="227"/>
              </w:tabs>
              <w:jc w:val="center"/>
            </w:pPr>
            <w:r w:rsidRPr="0007306F">
              <w:t>40 TB</w:t>
            </w:r>
          </w:p>
        </w:tc>
        <w:tc>
          <w:tcPr>
            <w:tcW w:w="0" w:type="auto"/>
            <w:vAlign w:val="center"/>
          </w:tcPr>
          <w:p w14:paraId="6F735DCF" w14:textId="77777777" w:rsidR="008D0829" w:rsidRPr="0007306F" w:rsidRDefault="008D0829" w:rsidP="00556C7C">
            <w:pPr>
              <w:tabs>
                <w:tab w:val="left" w:pos="851"/>
              </w:tabs>
              <w:jc w:val="center"/>
            </w:pPr>
            <w:r w:rsidRPr="0007306F">
              <w:t>20.8 TB</w:t>
            </w:r>
          </w:p>
        </w:tc>
        <w:tc>
          <w:tcPr>
            <w:tcW w:w="0" w:type="auto"/>
            <w:vAlign w:val="center"/>
          </w:tcPr>
          <w:p w14:paraId="37E2C8A2" w14:textId="77777777" w:rsidR="008D0829" w:rsidRPr="0007306F" w:rsidRDefault="008D0829" w:rsidP="00556C7C">
            <w:pPr>
              <w:tabs>
                <w:tab w:val="left" w:pos="851"/>
              </w:tabs>
              <w:jc w:val="center"/>
            </w:pPr>
            <w:r w:rsidRPr="0007306F">
              <w:t>6.1 TB</w:t>
            </w:r>
          </w:p>
        </w:tc>
        <w:tc>
          <w:tcPr>
            <w:tcW w:w="1758" w:type="dxa"/>
            <w:vAlign w:val="center"/>
          </w:tcPr>
          <w:p w14:paraId="1237C133" w14:textId="77777777" w:rsidR="008D0829" w:rsidRPr="0007306F" w:rsidRDefault="008D0829" w:rsidP="00556C7C">
            <w:pPr>
              <w:tabs>
                <w:tab w:val="left" w:pos="851"/>
              </w:tabs>
              <w:jc w:val="center"/>
            </w:pPr>
            <w:r w:rsidRPr="0007306F">
              <w:t>-</w:t>
            </w:r>
          </w:p>
        </w:tc>
      </w:tr>
      <w:tr w:rsidR="008D0829" w:rsidRPr="0007306F" w14:paraId="73BBAA61" w14:textId="77777777" w:rsidTr="00E33C3F">
        <w:tc>
          <w:tcPr>
            <w:tcW w:w="851" w:type="dxa"/>
          </w:tcPr>
          <w:p w14:paraId="70596FC7" w14:textId="77777777" w:rsidR="008D0829" w:rsidRPr="0007306F" w:rsidRDefault="008D0829" w:rsidP="00556C7C">
            <w:pPr>
              <w:tabs>
                <w:tab w:val="left" w:pos="227"/>
              </w:tabs>
            </w:pPr>
            <w:r w:rsidRPr="0007306F">
              <w:t>3.</w:t>
            </w:r>
          </w:p>
        </w:tc>
        <w:tc>
          <w:tcPr>
            <w:tcW w:w="1921" w:type="dxa"/>
          </w:tcPr>
          <w:p w14:paraId="32221ADB" w14:textId="77777777" w:rsidR="008D0829" w:rsidRPr="0007306F" w:rsidRDefault="008D0829" w:rsidP="00556C7C">
            <w:pPr>
              <w:tabs>
                <w:tab w:val="left" w:pos="227"/>
              </w:tabs>
              <w:jc w:val="both"/>
            </w:pPr>
            <w:r w:rsidRPr="0007306F">
              <w:t>NLS_RDBMS_VERSION</w:t>
            </w:r>
          </w:p>
        </w:tc>
        <w:tc>
          <w:tcPr>
            <w:tcW w:w="1674" w:type="dxa"/>
          </w:tcPr>
          <w:p w14:paraId="616D1D3F" w14:textId="77777777" w:rsidR="008D0829" w:rsidRPr="0007306F" w:rsidRDefault="008D0829" w:rsidP="00556C7C">
            <w:pPr>
              <w:tabs>
                <w:tab w:val="left" w:pos="227"/>
              </w:tabs>
              <w:jc w:val="center"/>
            </w:pPr>
            <w:r w:rsidRPr="0007306F">
              <w:t>19.0.0.0.0</w:t>
            </w:r>
          </w:p>
        </w:tc>
        <w:tc>
          <w:tcPr>
            <w:tcW w:w="0" w:type="auto"/>
          </w:tcPr>
          <w:p w14:paraId="3207E3FD" w14:textId="77777777" w:rsidR="008D0829" w:rsidRPr="0007306F" w:rsidRDefault="008D0829" w:rsidP="00556C7C">
            <w:pPr>
              <w:tabs>
                <w:tab w:val="left" w:pos="851"/>
              </w:tabs>
              <w:jc w:val="center"/>
            </w:pPr>
            <w:r w:rsidRPr="0007306F">
              <w:t>19.0.0.0.0</w:t>
            </w:r>
          </w:p>
        </w:tc>
        <w:tc>
          <w:tcPr>
            <w:tcW w:w="0" w:type="auto"/>
          </w:tcPr>
          <w:p w14:paraId="73C21C2D" w14:textId="77777777" w:rsidR="008D0829" w:rsidRPr="0007306F" w:rsidRDefault="008D0829" w:rsidP="00556C7C">
            <w:pPr>
              <w:tabs>
                <w:tab w:val="left" w:pos="851"/>
              </w:tabs>
              <w:jc w:val="center"/>
            </w:pPr>
            <w:r w:rsidRPr="0007306F">
              <w:t>11.2.0.4.0</w:t>
            </w:r>
          </w:p>
        </w:tc>
        <w:tc>
          <w:tcPr>
            <w:tcW w:w="1758" w:type="dxa"/>
          </w:tcPr>
          <w:p w14:paraId="78BFDE2F" w14:textId="77777777" w:rsidR="008D0829" w:rsidRPr="0007306F" w:rsidRDefault="008D0829" w:rsidP="00556C7C">
            <w:pPr>
              <w:tabs>
                <w:tab w:val="left" w:pos="851"/>
              </w:tabs>
              <w:jc w:val="center"/>
            </w:pPr>
            <w:r w:rsidRPr="0007306F">
              <w:t>12.1.0.2.0</w:t>
            </w:r>
          </w:p>
        </w:tc>
      </w:tr>
      <w:tr w:rsidR="008D0829" w:rsidRPr="0007306F" w14:paraId="658C422B" w14:textId="77777777" w:rsidTr="00E33C3F">
        <w:tc>
          <w:tcPr>
            <w:tcW w:w="851" w:type="dxa"/>
          </w:tcPr>
          <w:p w14:paraId="01844E71" w14:textId="77777777" w:rsidR="008D0829" w:rsidRPr="0007306F" w:rsidRDefault="008D0829" w:rsidP="00556C7C">
            <w:pPr>
              <w:tabs>
                <w:tab w:val="left" w:pos="227"/>
              </w:tabs>
            </w:pPr>
            <w:r w:rsidRPr="0007306F">
              <w:t>4.</w:t>
            </w:r>
          </w:p>
        </w:tc>
        <w:tc>
          <w:tcPr>
            <w:tcW w:w="1921" w:type="dxa"/>
          </w:tcPr>
          <w:p w14:paraId="4BC1FAA0" w14:textId="77777777" w:rsidR="008D0829" w:rsidRPr="0007306F" w:rsidRDefault="008D0829" w:rsidP="00556C7C">
            <w:pPr>
              <w:tabs>
                <w:tab w:val="left" w:pos="227"/>
              </w:tabs>
              <w:jc w:val="both"/>
            </w:pPr>
            <w:r w:rsidRPr="0007306F">
              <w:t>NLS_CHARACTERSET</w:t>
            </w:r>
          </w:p>
        </w:tc>
        <w:tc>
          <w:tcPr>
            <w:tcW w:w="1674" w:type="dxa"/>
          </w:tcPr>
          <w:p w14:paraId="6BB8A118" w14:textId="77777777" w:rsidR="008D0829" w:rsidRPr="0007306F" w:rsidRDefault="008D0829" w:rsidP="00556C7C">
            <w:pPr>
              <w:tabs>
                <w:tab w:val="left" w:pos="227"/>
              </w:tabs>
              <w:jc w:val="center"/>
            </w:pPr>
            <w:r w:rsidRPr="0007306F">
              <w:t>NEE8ISO8859P4</w:t>
            </w:r>
          </w:p>
        </w:tc>
        <w:tc>
          <w:tcPr>
            <w:tcW w:w="0" w:type="auto"/>
          </w:tcPr>
          <w:p w14:paraId="2508FA46" w14:textId="77777777" w:rsidR="008D0829" w:rsidRPr="0007306F" w:rsidRDefault="008D0829" w:rsidP="00556C7C">
            <w:pPr>
              <w:tabs>
                <w:tab w:val="left" w:pos="851"/>
              </w:tabs>
              <w:jc w:val="center"/>
            </w:pPr>
            <w:r w:rsidRPr="0007306F">
              <w:t>LT8MSWIN921</w:t>
            </w:r>
          </w:p>
        </w:tc>
        <w:tc>
          <w:tcPr>
            <w:tcW w:w="0" w:type="auto"/>
          </w:tcPr>
          <w:p w14:paraId="64762047" w14:textId="77777777" w:rsidR="008D0829" w:rsidRPr="0007306F" w:rsidRDefault="008D0829" w:rsidP="00556C7C">
            <w:pPr>
              <w:tabs>
                <w:tab w:val="left" w:pos="851"/>
              </w:tabs>
              <w:jc w:val="center"/>
            </w:pPr>
            <w:r w:rsidRPr="0007306F">
              <w:t>BLT8MSWIN1257</w:t>
            </w:r>
          </w:p>
        </w:tc>
        <w:tc>
          <w:tcPr>
            <w:tcW w:w="1758" w:type="dxa"/>
          </w:tcPr>
          <w:p w14:paraId="22C11D42" w14:textId="77777777" w:rsidR="008D0829" w:rsidRPr="0007306F" w:rsidRDefault="008D0829" w:rsidP="00556C7C">
            <w:pPr>
              <w:tabs>
                <w:tab w:val="left" w:pos="851"/>
              </w:tabs>
              <w:jc w:val="center"/>
            </w:pPr>
            <w:r w:rsidRPr="0007306F">
              <w:t>BLT8MSWIN1257</w:t>
            </w:r>
          </w:p>
        </w:tc>
      </w:tr>
      <w:tr w:rsidR="008D0829" w:rsidRPr="0007306F" w14:paraId="2C009A52" w14:textId="77777777" w:rsidTr="00E33C3F">
        <w:trPr>
          <w:trHeight w:val="1036"/>
        </w:trPr>
        <w:tc>
          <w:tcPr>
            <w:tcW w:w="851" w:type="dxa"/>
          </w:tcPr>
          <w:p w14:paraId="50D3599D" w14:textId="77777777" w:rsidR="008D0829" w:rsidRPr="0007306F" w:rsidRDefault="008D0829" w:rsidP="00556C7C">
            <w:pPr>
              <w:tabs>
                <w:tab w:val="left" w:pos="227"/>
              </w:tabs>
            </w:pPr>
            <w:r w:rsidRPr="0007306F">
              <w:t>5.</w:t>
            </w:r>
          </w:p>
        </w:tc>
        <w:tc>
          <w:tcPr>
            <w:tcW w:w="1921" w:type="dxa"/>
          </w:tcPr>
          <w:p w14:paraId="5721CEC0" w14:textId="77777777" w:rsidR="008D0829" w:rsidRPr="0007306F" w:rsidRDefault="008D0829" w:rsidP="00556C7C">
            <w:pPr>
              <w:tabs>
                <w:tab w:val="left" w:pos="227"/>
              </w:tabs>
              <w:jc w:val="both"/>
            </w:pPr>
            <w:r w:rsidRPr="0007306F">
              <w:t>DB Aplinkos</w:t>
            </w:r>
          </w:p>
        </w:tc>
        <w:tc>
          <w:tcPr>
            <w:tcW w:w="6719" w:type="dxa"/>
            <w:gridSpan w:val="4"/>
            <w:vAlign w:val="center"/>
          </w:tcPr>
          <w:p w14:paraId="4705791C" w14:textId="77777777" w:rsidR="008D0829" w:rsidRPr="0007306F" w:rsidRDefault="008D0829" w:rsidP="00556C7C">
            <w:pPr>
              <w:tabs>
                <w:tab w:val="left" w:pos="227"/>
              </w:tabs>
              <w:jc w:val="both"/>
            </w:pPr>
            <w:r w:rsidRPr="0007306F">
              <w:t>Vystymo (DEV);</w:t>
            </w:r>
          </w:p>
          <w:p w14:paraId="38040D73" w14:textId="77777777" w:rsidR="008D0829" w:rsidRPr="0007306F" w:rsidRDefault="008D0829" w:rsidP="00556C7C">
            <w:pPr>
              <w:tabs>
                <w:tab w:val="left" w:pos="227"/>
              </w:tabs>
              <w:jc w:val="both"/>
            </w:pPr>
            <w:r w:rsidRPr="0007306F">
              <w:t>Testavimo (TEST);</w:t>
            </w:r>
          </w:p>
          <w:p w14:paraId="0E84CC4C" w14:textId="77777777" w:rsidR="008D0829" w:rsidRPr="0007306F" w:rsidRDefault="008D0829" w:rsidP="00556C7C">
            <w:pPr>
              <w:tabs>
                <w:tab w:val="left" w:pos="227"/>
              </w:tabs>
              <w:jc w:val="both"/>
            </w:pPr>
            <w:r w:rsidRPr="0007306F">
              <w:t>Gamybinė (PROD);</w:t>
            </w:r>
          </w:p>
          <w:p w14:paraId="179E3915" w14:textId="076594C9" w:rsidR="008D0829" w:rsidRPr="0007306F" w:rsidRDefault="008D0829" w:rsidP="00556C7C">
            <w:pPr>
              <w:tabs>
                <w:tab w:val="left" w:pos="227"/>
              </w:tabs>
              <w:jc w:val="both"/>
            </w:pPr>
            <w:proofErr w:type="spellStart"/>
            <w:r w:rsidRPr="0007306F">
              <w:t>PreGamybinė</w:t>
            </w:r>
            <w:proofErr w:type="spellEnd"/>
            <w:r w:rsidRPr="0007306F">
              <w:t xml:space="preserve"> (angl. </w:t>
            </w:r>
            <w:proofErr w:type="spellStart"/>
            <w:r w:rsidRPr="0007306F">
              <w:t>PrePROD</w:t>
            </w:r>
            <w:proofErr w:type="spellEnd"/>
            <w:r w:rsidRPr="0007306F">
              <w:t>)</w:t>
            </w:r>
            <w:r w:rsidR="0007306F" w:rsidRPr="007A62BC">
              <w:t>.</w:t>
            </w:r>
          </w:p>
        </w:tc>
      </w:tr>
    </w:tbl>
    <w:p w14:paraId="2689ABEC" w14:textId="77777777" w:rsidR="009B386D" w:rsidRPr="0007306F" w:rsidRDefault="009B386D" w:rsidP="009B386D"/>
    <w:p w14:paraId="6D95B501" w14:textId="5B188C89" w:rsidR="009B386D" w:rsidRPr="0007306F" w:rsidRDefault="009B386D" w:rsidP="009B386D">
      <w:pPr>
        <w:pStyle w:val="ListParagraph"/>
        <w:tabs>
          <w:tab w:val="left" w:pos="3600"/>
        </w:tabs>
        <w:spacing w:line="22" w:lineRule="atLeast"/>
        <w:ind w:left="0"/>
        <w:jc w:val="center"/>
        <w:rPr>
          <w:b/>
          <w:lang w:val="en-US"/>
        </w:rPr>
      </w:pPr>
      <w:r w:rsidRPr="0007306F">
        <w:rPr>
          <w:b/>
          <w:lang w:val="en-US"/>
        </w:rPr>
        <w:t>I</w:t>
      </w:r>
      <w:r w:rsidR="00C33E10" w:rsidRPr="0007306F">
        <w:rPr>
          <w:b/>
          <w:lang w:val="en-US"/>
        </w:rPr>
        <w:t>II</w:t>
      </w:r>
      <w:r w:rsidRPr="0007306F">
        <w:rPr>
          <w:b/>
          <w:lang w:val="en-US"/>
        </w:rPr>
        <w:t>. SKYRIUS</w:t>
      </w:r>
    </w:p>
    <w:p w14:paraId="36325972" w14:textId="0522F462" w:rsidR="002E61CD" w:rsidRPr="0007306F" w:rsidRDefault="002E61CD" w:rsidP="009B386D">
      <w:pPr>
        <w:pStyle w:val="ListParagraph"/>
        <w:tabs>
          <w:tab w:val="left" w:pos="3600"/>
        </w:tabs>
        <w:spacing w:line="22" w:lineRule="atLeast"/>
        <w:ind w:left="0"/>
        <w:jc w:val="center"/>
        <w:rPr>
          <w:b/>
          <w:lang w:val="en-US"/>
        </w:rPr>
      </w:pPr>
      <w:r w:rsidRPr="0007306F">
        <w:rPr>
          <w:b/>
          <w:lang w:val="en-US"/>
        </w:rPr>
        <w:t>PLANUOJAMOS VEIKLOS BEI TERMINAI</w:t>
      </w:r>
    </w:p>
    <w:p w14:paraId="69E25E10" w14:textId="77777777" w:rsidR="002E61CD" w:rsidRPr="0007306F" w:rsidRDefault="002E61CD" w:rsidP="009B386D">
      <w:pPr>
        <w:pStyle w:val="ListParagraph"/>
        <w:tabs>
          <w:tab w:val="left" w:pos="3600"/>
        </w:tabs>
        <w:spacing w:line="22" w:lineRule="atLeast"/>
        <w:ind w:left="0"/>
        <w:jc w:val="center"/>
        <w:rPr>
          <w:b/>
          <w:lang w:val="en-US"/>
        </w:rPr>
      </w:pPr>
    </w:p>
    <w:p w14:paraId="2746D8B4" w14:textId="32E54E39" w:rsidR="002E61CD" w:rsidRPr="0007306F" w:rsidRDefault="002E61CD" w:rsidP="00AD1EF3">
      <w:pPr>
        <w:pStyle w:val="ListParagraph"/>
        <w:numPr>
          <w:ilvl w:val="0"/>
          <w:numId w:val="9"/>
        </w:numPr>
        <w:tabs>
          <w:tab w:val="left" w:pos="567"/>
          <w:tab w:val="left" w:pos="993"/>
        </w:tabs>
        <w:suppressAutoHyphens/>
        <w:autoSpaceDN w:val="0"/>
        <w:spacing w:line="240" w:lineRule="auto"/>
        <w:ind w:left="0" w:firstLine="567"/>
        <w:contextualSpacing w:val="0"/>
        <w:jc w:val="both"/>
        <w:textAlignment w:val="baseline"/>
      </w:pPr>
      <w:bookmarkStart w:id="3" w:name="_Hlk180105705"/>
      <w:r w:rsidRPr="0007306F">
        <w:t>Preliminarus Paslaugų teikimo metu numatomų įgyvendinti veiklų sąrašas:</w:t>
      </w:r>
    </w:p>
    <w:p w14:paraId="5C5A1E47" w14:textId="77777777" w:rsidR="00D74C51" w:rsidRPr="0007306F" w:rsidRDefault="002E61CD" w:rsidP="00AD1EF3">
      <w:pPr>
        <w:pStyle w:val="ListParagraph"/>
        <w:numPr>
          <w:ilvl w:val="0"/>
          <w:numId w:val="14"/>
        </w:numPr>
        <w:tabs>
          <w:tab w:val="left" w:pos="567"/>
          <w:tab w:val="left" w:pos="1134"/>
        </w:tabs>
        <w:suppressAutoHyphens/>
        <w:autoSpaceDN w:val="0"/>
        <w:spacing w:line="240" w:lineRule="auto"/>
        <w:ind w:left="0" w:firstLine="851"/>
        <w:jc w:val="both"/>
        <w:textAlignment w:val="baseline"/>
      </w:pPr>
      <w:r w:rsidRPr="0007306F">
        <w:t>Pasiruošimas migravimui;</w:t>
      </w:r>
    </w:p>
    <w:p w14:paraId="0EC9929F" w14:textId="77777777" w:rsidR="00D74C51" w:rsidRPr="0007306F" w:rsidRDefault="002E61CD" w:rsidP="00AD1EF3">
      <w:pPr>
        <w:pStyle w:val="ListParagraph"/>
        <w:numPr>
          <w:ilvl w:val="0"/>
          <w:numId w:val="14"/>
        </w:numPr>
        <w:tabs>
          <w:tab w:val="left" w:pos="567"/>
          <w:tab w:val="left" w:pos="1134"/>
        </w:tabs>
        <w:suppressAutoHyphens/>
        <w:autoSpaceDN w:val="0"/>
        <w:spacing w:line="240" w:lineRule="auto"/>
        <w:ind w:left="0" w:firstLine="851"/>
        <w:jc w:val="both"/>
        <w:textAlignment w:val="baseline"/>
      </w:pPr>
      <w:r w:rsidRPr="0007306F">
        <w:t xml:space="preserve">Bandomasis DB migravimas su nedideliu duomenų kiekiu (POC – angl. </w:t>
      </w:r>
      <w:proofErr w:type="spellStart"/>
      <w:r w:rsidRPr="0007306F">
        <w:t>Proof</w:t>
      </w:r>
      <w:proofErr w:type="spellEnd"/>
      <w:r w:rsidRPr="0007306F">
        <w:t xml:space="preserve"> </w:t>
      </w:r>
      <w:proofErr w:type="spellStart"/>
      <w:r w:rsidRPr="0007306F">
        <w:t>Of</w:t>
      </w:r>
      <w:proofErr w:type="spellEnd"/>
      <w:r w:rsidRPr="0007306F">
        <w:t xml:space="preserve"> </w:t>
      </w:r>
      <w:proofErr w:type="spellStart"/>
      <w:r w:rsidRPr="0007306F">
        <w:t>Concept</w:t>
      </w:r>
      <w:proofErr w:type="spellEnd"/>
      <w:r w:rsidRPr="0007306F">
        <w:t>);</w:t>
      </w:r>
    </w:p>
    <w:p w14:paraId="6C6C88EA" w14:textId="77777777" w:rsidR="00D74C51" w:rsidRPr="0007306F" w:rsidRDefault="002E61CD" w:rsidP="00AD1EF3">
      <w:pPr>
        <w:pStyle w:val="ListParagraph"/>
        <w:numPr>
          <w:ilvl w:val="0"/>
          <w:numId w:val="14"/>
        </w:numPr>
        <w:tabs>
          <w:tab w:val="left" w:pos="567"/>
          <w:tab w:val="left" w:pos="1134"/>
        </w:tabs>
        <w:suppressAutoHyphens/>
        <w:autoSpaceDN w:val="0"/>
        <w:spacing w:line="240" w:lineRule="auto"/>
        <w:ind w:left="0" w:firstLine="851"/>
        <w:jc w:val="both"/>
        <w:textAlignment w:val="baseline"/>
      </w:pPr>
      <w:r w:rsidRPr="0007306F">
        <w:t>Migravimo planų visoms DB paruošimas;</w:t>
      </w:r>
    </w:p>
    <w:p w14:paraId="1D5CDD5C" w14:textId="77777777" w:rsidR="00D74C51" w:rsidRPr="0007306F" w:rsidRDefault="002E61CD" w:rsidP="00AD1EF3">
      <w:pPr>
        <w:pStyle w:val="ListParagraph"/>
        <w:numPr>
          <w:ilvl w:val="0"/>
          <w:numId w:val="14"/>
        </w:numPr>
        <w:tabs>
          <w:tab w:val="left" w:pos="567"/>
          <w:tab w:val="left" w:pos="1134"/>
        </w:tabs>
        <w:suppressAutoHyphens/>
        <w:autoSpaceDN w:val="0"/>
        <w:spacing w:line="240" w:lineRule="auto"/>
        <w:ind w:left="0" w:firstLine="851"/>
        <w:jc w:val="both"/>
        <w:textAlignment w:val="baseline"/>
      </w:pPr>
      <w:r w:rsidRPr="0007306F">
        <w:t xml:space="preserve">Atstatymo (angl. </w:t>
      </w:r>
      <w:proofErr w:type="spellStart"/>
      <w:r w:rsidRPr="0007306F">
        <w:t>rollback</w:t>
      </w:r>
      <w:proofErr w:type="spellEnd"/>
      <w:r w:rsidRPr="0007306F">
        <w:t>) planų visoms migruojančioms DB paruošimas;</w:t>
      </w:r>
    </w:p>
    <w:p w14:paraId="21FDD371" w14:textId="77777777" w:rsidR="00D74C51" w:rsidRPr="0007306F" w:rsidRDefault="002E61CD" w:rsidP="00AD1EF3">
      <w:pPr>
        <w:pStyle w:val="ListParagraph"/>
        <w:numPr>
          <w:ilvl w:val="0"/>
          <w:numId w:val="14"/>
        </w:numPr>
        <w:tabs>
          <w:tab w:val="left" w:pos="567"/>
          <w:tab w:val="left" w:pos="1134"/>
        </w:tabs>
        <w:suppressAutoHyphens/>
        <w:autoSpaceDN w:val="0"/>
        <w:spacing w:line="240" w:lineRule="auto"/>
        <w:ind w:left="0" w:firstLine="851"/>
        <w:jc w:val="both"/>
        <w:textAlignment w:val="baseline"/>
      </w:pPr>
      <w:r w:rsidRPr="0007306F">
        <w:t>Bandomasis gamybinių DB migravimas;</w:t>
      </w:r>
    </w:p>
    <w:p w14:paraId="478AA97D" w14:textId="77777777" w:rsidR="00D74C51" w:rsidRPr="0007306F" w:rsidRDefault="002E61CD" w:rsidP="00AD1EF3">
      <w:pPr>
        <w:pStyle w:val="ListParagraph"/>
        <w:numPr>
          <w:ilvl w:val="0"/>
          <w:numId w:val="14"/>
        </w:numPr>
        <w:tabs>
          <w:tab w:val="left" w:pos="567"/>
          <w:tab w:val="left" w:pos="1134"/>
        </w:tabs>
        <w:suppressAutoHyphens/>
        <w:autoSpaceDN w:val="0"/>
        <w:spacing w:line="240" w:lineRule="auto"/>
        <w:ind w:left="0" w:firstLine="851"/>
        <w:jc w:val="both"/>
        <w:textAlignment w:val="baseline"/>
      </w:pPr>
      <w:r w:rsidRPr="0007306F">
        <w:t>Migravimo rezultatų patikra;</w:t>
      </w:r>
    </w:p>
    <w:p w14:paraId="5F1D44DE" w14:textId="77777777" w:rsidR="00D74C51" w:rsidRPr="0007306F" w:rsidRDefault="002E61CD" w:rsidP="00AD1EF3">
      <w:pPr>
        <w:pStyle w:val="ListParagraph"/>
        <w:numPr>
          <w:ilvl w:val="0"/>
          <w:numId w:val="14"/>
        </w:numPr>
        <w:tabs>
          <w:tab w:val="left" w:pos="567"/>
          <w:tab w:val="left" w:pos="1134"/>
        </w:tabs>
        <w:suppressAutoHyphens/>
        <w:autoSpaceDN w:val="0"/>
        <w:spacing w:line="240" w:lineRule="auto"/>
        <w:ind w:left="0" w:firstLine="851"/>
        <w:jc w:val="both"/>
        <w:textAlignment w:val="baseline"/>
      </w:pPr>
      <w:r w:rsidRPr="0007306F">
        <w:t>Identifikuotų problemų šalinimas;</w:t>
      </w:r>
    </w:p>
    <w:p w14:paraId="71D9E3B7" w14:textId="10D1720A" w:rsidR="00D74C51" w:rsidRPr="0007306F" w:rsidRDefault="002E61CD" w:rsidP="00AD1EF3">
      <w:pPr>
        <w:pStyle w:val="ListParagraph"/>
        <w:numPr>
          <w:ilvl w:val="0"/>
          <w:numId w:val="14"/>
        </w:numPr>
        <w:tabs>
          <w:tab w:val="left" w:pos="567"/>
          <w:tab w:val="left" w:pos="1134"/>
        </w:tabs>
        <w:suppressAutoHyphens/>
        <w:autoSpaceDN w:val="0"/>
        <w:spacing w:line="240" w:lineRule="auto"/>
        <w:ind w:left="0" w:firstLine="851"/>
        <w:jc w:val="both"/>
        <w:textAlignment w:val="baseline"/>
      </w:pPr>
      <w:r w:rsidRPr="0007306F">
        <w:t xml:space="preserve">Konsultavimas DB migravimo metu visose aplinkose (DEV, TEST, PROD, </w:t>
      </w:r>
      <w:proofErr w:type="spellStart"/>
      <w:r w:rsidRPr="0007306F">
        <w:t>PreP</w:t>
      </w:r>
      <w:r w:rsidR="00C450AA" w:rsidRPr="0007306F">
        <w:t>r</w:t>
      </w:r>
      <w:r w:rsidRPr="0007306F">
        <w:t>od</w:t>
      </w:r>
      <w:proofErr w:type="spellEnd"/>
      <w:r w:rsidRPr="0007306F">
        <w:t>);</w:t>
      </w:r>
    </w:p>
    <w:p w14:paraId="6786E212" w14:textId="661366FA" w:rsidR="002E61CD" w:rsidRPr="0007306F" w:rsidRDefault="002E61CD" w:rsidP="00AD1EF3">
      <w:pPr>
        <w:pStyle w:val="ListParagraph"/>
        <w:numPr>
          <w:ilvl w:val="0"/>
          <w:numId w:val="14"/>
        </w:numPr>
        <w:tabs>
          <w:tab w:val="left" w:pos="567"/>
          <w:tab w:val="left" w:pos="1134"/>
        </w:tabs>
        <w:suppressAutoHyphens/>
        <w:autoSpaceDN w:val="0"/>
        <w:spacing w:line="240" w:lineRule="auto"/>
        <w:ind w:left="0" w:firstLine="851"/>
        <w:jc w:val="both"/>
        <w:textAlignment w:val="baseline"/>
      </w:pPr>
      <w:r w:rsidRPr="0007306F">
        <w:t>Palaikymo (garantijos) laikotarpis po migravimo.</w:t>
      </w:r>
    </w:p>
    <w:p w14:paraId="4F095999" w14:textId="6EF4D3DA" w:rsidR="002E61CD" w:rsidRPr="0007306F" w:rsidRDefault="002E61CD" w:rsidP="00AD1EF3">
      <w:pPr>
        <w:pStyle w:val="ListParagraph"/>
        <w:numPr>
          <w:ilvl w:val="0"/>
          <w:numId w:val="9"/>
        </w:numPr>
        <w:tabs>
          <w:tab w:val="left" w:pos="567"/>
          <w:tab w:val="left" w:pos="993"/>
        </w:tabs>
        <w:suppressAutoHyphens/>
        <w:autoSpaceDN w:val="0"/>
        <w:spacing w:line="240" w:lineRule="auto"/>
        <w:ind w:left="0" w:firstLine="567"/>
        <w:contextualSpacing w:val="0"/>
        <w:jc w:val="both"/>
        <w:textAlignment w:val="baseline"/>
      </w:pPr>
      <w:r w:rsidRPr="0007306F">
        <w:t>Tikslus migravimo veiklų sąrašas bus sudarytas po bandomojo DB migravimo ir turės būti patikslintas bei suderintas el. p</w:t>
      </w:r>
      <w:r w:rsidR="00AD1EF3" w:rsidRPr="0007306F">
        <w:t>aštu</w:t>
      </w:r>
      <w:r w:rsidRPr="0007306F">
        <w:t xml:space="preserve"> iki migravimo planų visoms DB paruošimo</w:t>
      </w:r>
      <w:bookmarkEnd w:id="3"/>
      <w:r w:rsidRPr="0007306F">
        <w:t xml:space="preserve">. </w:t>
      </w:r>
      <w:r w:rsidR="00290985">
        <w:t>Žemiau pateiktoje lentelėje nurodytas preliminarus veiklų įgyvendinimo grafikas.</w:t>
      </w:r>
    </w:p>
    <w:p w14:paraId="1E092865" w14:textId="77777777" w:rsidR="002E61CD" w:rsidRPr="0007306F" w:rsidRDefault="002E61CD" w:rsidP="002E61CD">
      <w:pPr>
        <w:pStyle w:val="ListParagraph"/>
        <w:tabs>
          <w:tab w:val="left" w:pos="851"/>
        </w:tabs>
        <w:spacing w:line="240" w:lineRule="auto"/>
        <w:ind w:left="585"/>
        <w:contextualSpacing w:val="0"/>
        <w:jc w:val="both"/>
      </w:pPr>
    </w:p>
    <w:p w14:paraId="3FFB3B64" w14:textId="4AE82A2A" w:rsidR="002E61CD" w:rsidRPr="0007306F" w:rsidRDefault="002E61CD" w:rsidP="00433235">
      <w:pPr>
        <w:pStyle w:val="ListParagraph"/>
        <w:suppressAutoHyphens/>
        <w:autoSpaceDN w:val="0"/>
        <w:spacing w:line="276" w:lineRule="auto"/>
        <w:ind w:left="2982" w:firstLine="1413"/>
        <w:jc w:val="center"/>
        <w:textAlignment w:val="baseline"/>
      </w:pPr>
      <w:r w:rsidRPr="0007306F">
        <w:rPr>
          <w:lang w:val="en-US"/>
        </w:rPr>
        <w:t>3</w:t>
      </w:r>
      <w:r w:rsidRPr="0007306F">
        <w:t xml:space="preserve"> lentelė: </w:t>
      </w:r>
      <w:r w:rsidR="00433235" w:rsidRPr="00433235">
        <w:t>preliminarus veiklų įgyvendinimo grafikas</w:t>
      </w:r>
      <w:r w:rsidRPr="0007306F">
        <w:t>.</w:t>
      </w:r>
    </w:p>
    <w:tbl>
      <w:tblPr>
        <w:tblW w:w="9381"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1637"/>
        <w:gridCol w:w="1228"/>
        <w:gridCol w:w="1228"/>
        <w:gridCol w:w="1739"/>
      </w:tblGrid>
      <w:tr w:rsidR="008962C4" w:rsidRPr="0007306F" w14:paraId="76E12BCB" w14:textId="77777777" w:rsidTr="00D36906">
        <w:trPr>
          <w:trHeight w:val="315"/>
        </w:trPr>
        <w:tc>
          <w:tcPr>
            <w:tcW w:w="3826" w:type="dxa"/>
            <w:tcMar>
              <w:left w:w="108" w:type="dxa"/>
              <w:right w:w="108" w:type="dxa"/>
            </w:tcMar>
            <w:vAlign w:val="center"/>
          </w:tcPr>
          <w:p w14:paraId="242247A4" w14:textId="217DE062" w:rsidR="002E61CD" w:rsidRPr="00D36906" w:rsidRDefault="001940A9" w:rsidP="00556C7C">
            <w:pPr>
              <w:rPr>
                <w:b/>
                <w:bCs/>
              </w:rPr>
            </w:pPr>
            <w:r w:rsidRPr="00D36906">
              <w:rPr>
                <w:b/>
                <w:bCs/>
              </w:rPr>
              <w:t>Etapo pavadinimas</w:t>
            </w:r>
          </w:p>
        </w:tc>
        <w:tc>
          <w:tcPr>
            <w:tcW w:w="1663" w:type="dxa"/>
            <w:tcMar>
              <w:left w:w="108" w:type="dxa"/>
              <w:right w:w="108" w:type="dxa"/>
            </w:tcMar>
            <w:vAlign w:val="center"/>
          </w:tcPr>
          <w:p w14:paraId="44C6C6E4" w14:textId="29B49845" w:rsidR="003C51E0" w:rsidRDefault="003C51E0" w:rsidP="00556C7C">
            <w:pPr>
              <w:jc w:val="center"/>
              <w:rPr>
                <w:rFonts w:eastAsia="Tahoma"/>
                <w:b/>
                <w:bCs/>
                <w:color w:val="000000" w:themeColor="text1"/>
                <w:lang w:val="en-US"/>
              </w:rPr>
            </w:pPr>
            <w:r>
              <w:rPr>
                <w:rFonts w:eastAsia="Tahoma"/>
                <w:b/>
                <w:bCs/>
                <w:color w:val="000000" w:themeColor="text1"/>
                <w:lang w:val="en-US"/>
              </w:rPr>
              <w:t xml:space="preserve">I </w:t>
            </w:r>
            <w:r w:rsidRPr="007D539F">
              <w:rPr>
                <w:rFonts w:eastAsia="Tahoma"/>
                <w:b/>
                <w:bCs/>
                <w:color w:val="000000" w:themeColor="text1"/>
              </w:rPr>
              <w:t>etapas</w:t>
            </w:r>
          </w:p>
          <w:p w14:paraId="2AF64107" w14:textId="0B744931" w:rsidR="002E61CD" w:rsidRPr="0007306F" w:rsidRDefault="00E33C3F" w:rsidP="00556C7C">
            <w:pPr>
              <w:jc w:val="center"/>
              <w:rPr>
                <w:b/>
                <w:bCs/>
              </w:rPr>
            </w:pPr>
            <w:r>
              <w:rPr>
                <w:rFonts w:eastAsia="Tahoma"/>
                <w:b/>
                <w:bCs/>
                <w:color w:val="000000" w:themeColor="text1"/>
                <w:lang w:val="en-US"/>
              </w:rPr>
              <w:t>4</w:t>
            </w:r>
            <w:r w:rsidR="00F443A0" w:rsidRPr="0007306F">
              <w:rPr>
                <w:rFonts w:eastAsia="Tahoma"/>
                <w:b/>
                <w:bCs/>
                <w:color w:val="000000" w:themeColor="text1"/>
              </w:rPr>
              <w:t xml:space="preserve"> mėn.</w:t>
            </w:r>
            <w:r w:rsidR="003C51E0">
              <w:rPr>
                <w:rFonts w:eastAsia="Tahoma"/>
                <w:b/>
                <w:bCs/>
                <w:color w:val="000000" w:themeColor="text1"/>
              </w:rPr>
              <w:t xml:space="preserve"> nuo sutarties pasirašymo</w:t>
            </w:r>
          </w:p>
        </w:tc>
        <w:tc>
          <w:tcPr>
            <w:tcW w:w="1231" w:type="dxa"/>
            <w:tcMar>
              <w:left w:w="108" w:type="dxa"/>
              <w:right w:w="108" w:type="dxa"/>
            </w:tcMar>
            <w:vAlign w:val="center"/>
          </w:tcPr>
          <w:p w14:paraId="2205CA9C" w14:textId="4BF2B880" w:rsidR="003C51E0" w:rsidRDefault="003C51E0" w:rsidP="00556C7C">
            <w:pPr>
              <w:jc w:val="center"/>
              <w:rPr>
                <w:b/>
                <w:bCs/>
              </w:rPr>
            </w:pPr>
            <w:r>
              <w:rPr>
                <w:b/>
                <w:bCs/>
              </w:rPr>
              <w:t>II etapas</w:t>
            </w:r>
          </w:p>
          <w:p w14:paraId="07BED6FC" w14:textId="66B08153" w:rsidR="002E61CD" w:rsidRPr="0007306F" w:rsidRDefault="00F443A0" w:rsidP="00556C7C">
            <w:pPr>
              <w:jc w:val="center"/>
              <w:rPr>
                <w:b/>
                <w:bCs/>
              </w:rPr>
            </w:pPr>
            <w:r w:rsidRPr="0007306F">
              <w:rPr>
                <w:b/>
                <w:bCs/>
              </w:rPr>
              <w:t>3 mėn.</w:t>
            </w:r>
            <w:r w:rsidR="003C51E0">
              <w:rPr>
                <w:b/>
                <w:bCs/>
              </w:rPr>
              <w:t xml:space="preserve"> nuo I etapo pabaigos</w:t>
            </w:r>
          </w:p>
        </w:tc>
        <w:tc>
          <w:tcPr>
            <w:tcW w:w="1231" w:type="dxa"/>
            <w:vAlign w:val="center"/>
          </w:tcPr>
          <w:p w14:paraId="27EA883C" w14:textId="1A76E741" w:rsidR="003C51E0" w:rsidRDefault="003C51E0" w:rsidP="00556C7C">
            <w:pPr>
              <w:jc w:val="center"/>
              <w:rPr>
                <w:rFonts w:eastAsia="Tahoma"/>
                <w:b/>
                <w:bCs/>
                <w:color w:val="000000" w:themeColor="text1"/>
              </w:rPr>
            </w:pPr>
            <w:r>
              <w:rPr>
                <w:rFonts w:eastAsia="Tahoma"/>
                <w:b/>
                <w:bCs/>
                <w:color w:val="000000" w:themeColor="text1"/>
              </w:rPr>
              <w:t>III etapas</w:t>
            </w:r>
          </w:p>
          <w:p w14:paraId="1C627E8B" w14:textId="67912F90" w:rsidR="002E61CD" w:rsidRPr="00694B66" w:rsidRDefault="00702AD0" w:rsidP="00556C7C">
            <w:pPr>
              <w:jc w:val="center"/>
              <w:rPr>
                <w:rFonts w:eastAsia="Tahoma"/>
                <w:b/>
                <w:bCs/>
                <w:color w:val="000000" w:themeColor="text1"/>
              </w:rPr>
            </w:pPr>
            <w:r>
              <w:rPr>
                <w:rFonts w:eastAsia="Tahoma"/>
                <w:b/>
                <w:bCs/>
                <w:color w:val="000000" w:themeColor="text1"/>
              </w:rPr>
              <w:t>2</w:t>
            </w:r>
            <w:r w:rsidR="00F443A0" w:rsidRPr="0007306F">
              <w:rPr>
                <w:rFonts w:eastAsia="Tahoma"/>
                <w:b/>
                <w:bCs/>
                <w:color w:val="000000" w:themeColor="text1"/>
              </w:rPr>
              <w:t xml:space="preserve"> mėn.</w:t>
            </w:r>
            <w:r w:rsidR="003C51E0">
              <w:rPr>
                <w:rFonts w:eastAsia="Tahoma"/>
                <w:b/>
                <w:bCs/>
                <w:color w:val="000000" w:themeColor="text1"/>
              </w:rPr>
              <w:t xml:space="preserve"> nuo II etapo pabaigos</w:t>
            </w:r>
          </w:p>
        </w:tc>
        <w:tc>
          <w:tcPr>
            <w:tcW w:w="1430" w:type="dxa"/>
            <w:tcMar>
              <w:left w:w="108" w:type="dxa"/>
              <w:right w:w="108" w:type="dxa"/>
            </w:tcMar>
            <w:vAlign w:val="center"/>
          </w:tcPr>
          <w:p w14:paraId="099D6966" w14:textId="4A6E6399" w:rsidR="002E61CD" w:rsidRPr="0007306F" w:rsidRDefault="008962C4" w:rsidP="00556C7C">
            <w:pPr>
              <w:jc w:val="both"/>
            </w:pPr>
            <w:r>
              <w:rPr>
                <w:rFonts w:eastAsia="Tahoma"/>
                <w:b/>
                <w:bCs/>
                <w:color w:val="000000" w:themeColor="text1"/>
              </w:rPr>
              <w:t>Perkančiosios organizacijos preliminarūs skaičiavimai paslaugų atlikimui</w:t>
            </w:r>
            <w:r w:rsidR="00A874A3">
              <w:rPr>
                <w:rFonts w:eastAsia="Tahoma"/>
                <w:b/>
                <w:bCs/>
                <w:color w:val="000000" w:themeColor="text1"/>
              </w:rPr>
              <w:t>,</w:t>
            </w:r>
            <w:r w:rsidR="001940A9">
              <w:rPr>
                <w:rFonts w:eastAsia="Tahoma"/>
                <w:b/>
                <w:bCs/>
                <w:color w:val="000000" w:themeColor="text1"/>
              </w:rPr>
              <w:t xml:space="preserve"> </w:t>
            </w:r>
            <w:r w:rsidR="002E61CD" w:rsidRPr="0007306F">
              <w:rPr>
                <w:rFonts w:eastAsia="Tahoma"/>
                <w:b/>
                <w:bCs/>
                <w:color w:val="000000" w:themeColor="text1"/>
              </w:rPr>
              <w:t>val.</w:t>
            </w:r>
          </w:p>
        </w:tc>
      </w:tr>
      <w:tr w:rsidR="008962C4" w:rsidRPr="0007306F" w14:paraId="63717B0E" w14:textId="77777777" w:rsidTr="00D36906">
        <w:trPr>
          <w:trHeight w:val="585"/>
        </w:trPr>
        <w:tc>
          <w:tcPr>
            <w:tcW w:w="3826" w:type="dxa"/>
            <w:tcMar>
              <w:left w:w="108" w:type="dxa"/>
              <w:right w:w="108" w:type="dxa"/>
            </w:tcMar>
            <w:vAlign w:val="center"/>
          </w:tcPr>
          <w:p w14:paraId="3759FE5C" w14:textId="760725BA" w:rsidR="002E61CD" w:rsidRPr="0007306F" w:rsidRDefault="00E33C3F" w:rsidP="00556C7C">
            <w:pPr>
              <w:jc w:val="both"/>
            </w:pPr>
            <w:r>
              <w:rPr>
                <w:rFonts w:eastAsia="Tahoma"/>
                <w:b/>
                <w:bCs/>
                <w:color w:val="000000" w:themeColor="text1"/>
              </w:rPr>
              <w:t>Specialistų įtraukimas, p</w:t>
            </w:r>
            <w:r w:rsidR="002E61CD" w:rsidRPr="0007306F">
              <w:rPr>
                <w:rFonts w:eastAsia="Tahoma"/>
                <w:b/>
                <w:bCs/>
                <w:color w:val="000000" w:themeColor="text1"/>
              </w:rPr>
              <w:t>asiruošimas migravimui</w:t>
            </w:r>
          </w:p>
        </w:tc>
        <w:tc>
          <w:tcPr>
            <w:tcW w:w="1663" w:type="dxa"/>
            <w:shd w:val="clear" w:color="auto" w:fill="9CC2E5" w:themeFill="accent1" w:themeFillTint="99"/>
            <w:tcMar>
              <w:left w:w="108" w:type="dxa"/>
              <w:right w:w="108" w:type="dxa"/>
            </w:tcMar>
            <w:vAlign w:val="center"/>
          </w:tcPr>
          <w:p w14:paraId="127FF3C1" w14:textId="79B17EB0" w:rsidR="002E61CD" w:rsidRPr="0007306F" w:rsidRDefault="002E61CD" w:rsidP="003B5E69">
            <w:pPr>
              <w:jc w:val="center"/>
            </w:pPr>
          </w:p>
        </w:tc>
        <w:tc>
          <w:tcPr>
            <w:tcW w:w="1231" w:type="dxa"/>
            <w:shd w:val="clear" w:color="auto" w:fill="auto"/>
            <w:tcMar>
              <w:left w:w="108" w:type="dxa"/>
              <w:right w:w="108" w:type="dxa"/>
            </w:tcMar>
            <w:vAlign w:val="center"/>
          </w:tcPr>
          <w:p w14:paraId="51B6EEE8" w14:textId="29562CBC" w:rsidR="002E61CD" w:rsidRPr="0007306F" w:rsidRDefault="003C51E0" w:rsidP="003B5E69">
            <w:pPr>
              <w:jc w:val="center"/>
            </w:pPr>
            <w:r>
              <w:rPr>
                <w:rFonts w:eastAsia="Tahoma"/>
                <w:b/>
                <w:bCs/>
                <w:color w:val="000000" w:themeColor="text1"/>
              </w:rPr>
              <w:t>-</w:t>
            </w:r>
          </w:p>
        </w:tc>
        <w:tc>
          <w:tcPr>
            <w:tcW w:w="1231" w:type="dxa"/>
            <w:vAlign w:val="center"/>
          </w:tcPr>
          <w:p w14:paraId="71F8122B" w14:textId="77C0C2EF" w:rsidR="002E61CD" w:rsidRPr="0007306F" w:rsidRDefault="003C51E0" w:rsidP="003C51E0">
            <w:pPr>
              <w:jc w:val="center"/>
            </w:pPr>
            <w:r>
              <w:t>-</w:t>
            </w:r>
          </w:p>
        </w:tc>
        <w:tc>
          <w:tcPr>
            <w:tcW w:w="1430" w:type="dxa"/>
            <w:tcMar>
              <w:left w:w="108" w:type="dxa"/>
              <w:right w:w="108" w:type="dxa"/>
            </w:tcMar>
            <w:vAlign w:val="center"/>
          </w:tcPr>
          <w:p w14:paraId="54DDFE4C" w14:textId="746577E0" w:rsidR="002E61CD" w:rsidRPr="002166C2" w:rsidRDefault="0048472F" w:rsidP="00556C7C">
            <w:pPr>
              <w:jc w:val="center"/>
              <w:rPr>
                <w:b/>
                <w:bCs/>
                <w:lang w:val="en-US"/>
              </w:rPr>
            </w:pPr>
            <w:r>
              <w:rPr>
                <w:b/>
                <w:bCs/>
              </w:rPr>
              <w:t>1</w:t>
            </w:r>
            <w:r>
              <w:rPr>
                <w:b/>
                <w:bCs/>
                <w:lang w:val="en-US"/>
              </w:rPr>
              <w:t>20</w:t>
            </w:r>
          </w:p>
        </w:tc>
      </w:tr>
      <w:tr w:rsidR="008962C4" w:rsidRPr="0007306F" w14:paraId="32613D2E" w14:textId="77777777" w:rsidTr="00D36906">
        <w:trPr>
          <w:trHeight w:val="570"/>
        </w:trPr>
        <w:tc>
          <w:tcPr>
            <w:tcW w:w="3826" w:type="dxa"/>
            <w:tcMar>
              <w:left w:w="108" w:type="dxa"/>
              <w:right w:w="108" w:type="dxa"/>
            </w:tcMar>
            <w:vAlign w:val="center"/>
          </w:tcPr>
          <w:p w14:paraId="138AB2F0" w14:textId="77777777" w:rsidR="002E61CD" w:rsidRPr="0007306F" w:rsidRDefault="002E61CD" w:rsidP="00556C7C">
            <w:pPr>
              <w:jc w:val="both"/>
            </w:pPr>
            <w:r w:rsidRPr="0007306F">
              <w:rPr>
                <w:rFonts w:eastAsia="Tahoma"/>
                <w:b/>
                <w:bCs/>
                <w:color w:val="000000" w:themeColor="text1"/>
              </w:rPr>
              <w:t>Konsultavimas duomenų bazių migravimo metu (</w:t>
            </w:r>
            <w:proofErr w:type="spellStart"/>
            <w:r w:rsidRPr="0007306F">
              <w:rPr>
                <w:rFonts w:eastAsia="Tahoma"/>
                <w:b/>
                <w:bCs/>
                <w:color w:val="000000" w:themeColor="text1"/>
              </w:rPr>
              <w:t>Dev</w:t>
            </w:r>
            <w:proofErr w:type="spellEnd"/>
            <w:r w:rsidRPr="0007306F">
              <w:rPr>
                <w:rFonts w:eastAsia="Tahoma"/>
                <w:b/>
                <w:bCs/>
                <w:color w:val="000000" w:themeColor="text1"/>
              </w:rPr>
              <w:t xml:space="preserve">, </w:t>
            </w:r>
            <w:proofErr w:type="spellStart"/>
            <w:r w:rsidRPr="0007306F">
              <w:rPr>
                <w:rFonts w:eastAsia="Tahoma"/>
                <w:b/>
                <w:bCs/>
                <w:color w:val="000000" w:themeColor="text1"/>
              </w:rPr>
              <w:t>test</w:t>
            </w:r>
            <w:proofErr w:type="spellEnd"/>
            <w:r w:rsidRPr="0007306F">
              <w:rPr>
                <w:rFonts w:eastAsia="Tahoma"/>
                <w:b/>
                <w:bCs/>
                <w:color w:val="000000" w:themeColor="text1"/>
              </w:rPr>
              <w:t xml:space="preserve"> aplinkos)</w:t>
            </w:r>
          </w:p>
        </w:tc>
        <w:tc>
          <w:tcPr>
            <w:tcW w:w="1663" w:type="dxa"/>
            <w:shd w:val="clear" w:color="auto" w:fill="9CC2E5" w:themeFill="accent1" w:themeFillTint="99"/>
            <w:tcMar>
              <w:left w:w="108" w:type="dxa"/>
              <w:right w:w="108" w:type="dxa"/>
            </w:tcMar>
            <w:vAlign w:val="center"/>
          </w:tcPr>
          <w:p w14:paraId="4AFF556A" w14:textId="69FEF971" w:rsidR="002E61CD" w:rsidRPr="0007306F" w:rsidRDefault="002E61CD" w:rsidP="003B5E69">
            <w:pPr>
              <w:jc w:val="center"/>
            </w:pPr>
          </w:p>
        </w:tc>
        <w:tc>
          <w:tcPr>
            <w:tcW w:w="1231" w:type="dxa"/>
            <w:shd w:val="clear" w:color="auto" w:fill="9CC2E5" w:themeFill="accent1" w:themeFillTint="99"/>
            <w:tcMar>
              <w:left w:w="108" w:type="dxa"/>
              <w:right w:w="108" w:type="dxa"/>
            </w:tcMar>
            <w:vAlign w:val="center"/>
          </w:tcPr>
          <w:p w14:paraId="407C8E23" w14:textId="75B45963" w:rsidR="002E61CD" w:rsidRPr="0007306F" w:rsidRDefault="002E61CD" w:rsidP="003B5E69">
            <w:pPr>
              <w:jc w:val="center"/>
            </w:pPr>
          </w:p>
        </w:tc>
        <w:tc>
          <w:tcPr>
            <w:tcW w:w="1231" w:type="dxa"/>
            <w:vAlign w:val="center"/>
          </w:tcPr>
          <w:p w14:paraId="0565AB43" w14:textId="350104FB" w:rsidR="002E61CD" w:rsidRPr="0007306F" w:rsidRDefault="003C51E0" w:rsidP="003C51E0">
            <w:pPr>
              <w:jc w:val="center"/>
            </w:pPr>
            <w:r>
              <w:t>-</w:t>
            </w:r>
          </w:p>
        </w:tc>
        <w:tc>
          <w:tcPr>
            <w:tcW w:w="1430" w:type="dxa"/>
            <w:tcMar>
              <w:left w:w="108" w:type="dxa"/>
              <w:right w:w="108" w:type="dxa"/>
            </w:tcMar>
            <w:vAlign w:val="center"/>
          </w:tcPr>
          <w:p w14:paraId="2867D4F3" w14:textId="73B4B2CD" w:rsidR="002E61CD" w:rsidRPr="0007306F" w:rsidRDefault="00816B03" w:rsidP="00556C7C">
            <w:pPr>
              <w:jc w:val="center"/>
              <w:rPr>
                <w:b/>
                <w:bCs/>
              </w:rPr>
            </w:pPr>
            <w:r>
              <w:rPr>
                <w:b/>
                <w:bCs/>
              </w:rPr>
              <w:t>2</w:t>
            </w:r>
            <w:r w:rsidR="0048472F">
              <w:rPr>
                <w:b/>
                <w:bCs/>
              </w:rPr>
              <w:t>00</w:t>
            </w:r>
          </w:p>
        </w:tc>
      </w:tr>
      <w:tr w:rsidR="008962C4" w:rsidRPr="0007306F" w14:paraId="4FABDCA0" w14:textId="77777777" w:rsidTr="00D36906">
        <w:trPr>
          <w:trHeight w:val="615"/>
        </w:trPr>
        <w:tc>
          <w:tcPr>
            <w:tcW w:w="3826" w:type="dxa"/>
            <w:tcMar>
              <w:left w:w="108" w:type="dxa"/>
              <w:right w:w="108" w:type="dxa"/>
            </w:tcMar>
            <w:vAlign w:val="center"/>
          </w:tcPr>
          <w:p w14:paraId="5774CB73" w14:textId="77777777" w:rsidR="002E61CD" w:rsidRPr="0007306F" w:rsidRDefault="002E61CD" w:rsidP="00556C7C">
            <w:pPr>
              <w:jc w:val="both"/>
            </w:pPr>
            <w:r w:rsidRPr="0007306F">
              <w:rPr>
                <w:rFonts w:eastAsia="Tahoma"/>
                <w:b/>
                <w:bCs/>
                <w:color w:val="000000" w:themeColor="text1"/>
              </w:rPr>
              <w:t>Konsultavimas duomenų bazių migravimo metu (</w:t>
            </w:r>
            <w:proofErr w:type="spellStart"/>
            <w:r w:rsidRPr="0007306F">
              <w:rPr>
                <w:rFonts w:eastAsia="Tahoma"/>
                <w:b/>
                <w:bCs/>
                <w:color w:val="000000" w:themeColor="text1"/>
              </w:rPr>
              <w:t>preprod</w:t>
            </w:r>
            <w:proofErr w:type="spellEnd"/>
            <w:r w:rsidRPr="0007306F">
              <w:rPr>
                <w:rFonts w:eastAsia="Tahoma"/>
                <w:b/>
                <w:bCs/>
                <w:color w:val="000000" w:themeColor="text1"/>
              </w:rPr>
              <w:t xml:space="preserve">, </w:t>
            </w:r>
            <w:proofErr w:type="spellStart"/>
            <w:r w:rsidRPr="0007306F">
              <w:rPr>
                <w:rFonts w:eastAsia="Tahoma"/>
                <w:b/>
                <w:bCs/>
                <w:color w:val="000000" w:themeColor="text1"/>
              </w:rPr>
              <w:t>prod</w:t>
            </w:r>
            <w:proofErr w:type="spellEnd"/>
            <w:r w:rsidRPr="0007306F">
              <w:rPr>
                <w:rFonts w:eastAsia="Tahoma"/>
                <w:b/>
                <w:bCs/>
                <w:color w:val="000000" w:themeColor="text1"/>
              </w:rPr>
              <w:t xml:space="preserve"> aplinkos)</w:t>
            </w:r>
          </w:p>
        </w:tc>
        <w:tc>
          <w:tcPr>
            <w:tcW w:w="1663" w:type="dxa"/>
            <w:tcMar>
              <w:left w:w="108" w:type="dxa"/>
              <w:right w:w="108" w:type="dxa"/>
            </w:tcMar>
            <w:vAlign w:val="center"/>
          </w:tcPr>
          <w:p w14:paraId="36ADEE65" w14:textId="22D6160A" w:rsidR="002E61CD" w:rsidRPr="0007306F" w:rsidRDefault="003C51E0" w:rsidP="003B5E69">
            <w:pPr>
              <w:jc w:val="center"/>
            </w:pPr>
            <w:r>
              <w:rPr>
                <w:rFonts w:eastAsia="Tahoma"/>
                <w:b/>
                <w:bCs/>
                <w:color w:val="000000" w:themeColor="text1"/>
              </w:rPr>
              <w:t>-</w:t>
            </w:r>
          </w:p>
        </w:tc>
        <w:tc>
          <w:tcPr>
            <w:tcW w:w="1231" w:type="dxa"/>
            <w:shd w:val="clear" w:color="auto" w:fill="9CC2E5" w:themeFill="accent1" w:themeFillTint="99"/>
            <w:tcMar>
              <w:left w:w="108" w:type="dxa"/>
              <w:right w:w="108" w:type="dxa"/>
            </w:tcMar>
            <w:vAlign w:val="center"/>
          </w:tcPr>
          <w:p w14:paraId="499F5695" w14:textId="0A1846D7" w:rsidR="002E61CD" w:rsidRPr="0007306F" w:rsidRDefault="002E61CD" w:rsidP="003B5E69">
            <w:pPr>
              <w:jc w:val="center"/>
            </w:pPr>
          </w:p>
        </w:tc>
        <w:tc>
          <w:tcPr>
            <w:tcW w:w="1231" w:type="dxa"/>
            <w:vAlign w:val="center"/>
          </w:tcPr>
          <w:p w14:paraId="00C96D52" w14:textId="6B30C70B" w:rsidR="002E61CD" w:rsidRPr="0007306F" w:rsidRDefault="003C51E0" w:rsidP="003C51E0">
            <w:pPr>
              <w:jc w:val="center"/>
            </w:pPr>
            <w:r>
              <w:t>-</w:t>
            </w:r>
          </w:p>
        </w:tc>
        <w:tc>
          <w:tcPr>
            <w:tcW w:w="1430" w:type="dxa"/>
            <w:tcMar>
              <w:left w:w="108" w:type="dxa"/>
              <w:right w:w="108" w:type="dxa"/>
            </w:tcMar>
            <w:vAlign w:val="center"/>
          </w:tcPr>
          <w:p w14:paraId="4A739870" w14:textId="763C47FF" w:rsidR="002E61CD" w:rsidRPr="0007306F" w:rsidRDefault="00816B03" w:rsidP="00556C7C">
            <w:pPr>
              <w:jc w:val="center"/>
              <w:rPr>
                <w:b/>
                <w:bCs/>
              </w:rPr>
            </w:pPr>
            <w:r>
              <w:rPr>
                <w:b/>
                <w:bCs/>
              </w:rPr>
              <w:t>2</w:t>
            </w:r>
            <w:r w:rsidR="0048472F">
              <w:rPr>
                <w:b/>
                <w:bCs/>
              </w:rPr>
              <w:t>00</w:t>
            </w:r>
          </w:p>
        </w:tc>
      </w:tr>
      <w:tr w:rsidR="008962C4" w:rsidRPr="0007306F" w14:paraId="702188BC" w14:textId="77777777" w:rsidTr="00D36906">
        <w:trPr>
          <w:trHeight w:val="615"/>
        </w:trPr>
        <w:tc>
          <w:tcPr>
            <w:tcW w:w="3826" w:type="dxa"/>
            <w:tcMar>
              <w:left w:w="108" w:type="dxa"/>
              <w:right w:w="108" w:type="dxa"/>
            </w:tcMar>
            <w:vAlign w:val="center"/>
          </w:tcPr>
          <w:p w14:paraId="0F3BC690" w14:textId="365C4D2A" w:rsidR="002E61CD" w:rsidRPr="0007306F" w:rsidRDefault="008962C4" w:rsidP="00556C7C">
            <w:pPr>
              <w:jc w:val="both"/>
              <w:rPr>
                <w:rFonts w:eastAsia="Tahoma"/>
                <w:b/>
                <w:bCs/>
                <w:color w:val="000000" w:themeColor="text1"/>
              </w:rPr>
            </w:pPr>
            <w:r w:rsidRPr="008962C4">
              <w:rPr>
                <w:rFonts w:eastAsia="Tahoma"/>
                <w:b/>
                <w:bCs/>
                <w:color w:val="000000" w:themeColor="text1"/>
              </w:rPr>
              <w:t>Palaikymo (garantijos) laikotarpis po migravimo</w:t>
            </w:r>
          </w:p>
        </w:tc>
        <w:tc>
          <w:tcPr>
            <w:tcW w:w="1663" w:type="dxa"/>
            <w:tcMar>
              <w:left w:w="108" w:type="dxa"/>
              <w:right w:w="108" w:type="dxa"/>
            </w:tcMar>
            <w:vAlign w:val="center"/>
          </w:tcPr>
          <w:p w14:paraId="033D2D07" w14:textId="4A081865" w:rsidR="002E61CD" w:rsidRPr="0007306F" w:rsidRDefault="003C51E0" w:rsidP="003B5E69">
            <w:pPr>
              <w:jc w:val="center"/>
              <w:rPr>
                <w:rFonts w:eastAsia="Tahoma"/>
                <w:b/>
                <w:bCs/>
                <w:color w:val="000000" w:themeColor="text1"/>
              </w:rPr>
            </w:pPr>
            <w:r>
              <w:rPr>
                <w:rFonts w:eastAsia="Tahoma"/>
                <w:b/>
                <w:bCs/>
                <w:color w:val="000000" w:themeColor="text1"/>
              </w:rPr>
              <w:t>-</w:t>
            </w:r>
          </w:p>
        </w:tc>
        <w:tc>
          <w:tcPr>
            <w:tcW w:w="1231" w:type="dxa"/>
            <w:shd w:val="clear" w:color="auto" w:fill="auto"/>
            <w:tcMar>
              <w:left w:w="108" w:type="dxa"/>
              <w:right w:w="108" w:type="dxa"/>
            </w:tcMar>
            <w:vAlign w:val="center"/>
          </w:tcPr>
          <w:p w14:paraId="5CF5072F" w14:textId="4984280F" w:rsidR="002E61CD" w:rsidRPr="0007306F" w:rsidRDefault="003C51E0" w:rsidP="003B5E69">
            <w:pPr>
              <w:jc w:val="center"/>
              <w:rPr>
                <w:rFonts w:eastAsia="Tahoma"/>
                <w:b/>
                <w:bCs/>
                <w:color w:val="000000" w:themeColor="text1"/>
              </w:rPr>
            </w:pPr>
            <w:r>
              <w:rPr>
                <w:rFonts w:eastAsia="Tahoma"/>
                <w:b/>
                <w:bCs/>
                <w:color w:val="000000" w:themeColor="text1"/>
              </w:rPr>
              <w:t>-</w:t>
            </w:r>
          </w:p>
        </w:tc>
        <w:tc>
          <w:tcPr>
            <w:tcW w:w="1231" w:type="dxa"/>
            <w:shd w:val="clear" w:color="auto" w:fill="9CC2E5" w:themeFill="accent1" w:themeFillTint="99"/>
            <w:vAlign w:val="center"/>
          </w:tcPr>
          <w:p w14:paraId="3F218545" w14:textId="77777777" w:rsidR="002E61CD" w:rsidRPr="0007306F" w:rsidRDefault="002E61CD" w:rsidP="003C51E0">
            <w:pPr>
              <w:jc w:val="center"/>
              <w:rPr>
                <w:rFonts w:eastAsia="Tahoma"/>
                <w:b/>
                <w:bCs/>
                <w:color w:val="000000" w:themeColor="text1"/>
              </w:rPr>
            </w:pPr>
          </w:p>
        </w:tc>
        <w:tc>
          <w:tcPr>
            <w:tcW w:w="1430" w:type="dxa"/>
            <w:tcMar>
              <w:left w:w="108" w:type="dxa"/>
              <w:right w:w="108" w:type="dxa"/>
            </w:tcMar>
            <w:vAlign w:val="center"/>
          </w:tcPr>
          <w:p w14:paraId="040287D4" w14:textId="66425E93" w:rsidR="002E61CD" w:rsidRPr="00433235" w:rsidRDefault="0048472F" w:rsidP="00556C7C">
            <w:pPr>
              <w:jc w:val="center"/>
              <w:rPr>
                <w:b/>
                <w:bCs/>
                <w:lang w:val="en-US"/>
              </w:rPr>
            </w:pPr>
            <w:r>
              <w:rPr>
                <w:b/>
                <w:bCs/>
                <w:lang w:val="en-US"/>
              </w:rPr>
              <w:t>50</w:t>
            </w:r>
          </w:p>
        </w:tc>
      </w:tr>
    </w:tbl>
    <w:p w14:paraId="6BA39DD9" w14:textId="77777777" w:rsidR="00AD1EF3" w:rsidRPr="0007306F" w:rsidRDefault="00AD1EF3" w:rsidP="00E76CFE">
      <w:pPr>
        <w:pStyle w:val="ListParagraph"/>
        <w:tabs>
          <w:tab w:val="left" w:pos="3600"/>
        </w:tabs>
        <w:spacing w:line="22" w:lineRule="atLeast"/>
        <w:ind w:left="0"/>
        <w:rPr>
          <w:b/>
          <w:lang w:val="en-US"/>
        </w:rPr>
      </w:pPr>
    </w:p>
    <w:p w14:paraId="14E3A785" w14:textId="1F4AF01B" w:rsidR="002E61CD" w:rsidRPr="0007306F" w:rsidRDefault="002E61CD" w:rsidP="009B386D">
      <w:pPr>
        <w:pStyle w:val="ListParagraph"/>
        <w:tabs>
          <w:tab w:val="left" w:pos="3600"/>
        </w:tabs>
        <w:spacing w:line="22" w:lineRule="atLeast"/>
        <w:ind w:left="0"/>
        <w:jc w:val="center"/>
        <w:rPr>
          <w:b/>
          <w:lang w:val="en-US"/>
        </w:rPr>
      </w:pPr>
      <w:r w:rsidRPr="0007306F">
        <w:rPr>
          <w:b/>
          <w:lang w:val="en-US"/>
        </w:rPr>
        <w:t>IV. SKYRIUS</w:t>
      </w:r>
    </w:p>
    <w:p w14:paraId="234DCF37" w14:textId="77777777" w:rsidR="009B386D" w:rsidRPr="0007306F" w:rsidRDefault="009B386D" w:rsidP="009B386D">
      <w:pPr>
        <w:pStyle w:val="ListParagraph"/>
        <w:tabs>
          <w:tab w:val="left" w:pos="3600"/>
        </w:tabs>
        <w:spacing w:line="22" w:lineRule="atLeast"/>
        <w:ind w:left="0"/>
        <w:jc w:val="center"/>
        <w:rPr>
          <w:b/>
          <w:bCs/>
          <w:lang w:val="en-US"/>
        </w:rPr>
      </w:pPr>
      <w:r w:rsidRPr="0007306F">
        <w:rPr>
          <w:b/>
          <w:bCs/>
          <w:lang w:val="en-US"/>
        </w:rPr>
        <w:t>REIKALAVIMAI PASLAUGŲ TEIKIMUI</w:t>
      </w:r>
    </w:p>
    <w:p w14:paraId="7B134186" w14:textId="77777777" w:rsidR="009B386D" w:rsidRPr="0007306F" w:rsidRDefault="009B386D" w:rsidP="009B386D">
      <w:pPr>
        <w:pStyle w:val="ListParagraph"/>
        <w:tabs>
          <w:tab w:val="left" w:pos="3600"/>
        </w:tabs>
        <w:spacing w:line="22" w:lineRule="atLeast"/>
        <w:ind w:left="0"/>
        <w:jc w:val="center"/>
        <w:rPr>
          <w:b/>
          <w:lang w:val="en-US"/>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896"/>
      </w:tblGrid>
      <w:tr w:rsidR="009B386D" w:rsidRPr="0007306F" w14:paraId="7813642A" w14:textId="77777777" w:rsidTr="00556C7C">
        <w:trPr>
          <w:cantSplit/>
          <w:trHeight w:val="300"/>
          <w:tblHeader/>
        </w:trPr>
        <w:tc>
          <w:tcPr>
            <w:tcW w:w="383" w:type="pct"/>
            <w:shd w:val="clear" w:color="auto" w:fill="BFBFBF" w:themeFill="background1" w:themeFillShade="BF"/>
            <w:vAlign w:val="center"/>
          </w:tcPr>
          <w:p w14:paraId="2CC5BC00" w14:textId="77777777" w:rsidR="009B386D" w:rsidRPr="0007306F" w:rsidRDefault="009B386D" w:rsidP="00556C7C">
            <w:pPr>
              <w:keepNext/>
              <w:spacing w:before="20" w:after="20" w:line="22" w:lineRule="atLeast"/>
              <w:rPr>
                <w:b/>
              </w:rPr>
            </w:pPr>
            <w:r w:rsidRPr="0007306F">
              <w:rPr>
                <w:b/>
              </w:rPr>
              <w:t>Eil.</w:t>
            </w:r>
          </w:p>
          <w:p w14:paraId="38CA0B77" w14:textId="77777777" w:rsidR="009B386D" w:rsidRPr="0007306F" w:rsidRDefault="009B386D" w:rsidP="00556C7C">
            <w:pPr>
              <w:keepNext/>
              <w:spacing w:before="20" w:after="20" w:line="22" w:lineRule="atLeast"/>
              <w:rPr>
                <w:b/>
              </w:rPr>
            </w:pPr>
            <w:r w:rsidRPr="0007306F">
              <w:rPr>
                <w:b/>
              </w:rPr>
              <w:t>Nr.</w:t>
            </w:r>
          </w:p>
        </w:tc>
        <w:tc>
          <w:tcPr>
            <w:tcW w:w="4617" w:type="pct"/>
            <w:shd w:val="clear" w:color="auto" w:fill="BFBFBF" w:themeFill="background1" w:themeFillShade="BF"/>
            <w:vAlign w:val="center"/>
          </w:tcPr>
          <w:p w14:paraId="3A26A84D" w14:textId="77777777" w:rsidR="009B386D" w:rsidRPr="0007306F" w:rsidRDefault="009B386D" w:rsidP="00556C7C">
            <w:pPr>
              <w:keepNext/>
              <w:spacing w:before="20" w:after="20" w:line="22" w:lineRule="atLeast"/>
              <w:rPr>
                <w:b/>
              </w:rPr>
            </w:pPr>
            <w:r w:rsidRPr="0007306F">
              <w:rPr>
                <w:b/>
              </w:rPr>
              <w:t>Reikalavimas</w:t>
            </w:r>
          </w:p>
        </w:tc>
      </w:tr>
      <w:tr w:rsidR="00A55BE8" w:rsidRPr="0007306F" w14:paraId="5AFF7DDA" w14:textId="77777777" w:rsidTr="00A55BE8">
        <w:trPr>
          <w:cantSplit/>
          <w:trHeight w:val="300"/>
        </w:trPr>
        <w:tc>
          <w:tcPr>
            <w:tcW w:w="5000" w:type="pct"/>
            <w:gridSpan w:val="2"/>
            <w:shd w:val="clear" w:color="auto" w:fill="E7E6E6" w:themeFill="background2"/>
            <w:vAlign w:val="center"/>
          </w:tcPr>
          <w:p w14:paraId="3646F3B0" w14:textId="022B8682" w:rsidR="00A55BE8" w:rsidRPr="0007306F" w:rsidRDefault="0083665B" w:rsidP="00A55BE8">
            <w:pPr>
              <w:keepNext/>
              <w:spacing w:before="20" w:after="20" w:line="22" w:lineRule="atLeast"/>
              <w:jc w:val="center"/>
              <w:rPr>
                <w:b/>
              </w:rPr>
            </w:pPr>
            <w:r w:rsidRPr="0007306F">
              <w:rPr>
                <w:b/>
              </w:rPr>
              <w:t xml:space="preserve">Paslaugų </w:t>
            </w:r>
            <w:r w:rsidR="0007306F" w:rsidRPr="0007306F">
              <w:rPr>
                <w:b/>
              </w:rPr>
              <w:t>t</w:t>
            </w:r>
            <w:r w:rsidR="00A55BE8" w:rsidRPr="0007306F">
              <w:rPr>
                <w:b/>
              </w:rPr>
              <w:t>eikėjui taikomi reikalavimai</w:t>
            </w:r>
          </w:p>
        </w:tc>
      </w:tr>
      <w:tr w:rsidR="009B386D" w:rsidRPr="0007306F" w14:paraId="0924DC1D" w14:textId="77777777" w:rsidTr="00A55BE8">
        <w:trPr>
          <w:cantSplit/>
          <w:trHeight w:val="300"/>
        </w:trPr>
        <w:tc>
          <w:tcPr>
            <w:tcW w:w="383" w:type="pct"/>
            <w:shd w:val="clear" w:color="auto" w:fill="auto"/>
          </w:tcPr>
          <w:p w14:paraId="26D0E1FB" w14:textId="322DDA4E" w:rsidR="009B386D" w:rsidRPr="0007306F" w:rsidRDefault="009B386D" w:rsidP="00AD1EF3">
            <w:pPr>
              <w:pStyle w:val="ListParagraph"/>
              <w:numPr>
                <w:ilvl w:val="0"/>
                <w:numId w:val="9"/>
              </w:numPr>
              <w:tabs>
                <w:tab w:val="left" w:pos="851"/>
                <w:tab w:val="left" w:pos="1560"/>
              </w:tabs>
              <w:spacing w:line="0" w:lineRule="atLeast"/>
              <w:jc w:val="both"/>
            </w:pPr>
          </w:p>
        </w:tc>
        <w:tc>
          <w:tcPr>
            <w:tcW w:w="4617" w:type="pct"/>
            <w:shd w:val="clear" w:color="auto" w:fill="auto"/>
          </w:tcPr>
          <w:p w14:paraId="2070034D" w14:textId="02B1BA39" w:rsidR="00745F0C" w:rsidRPr="00D36906" w:rsidRDefault="009B386D" w:rsidP="00A533CE">
            <w:pPr>
              <w:pStyle w:val="ListParagraph"/>
              <w:tabs>
                <w:tab w:val="left" w:pos="540"/>
                <w:tab w:val="left" w:pos="709"/>
                <w:tab w:val="left" w:pos="847"/>
              </w:tabs>
              <w:spacing w:line="240" w:lineRule="auto"/>
              <w:ind w:left="0"/>
              <w:contextualSpacing w:val="0"/>
              <w:jc w:val="both"/>
            </w:pPr>
            <w:r w:rsidRPr="00D36906">
              <w:t xml:space="preserve">Paslaugų teikimo metu </w:t>
            </w:r>
            <w:r w:rsidR="0007306F" w:rsidRPr="00D36906">
              <w:t xml:space="preserve">Paslaugų </w:t>
            </w:r>
            <w:r w:rsidRPr="00D36906">
              <w:t>t</w:t>
            </w:r>
            <w:r w:rsidR="00895B8C" w:rsidRPr="00D36906">
              <w:t>ei</w:t>
            </w:r>
            <w:r w:rsidRPr="00D36906">
              <w:t>kėjas</w:t>
            </w:r>
            <w:r w:rsidR="00471821">
              <w:t xml:space="preserve"> </w:t>
            </w:r>
            <w:r w:rsidR="00AD1EF3" w:rsidRPr="00D36906">
              <w:t>privalo:</w:t>
            </w:r>
          </w:p>
          <w:p w14:paraId="385B26CC" w14:textId="77777777" w:rsidR="009866E0" w:rsidRDefault="00E33C3F" w:rsidP="00A533CE">
            <w:pPr>
              <w:pStyle w:val="ListParagraph"/>
              <w:numPr>
                <w:ilvl w:val="1"/>
                <w:numId w:val="9"/>
              </w:numPr>
              <w:tabs>
                <w:tab w:val="left" w:pos="706"/>
                <w:tab w:val="left" w:pos="847"/>
              </w:tabs>
              <w:spacing w:line="240" w:lineRule="auto"/>
              <w:ind w:left="0" w:firstLine="0"/>
              <w:contextualSpacing w:val="0"/>
              <w:jc w:val="both"/>
            </w:pPr>
            <w:r>
              <w:t>pasiruošimo migravimui metu</w:t>
            </w:r>
            <w:r w:rsidR="009866E0">
              <w:t>:</w:t>
            </w:r>
          </w:p>
          <w:p w14:paraId="773F10DA" w14:textId="3D24B7AF" w:rsidR="009866E0" w:rsidRDefault="00E33C3F" w:rsidP="00A533CE">
            <w:pPr>
              <w:pStyle w:val="ListParagraph"/>
              <w:numPr>
                <w:ilvl w:val="2"/>
                <w:numId w:val="9"/>
              </w:numPr>
              <w:tabs>
                <w:tab w:val="left" w:pos="706"/>
                <w:tab w:val="left" w:pos="847"/>
                <w:tab w:val="left" w:pos="989"/>
                <w:tab w:val="left" w:pos="1273"/>
                <w:tab w:val="left" w:pos="1698"/>
              </w:tabs>
              <w:spacing w:line="240" w:lineRule="auto"/>
              <w:ind w:left="0" w:firstLine="0"/>
              <w:contextualSpacing w:val="0"/>
              <w:jc w:val="both"/>
            </w:pPr>
            <w:r>
              <w:t xml:space="preserve"> </w:t>
            </w:r>
            <w:r w:rsidR="009C2502" w:rsidRPr="0007306F">
              <w:t>p</w:t>
            </w:r>
            <w:r w:rsidR="00AD1EF3" w:rsidRPr="0007306F">
              <w:t xml:space="preserve">arengti detalius DB migravimo </w:t>
            </w:r>
            <w:r w:rsidR="00471821">
              <w:t xml:space="preserve">veiklų </w:t>
            </w:r>
            <w:r w:rsidR="00AD1EF3" w:rsidRPr="0007306F">
              <w:t>planus</w:t>
            </w:r>
            <w:r w:rsidR="00997E6E">
              <w:t xml:space="preserve">, kuriuose būtų </w:t>
            </w:r>
            <w:r w:rsidR="00997E6E" w:rsidRPr="009866E0">
              <w:t>numatyt</w:t>
            </w:r>
            <w:r w:rsidR="00997E6E">
              <w:t>os</w:t>
            </w:r>
            <w:r w:rsidR="00997E6E" w:rsidRPr="009866E0">
              <w:t xml:space="preserve"> </w:t>
            </w:r>
            <w:r w:rsidR="00997E6E">
              <w:t xml:space="preserve">visos </w:t>
            </w:r>
            <w:r w:rsidR="00997E6E" w:rsidRPr="009866E0">
              <w:t>būtin</w:t>
            </w:r>
            <w:r w:rsidR="00997E6E">
              <w:t>o</w:t>
            </w:r>
            <w:r w:rsidR="00997E6E" w:rsidRPr="009866E0">
              <w:t>s veikl</w:t>
            </w:r>
            <w:r w:rsidR="00997E6E">
              <w:t>o</w:t>
            </w:r>
            <w:r w:rsidR="00997E6E" w:rsidRPr="009866E0">
              <w:t>s DB migravim</w:t>
            </w:r>
            <w:r w:rsidR="00997E6E">
              <w:t>o darbams</w:t>
            </w:r>
            <w:r w:rsidR="00997E6E" w:rsidRPr="009866E0">
              <w:t xml:space="preserve"> atlikti</w:t>
            </w:r>
            <w:r w:rsidR="00997E6E">
              <w:t xml:space="preserve"> atsižvelgiant į </w:t>
            </w:r>
            <w:r w:rsidR="00D36906">
              <w:rPr>
                <w:lang w:val="en-US"/>
              </w:rPr>
              <w:t>19</w:t>
            </w:r>
            <w:r w:rsidR="00997E6E" w:rsidRPr="007E10B3">
              <w:t>-</w:t>
            </w:r>
            <w:r w:rsidR="00997E6E">
              <w:t>2</w:t>
            </w:r>
            <w:r w:rsidR="00D36906">
              <w:t>4</w:t>
            </w:r>
            <w:r w:rsidR="00997E6E">
              <w:t xml:space="preserve"> p. nurodytus migravimo reikalavimus</w:t>
            </w:r>
            <w:r w:rsidR="0048472F">
              <w:t xml:space="preserve"> </w:t>
            </w:r>
            <w:r w:rsidR="0048472F" w:rsidRPr="0048472F">
              <w:t xml:space="preserve">ne vėliau kaip per </w:t>
            </w:r>
            <w:r w:rsidR="0048472F">
              <w:t>3</w:t>
            </w:r>
            <w:r w:rsidR="0048472F" w:rsidRPr="002166C2">
              <w:t xml:space="preserve"> (</w:t>
            </w:r>
            <w:r w:rsidR="0048472F">
              <w:t>tris</w:t>
            </w:r>
            <w:r w:rsidR="0048472F" w:rsidRPr="002166C2">
              <w:t>) mėnesius nuo Paslaugų pirkimo-pardavimo sutarties (toliau – Sutartis) įsigaliojimo</w:t>
            </w:r>
            <w:r w:rsidR="00997E6E" w:rsidRPr="0048472F">
              <w:t>;</w:t>
            </w:r>
          </w:p>
          <w:p w14:paraId="32D487B3" w14:textId="370B3EBE" w:rsidR="009866E0" w:rsidRDefault="009866E0" w:rsidP="00A533CE">
            <w:pPr>
              <w:pStyle w:val="ListParagraph"/>
              <w:numPr>
                <w:ilvl w:val="2"/>
                <w:numId w:val="9"/>
              </w:numPr>
              <w:tabs>
                <w:tab w:val="left" w:pos="706"/>
                <w:tab w:val="left" w:pos="847"/>
                <w:tab w:val="left" w:pos="989"/>
                <w:tab w:val="left" w:pos="1273"/>
                <w:tab w:val="left" w:pos="1698"/>
              </w:tabs>
              <w:spacing w:line="240" w:lineRule="auto"/>
              <w:ind w:left="0" w:firstLine="0"/>
              <w:contextualSpacing w:val="0"/>
              <w:jc w:val="both"/>
            </w:pPr>
            <w:r>
              <w:t xml:space="preserve"> </w:t>
            </w:r>
            <w:r w:rsidR="009C2502" w:rsidRPr="0007306F">
              <w:t>p</w:t>
            </w:r>
            <w:r w:rsidR="00AD1EF3" w:rsidRPr="0007306F">
              <w:t>arengti migravimui atlikti reikalingas technines instrukcijas P</w:t>
            </w:r>
            <w:r w:rsidR="00465EAF" w:rsidRPr="0007306F">
              <w:t>erkančiosios organizacijos</w:t>
            </w:r>
            <w:r w:rsidR="00AD1EF3" w:rsidRPr="0007306F">
              <w:t xml:space="preserve"> DB administratoriams, įskaitant, bet neapsiribojant </w:t>
            </w:r>
            <w:proofErr w:type="spellStart"/>
            <w:r w:rsidR="00AD1EF3" w:rsidRPr="0007306F">
              <w:t>Oracle</w:t>
            </w:r>
            <w:proofErr w:type="spellEnd"/>
            <w:r w:rsidR="00AD1EF3" w:rsidRPr="0007306F">
              <w:t xml:space="preserve"> </w:t>
            </w:r>
            <w:proofErr w:type="spellStart"/>
            <w:r w:rsidR="00AD1EF3" w:rsidRPr="0007306F">
              <w:t>Database</w:t>
            </w:r>
            <w:proofErr w:type="spellEnd"/>
            <w:r w:rsidR="00AD1EF3" w:rsidRPr="0007306F">
              <w:t xml:space="preserve"> Server konfigūravimo instrukcijo</w:t>
            </w:r>
            <w:r w:rsidR="00E33C3F">
              <w:t>mi</w:t>
            </w:r>
            <w:r w:rsidR="00AD1EF3" w:rsidRPr="0007306F">
              <w:t xml:space="preserve">s ir/ar </w:t>
            </w:r>
            <w:proofErr w:type="spellStart"/>
            <w:r w:rsidR="00AD1EF3" w:rsidRPr="0007306F">
              <w:t>rašmeno</w:t>
            </w:r>
            <w:r w:rsidR="00E33C3F">
              <w:t>mi</w:t>
            </w:r>
            <w:r w:rsidR="00AD1EF3" w:rsidRPr="0007306F">
              <w:t>s</w:t>
            </w:r>
            <w:proofErr w:type="spellEnd"/>
            <w:r w:rsidR="00AD1EF3" w:rsidRPr="0007306F">
              <w:t xml:space="preserve"> (angl.</w:t>
            </w:r>
            <w:r w:rsidR="00AD1EF3" w:rsidRPr="00D36906">
              <w:t xml:space="preserve"> </w:t>
            </w:r>
            <w:proofErr w:type="spellStart"/>
            <w:r w:rsidR="00AD1EF3" w:rsidRPr="00D36906">
              <w:t>Scripts</w:t>
            </w:r>
            <w:proofErr w:type="spellEnd"/>
            <w:r w:rsidR="00AD1EF3" w:rsidRPr="0007306F">
              <w:t>)</w:t>
            </w:r>
            <w:r w:rsidR="00FA7576" w:rsidRPr="008D75D6">
              <w:rPr>
                <w:iCs/>
                <w:vertAlign w:val="superscript"/>
              </w:rPr>
              <w:footnoteReference w:id="1"/>
            </w:r>
            <w:r w:rsidR="00AD1EF3" w:rsidRPr="0007306F">
              <w:t xml:space="preserve">; </w:t>
            </w:r>
            <w:proofErr w:type="spellStart"/>
            <w:r w:rsidR="00AD1EF3" w:rsidRPr="0007306F">
              <w:t>Oracle</w:t>
            </w:r>
            <w:proofErr w:type="spellEnd"/>
            <w:r w:rsidR="00AD1EF3" w:rsidRPr="0007306F">
              <w:t xml:space="preserve"> </w:t>
            </w:r>
            <w:proofErr w:type="spellStart"/>
            <w:r w:rsidR="00AD1EF3" w:rsidRPr="0007306F">
              <w:t>GoldenGate</w:t>
            </w:r>
            <w:proofErr w:type="spellEnd"/>
            <w:r w:rsidR="00AD1EF3" w:rsidRPr="0007306F">
              <w:t xml:space="preserve"> konfigūravimo instrukcijos ir/ar </w:t>
            </w:r>
            <w:proofErr w:type="spellStart"/>
            <w:r w:rsidR="00AD1EF3" w:rsidRPr="0007306F">
              <w:t>rašmenos</w:t>
            </w:r>
            <w:proofErr w:type="spellEnd"/>
            <w:r w:rsidR="00AD1EF3" w:rsidRPr="0007306F">
              <w:t xml:space="preserve">; duomenų eksporto/importo </w:t>
            </w:r>
            <w:proofErr w:type="spellStart"/>
            <w:r w:rsidR="00AD1EF3" w:rsidRPr="0007306F">
              <w:t>rašmeno</w:t>
            </w:r>
            <w:r w:rsidR="00465EAF" w:rsidRPr="0007306F">
              <w:t>mi</w:t>
            </w:r>
            <w:r w:rsidR="00AD1EF3" w:rsidRPr="0007306F">
              <w:t>s</w:t>
            </w:r>
            <w:proofErr w:type="spellEnd"/>
            <w:r w:rsidR="002D7309" w:rsidRPr="0007306F">
              <w:t>;</w:t>
            </w:r>
          </w:p>
          <w:p w14:paraId="3F5F6588" w14:textId="5E57BDF2" w:rsidR="009866E0" w:rsidRPr="00D36906" w:rsidRDefault="009866E0" w:rsidP="00A533CE">
            <w:pPr>
              <w:pStyle w:val="ListParagraph"/>
              <w:numPr>
                <w:ilvl w:val="1"/>
                <w:numId w:val="9"/>
              </w:numPr>
              <w:tabs>
                <w:tab w:val="left" w:pos="706"/>
                <w:tab w:val="left" w:pos="847"/>
              </w:tabs>
              <w:spacing w:line="240" w:lineRule="auto"/>
              <w:ind w:left="0" w:firstLine="0"/>
              <w:contextualSpacing w:val="0"/>
              <w:jc w:val="both"/>
            </w:pPr>
            <w:r w:rsidRPr="00D36906">
              <w:t>DB migravimo metu:</w:t>
            </w:r>
          </w:p>
          <w:p w14:paraId="5A7FA5BD" w14:textId="4259873D" w:rsidR="009866E0" w:rsidRDefault="009866E0" w:rsidP="00A533CE">
            <w:pPr>
              <w:pStyle w:val="ListParagraph"/>
              <w:numPr>
                <w:ilvl w:val="2"/>
                <w:numId w:val="9"/>
              </w:numPr>
              <w:tabs>
                <w:tab w:val="left" w:pos="706"/>
                <w:tab w:val="left" w:pos="847"/>
                <w:tab w:val="left" w:pos="989"/>
                <w:tab w:val="left" w:pos="1273"/>
                <w:tab w:val="left" w:pos="1698"/>
              </w:tabs>
              <w:spacing w:line="240" w:lineRule="auto"/>
              <w:ind w:left="0" w:firstLine="0"/>
              <w:contextualSpacing w:val="0"/>
              <w:jc w:val="both"/>
            </w:pPr>
            <w:r w:rsidRPr="00D36906">
              <w:t xml:space="preserve"> dalyvauti DB migravime kartu su Perkan</w:t>
            </w:r>
            <w:r w:rsidRPr="009866E0">
              <w:t>čiąja organizacija</w:t>
            </w:r>
            <w:r>
              <w:t xml:space="preserve"> įgyvendinant numatytas veiklas</w:t>
            </w:r>
            <w:r w:rsidR="00997E6E">
              <w:t xml:space="preserve"> užtikrinant, kad veiklos būtų įgyvendintos pagal sudarytą planą</w:t>
            </w:r>
            <w:r>
              <w:t>;</w:t>
            </w:r>
          </w:p>
          <w:p w14:paraId="265BEFDB" w14:textId="14DBF512" w:rsidR="009866E0" w:rsidRPr="007E10B3" w:rsidRDefault="009866E0" w:rsidP="00A533CE">
            <w:pPr>
              <w:pStyle w:val="ListParagraph"/>
              <w:numPr>
                <w:ilvl w:val="2"/>
                <w:numId w:val="9"/>
              </w:numPr>
              <w:tabs>
                <w:tab w:val="left" w:pos="706"/>
                <w:tab w:val="left" w:pos="847"/>
                <w:tab w:val="left" w:pos="989"/>
                <w:tab w:val="left" w:pos="1273"/>
                <w:tab w:val="left" w:pos="1698"/>
              </w:tabs>
              <w:spacing w:line="240" w:lineRule="auto"/>
              <w:ind w:left="0" w:firstLine="0"/>
              <w:contextualSpacing w:val="0"/>
              <w:jc w:val="both"/>
              <w:rPr>
                <w:lang w:val="en-US"/>
              </w:rPr>
            </w:pPr>
            <w:r>
              <w:t xml:space="preserve">teikti Perkančiajai organizacijai </w:t>
            </w:r>
            <w:r w:rsidRPr="0007306F">
              <w:t>siūlymus dėl atliekamų migravimo darbų kokybės gerinimo</w:t>
            </w:r>
            <w:r>
              <w:t>;</w:t>
            </w:r>
          </w:p>
          <w:p w14:paraId="0AEE6A46" w14:textId="19BA36E5" w:rsidR="009866E0" w:rsidRPr="0007306F" w:rsidRDefault="009866E0" w:rsidP="00A533CE">
            <w:pPr>
              <w:pStyle w:val="ListParagraph"/>
              <w:numPr>
                <w:ilvl w:val="2"/>
                <w:numId w:val="9"/>
              </w:numPr>
              <w:tabs>
                <w:tab w:val="left" w:pos="706"/>
                <w:tab w:val="left" w:pos="847"/>
                <w:tab w:val="left" w:pos="989"/>
                <w:tab w:val="left" w:pos="1273"/>
                <w:tab w:val="left" w:pos="1698"/>
              </w:tabs>
              <w:spacing w:line="240" w:lineRule="auto"/>
              <w:ind w:left="0" w:firstLine="0"/>
              <w:contextualSpacing w:val="0"/>
              <w:jc w:val="both"/>
            </w:pPr>
            <w:r>
              <w:t xml:space="preserve">spręsti migravimo metu </w:t>
            </w:r>
            <w:r w:rsidR="00997E6E">
              <w:t xml:space="preserve">įvykusius </w:t>
            </w:r>
            <w:r>
              <w:t>nenumatytus atvejus, konsultuoti incidentų sprendimo klausimais</w:t>
            </w:r>
            <w:r w:rsidR="00745F0C">
              <w:t>.</w:t>
            </w:r>
          </w:p>
          <w:p w14:paraId="5B369E48" w14:textId="13251DF5" w:rsidR="009866E0" w:rsidRPr="0007306F" w:rsidRDefault="00745F0C" w:rsidP="00A533CE">
            <w:pPr>
              <w:pStyle w:val="ListParagraph"/>
              <w:numPr>
                <w:ilvl w:val="1"/>
                <w:numId w:val="9"/>
              </w:numPr>
              <w:tabs>
                <w:tab w:val="left" w:pos="706"/>
                <w:tab w:val="left" w:pos="847"/>
              </w:tabs>
              <w:spacing w:line="240" w:lineRule="auto"/>
              <w:ind w:left="0" w:firstLine="0"/>
              <w:contextualSpacing w:val="0"/>
              <w:jc w:val="both"/>
            </w:pPr>
            <w:r>
              <w:t>n</w:t>
            </w:r>
            <w:r w:rsidR="00E33C3F">
              <w:t>audojantis el. priemonėmis (</w:t>
            </w:r>
            <w:r w:rsidR="00241DB5">
              <w:t xml:space="preserve">pvz. </w:t>
            </w:r>
            <w:r w:rsidR="00E33C3F">
              <w:t xml:space="preserve">MS </w:t>
            </w:r>
            <w:proofErr w:type="spellStart"/>
            <w:r w:rsidR="00E33C3F">
              <w:t>Teams</w:t>
            </w:r>
            <w:proofErr w:type="spellEnd"/>
            <w:r w:rsidR="00E33C3F">
              <w:t xml:space="preserve">) </w:t>
            </w:r>
            <w:r w:rsidR="001B579A" w:rsidRPr="0007306F">
              <w:t>organizuoti susitikimus ir</w:t>
            </w:r>
            <w:r w:rsidR="00187775" w:rsidRPr="0007306F">
              <w:t>/ar</w:t>
            </w:r>
            <w:r w:rsidR="001B579A" w:rsidRPr="0007306F">
              <w:t xml:space="preserve"> identifikuoti jų poreik</w:t>
            </w:r>
            <w:r w:rsidR="000E7E82">
              <w:t>į</w:t>
            </w:r>
            <w:r w:rsidR="001B579A" w:rsidRPr="0007306F">
              <w:t>;</w:t>
            </w:r>
          </w:p>
          <w:p w14:paraId="25DC2802" w14:textId="5D06796C" w:rsidR="009866E0" w:rsidRPr="0007306F" w:rsidRDefault="000E7E82" w:rsidP="00A533CE">
            <w:pPr>
              <w:pStyle w:val="ListParagraph"/>
              <w:numPr>
                <w:ilvl w:val="1"/>
                <w:numId w:val="9"/>
              </w:numPr>
              <w:tabs>
                <w:tab w:val="left" w:pos="706"/>
                <w:tab w:val="left" w:pos="847"/>
              </w:tabs>
              <w:spacing w:line="240" w:lineRule="auto"/>
              <w:ind w:left="0" w:firstLine="0"/>
              <w:contextualSpacing w:val="0"/>
              <w:jc w:val="both"/>
            </w:pPr>
            <w:r>
              <w:t xml:space="preserve"> atsižvelgti į Perkančiosios organizacijos</w:t>
            </w:r>
            <w:r w:rsidR="00753E20">
              <w:t xml:space="preserve"> teikiamas pastabas dėl suteiktų Paslaugų kokybės bei rezultatų.</w:t>
            </w:r>
            <w:r>
              <w:t xml:space="preserve"> </w:t>
            </w:r>
            <w:r w:rsidR="00753E20">
              <w:t>Pateikti patikslinimus,</w:t>
            </w:r>
            <w:r w:rsidR="001B579A" w:rsidRPr="0007306F">
              <w:t xml:space="preserve"> paaiškinimus ir</w:t>
            </w:r>
            <w:r w:rsidR="00753E20">
              <w:t xml:space="preserve"> </w:t>
            </w:r>
            <w:r w:rsidR="001B579A" w:rsidRPr="0007306F">
              <w:t xml:space="preserve"> </w:t>
            </w:r>
            <w:r w:rsidR="00753E20">
              <w:t xml:space="preserve">konsultuoti </w:t>
            </w:r>
            <w:r w:rsidR="006A1D2D">
              <w:t xml:space="preserve">el. priemonėmis </w:t>
            </w:r>
            <w:r w:rsidR="00753E20">
              <w:t xml:space="preserve">dėl </w:t>
            </w:r>
            <w:r w:rsidR="006A1D2D">
              <w:t xml:space="preserve">Paslaugų rezultatui </w:t>
            </w:r>
            <w:r w:rsidR="00753E20">
              <w:t>nustatytų trūkumų ir/ar neatitikimų</w:t>
            </w:r>
            <w:r w:rsidR="006A1D2D">
              <w:t xml:space="preserve"> visą Paslaugų teikimo laikotarpį iki tol kol bus nustatyti trūkumai ir/ar neatitikimai išspręsti</w:t>
            </w:r>
            <w:r w:rsidR="00753E20">
              <w:t>.</w:t>
            </w:r>
          </w:p>
          <w:p w14:paraId="367A33E0" w14:textId="3BE43956" w:rsidR="00E33BE9" w:rsidRPr="0007306F" w:rsidRDefault="00745F0C" w:rsidP="00A533CE">
            <w:pPr>
              <w:pStyle w:val="ListParagraph"/>
              <w:numPr>
                <w:ilvl w:val="1"/>
                <w:numId w:val="9"/>
              </w:numPr>
              <w:tabs>
                <w:tab w:val="left" w:pos="706"/>
                <w:tab w:val="left" w:pos="847"/>
              </w:tabs>
              <w:spacing w:line="240" w:lineRule="auto"/>
              <w:ind w:left="0" w:firstLine="0"/>
              <w:contextualSpacing w:val="0"/>
              <w:jc w:val="both"/>
            </w:pPr>
            <w:r>
              <w:t>p</w:t>
            </w:r>
            <w:r w:rsidR="009C2502" w:rsidRPr="0007306F">
              <w:t>o migravimo s</w:t>
            </w:r>
            <w:r w:rsidR="00E33BE9" w:rsidRPr="0007306F">
              <w:t xml:space="preserve">uteikti </w:t>
            </w:r>
            <w:r w:rsidR="00753E20">
              <w:t xml:space="preserve">ne mažiau kaip </w:t>
            </w:r>
            <w:r w:rsidR="00702AD0" w:rsidRPr="009866E0">
              <w:rPr>
                <w:lang w:val="en-US"/>
              </w:rPr>
              <w:t>2</w:t>
            </w:r>
            <w:r w:rsidR="003C51E0" w:rsidRPr="009866E0">
              <w:rPr>
                <w:lang w:val="en-US"/>
              </w:rPr>
              <w:t xml:space="preserve"> </w:t>
            </w:r>
            <w:r w:rsidR="003C51E0" w:rsidRPr="00D36906">
              <w:t>mėn.</w:t>
            </w:r>
            <w:r w:rsidR="003344B5" w:rsidRPr="009866E0">
              <w:rPr>
                <w:lang w:val="en-US"/>
              </w:rPr>
              <w:t xml:space="preserve"> </w:t>
            </w:r>
            <w:r w:rsidR="008962C4" w:rsidRPr="002166C2">
              <w:t>p</w:t>
            </w:r>
            <w:r w:rsidR="008962C4" w:rsidRPr="0048472F">
              <w:t xml:space="preserve">alaikymo </w:t>
            </w:r>
            <w:r w:rsidR="008962C4" w:rsidRPr="008962C4">
              <w:t xml:space="preserve">(garantijos) </w:t>
            </w:r>
            <w:r w:rsidR="008962C4">
              <w:t>paslaugas</w:t>
            </w:r>
            <w:r w:rsidR="008962C4" w:rsidRPr="008962C4">
              <w:t xml:space="preserve"> po migravim</w:t>
            </w:r>
            <w:r w:rsidR="008962C4">
              <w:t xml:space="preserve">o </w:t>
            </w:r>
            <w:r w:rsidR="009C2502" w:rsidRPr="0007306F">
              <w:t>sprendžiant</w:t>
            </w:r>
            <w:r w:rsidR="00465EAF" w:rsidRPr="0007306F">
              <w:t xml:space="preserve"> </w:t>
            </w:r>
            <w:r w:rsidR="002F23E3" w:rsidRPr="0007306F">
              <w:t>paaiškėjusius</w:t>
            </w:r>
            <w:r w:rsidR="009C2502" w:rsidRPr="0007306F">
              <w:t xml:space="preserve"> trūkumus</w:t>
            </w:r>
            <w:r w:rsidR="006B6A2B">
              <w:t xml:space="preserve"> ir incidentus</w:t>
            </w:r>
            <w:r w:rsidR="003C51E0">
              <w:t xml:space="preserve"> (žr. 3 lentelę)</w:t>
            </w:r>
            <w:r w:rsidR="009C2502" w:rsidRPr="0007306F">
              <w:t>.</w:t>
            </w:r>
          </w:p>
        </w:tc>
      </w:tr>
      <w:tr w:rsidR="00E33BE9" w:rsidRPr="0007306F" w14:paraId="75E237F6" w14:textId="77777777" w:rsidTr="00A55BE8">
        <w:trPr>
          <w:cantSplit/>
          <w:trHeight w:val="300"/>
        </w:trPr>
        <w:tc>
          <w:tcPr>
            <w:tcW w:w="383" w:type="pct"/>
            <w:shd w:val="clear" w:color="auto" w:fill="auto"/>
          </w:tcPr>
          <w:p w14:paraId="4AAFBA41" w14:textId="77777777" w:rsidR="00E33BE9" w:rsidRPr="0007306F" w:rsidRDefault="00E33BE9" w:rsidP="00D36906">
            <w:pPr>
              <w:pStyle w:val="ListParagraph"/>
              <w:numPr>
                <w:ilvl w:val="0"/>
                <w:numId w:val="9"/>
              </w:numPr>
              <w:tabs>
                <w:tab w:val="left" w:pos="851"/>
                <w:tab w:val="left" w:pos="1560"/>
              </w:tabs>
              <w:spacing w:line="0" w:lineRule="atLeast"/>
              <w:jc w:val="both"/>
            </w:pPr>
          </w:p>
        </w:tc>
        <w:tc>
          <w:tcPr>
            <w:tcW w:w="4617" w:type="pct"/>
            <w:shd w:val="clear" w:color="auto" w:fill="auto"/>
          </w:tcPr>
          <w:p w14:paraId="52893C7C" w14:textId="48581C34" w:rsidR="00E33BE9" w:rsidRPr="0007306F" w:rsidRDefault="00E33BE9" w:rsidP="00895B8C">
            <w:pPr>
              <w:pStyle w:val="ListParagraph"/>
              <w:tabs>
                <w:tab w:val="left" w:pos="540"/>
                <w:tab w:val="left" w:pos="709"/>
                <w:tab w:val="left" w:pos="847"/>
              </w:tabs>
              <w:spacing w:line="240" w:lineRule="auto"/>
              <w:ind w:left="0" w:hanging="3"/>
              <w:contextualSpacing w:val="0"/>
              <w:jc w:val="both"/>
            </w:pPr>
            <w:r w:rsidRPr="0007306F">
              <w:t xml:space="preserve">Paslaugų teikimas vykdomas nuotoliniu būdu. Perkančioji organizacija suteiks saugią nuotolinę prieigą – dedikuotą virtualią darbo vietą (angl. </w:t>
            </w:r>
            <w:proofErr w:type="spellStart"/>
            <w:r w:rsidRPr="0007306F">
              <w:t>Virtual</w:t>
            </w:r>
            <w:proofErr w:type="spellEnd"/>
            <w:r w:rsidRPr="0007306F">
              <w:t xml:space="preserve"> </w:t>
            </w:r>
            <w:proofErr w:type="spellStart"/>
            <w:r w:rsidRPr="0007306F">
              <w:t>Desktop</w:t>
            </w:r>
            <w:proofErr w:type="spellEnd"/>
            <w:r w:rsidRPr="0007306F">
              <w:t xml:space="preserve"> </w:t>
            </w:r>
            <w:proofErr w:type="spellStart"/>
            <w:r w:rsidRPr="0007306F">
              <w:t>Infrastructure</w:t>
            </w:r>
            <w:proofErr w:type="spellEnd"/>
            <w:r w:rsidRPr="0007306F">
              <w:t xml:space="preserve">, toliau – VDI), per kurią </w:t>
            </w:r>
            <w:r w:rsidR="00485DFC" w:rsidRPr="0007306F">
              <w:t>Paslaugų t</w:t>
            </w:r>
            <w:r w:rsidRPr="0007306F">
              <w:t xml:space="preserve">eikėjo specialistai </w:t>
            </w:r>
            <w:r w:rsidR="00B268A0">
              <w:t xml:space="preserve">nurodyti Sutartyje </w:t>
            </w:r>
            <w:r w:rsidRPr="0007306F">
              <w:t>pasieks P</w:t>
            </w:r>
            <w:r w:rsidR="00485DFC" w:rsidRPr="0007306F">
              <w:t>erkančiosios organizacijos</w:t>
            </w:r>
            <w:r w:rsidRPr="0007306F">
              <w:t xml:space="preserve"> išteklius reikalingus Paslaugų teikimui.</w:t>
            </w:r>
          </w:p>
        </w:tc>
      </w:tr>
      <w:tr w:rsidR="00E33BE9" w:rsidRPr="0007306F" w14:paraId="07C09519" w14:textId="77777777" w:rsidTr="00A55BE8">
        <w:trPr>
          <w:cantSplit/>
          <w:trHeight w:val="300"/>
        </w:trPr>
        <w:tc>
          <w:tcPr>
            <w:tcW w:w="383" w:type="pct"/>
            <w:shd w:val="clear" w:color="auto" w:fill="auto"/>
          </w:tcPr>
          <w:p w14:paraId="666EBA37" w14:textId="77777777" w:rsidR="00E33BE9" w:rsidRPr="0007306F" w:rsidRDefault="00E33BE9" w:rsidP="00D36906">
            <w:pPr>
              <w:pStyle w:val="ListParagraph"/>
              <w:numPr>
                <w:ilvl w:val="0"/>
                <w:numId w:val="9"/>
              </w:numPr>
              <w:tabs>
                <w:tab w:val="left" w:pos="851"/>
                <w:tab w:val="left" w:pos="1560"/>
              </w:tabs>
              <w:spacing w:line="0" w:lineRule="atLeast"/>
              <w:jc w:val="both"/>
            </w:pPr>
          </w:p>
        </w:tc>
        <w:tc>
          <w:tcPr>
            <w:tcW w:w="4617" w:type="pct"/>
            <w:shd w:val="clear" w:color="auto" w:fill="auto"/>
          </w:tcPr>
          <w:p w14:paraId="40EAB8CE" w14:textId="36DF4E4C" w:rsidR="00E33BE9" w:rsidRPr="0007306F" w:rsidRDefault="00E33BE9" w:rsidP="00895B8C">
            <w:pPr>
              <w:pStyle w:val="ListParagraph"/>
              <w:tabs>
                <w:tab w:val="left" w:pos="540"/>
                <w:tab w:val="left" w:pos="709"/>
                <w:tab w:val="left" w:pos="847"/>
              </w:tabs>
              <w:spacing w:line="240" w:lineRule="auto"/>
              <w:ind w:left="0" w:hanging="3"/>
              <w:contextualSpacing w:val="0"/>
              <w:jc w:val="both"/>
            </w:pPr>
            <w:r w:rsidRPr="0007306F">
              <w:t xml:space="preserve">Pagal poreikį, Perkančioji organizacija galės suteikti </w:t>
            </w:r>
            <w:r w:rsidR="00485DFC" w:rsidRPr="0007306F">
              <w:t xml:space="preserve">Paslaugų </w:t>
            </w:r>
            <w:r w:rsidR="00895B8C" w:rsidRPr="0007306F">
              <w:t>teikėjo</w:t>
            </w:r>
            <w:r w:rsidRPr="0007306F">
              <w:t xml:space="preserve"> specialistų kompiuterinėms darbo vietoms saugią nuotolinę VPN prieigą prie jiems dedikuotų išteklių reikalingų Paslaugų teikimui.</w:t>
            </w:r>
          </w:p>
        </w:tc>
      </w:tr>
      <w:tr w:rsidR="009B386D" w:rsidRPr="0007306F" w14:paraId="4B8582DC" w14:textId="77777777" w:rsidTr="00A55BE8">
        <w:trPr>
          <w:cantSplit/>
          <w:trHeight w:val="300"/>
        </w:trPr>
        <w:tc>
          <w:tcPr>
            <w:tcW w:w="383" w:type="pct"/>
            <w:shd w:val="clear" w:color="auto" w:fill="auto"/>
          </w:tcPr>
          <w:p w14:paraId="661CFFCD" w14:textId="4AB5FABA" w:rsidR="009B386D" w:rsidRPr="0007306F" w:rsidRDefault="009B386D" w:rsidP="00D36906">
            <w:pPr>
              <w:pStyle w:val="ListParagraph"/>
              <w:numPr>
                <w:ilvl w:val="0"/>
                <w:numId w:val="9"/>
              </w:numPr>
              <w:tabs>
                <w:tab w:val="left" w:pos="851"/>
                <w:tab w:val="left" w:pos="1560"/>
              </w:tabs>
              <w:spacing w:line="0" w:lineRule="atLeast"/>
              <w:jc w:val="both"/>
              <w:rPr>
                <w:lang w:val="en-US"/>
              </w:rPr>
            </w:pPr>
          </w:p>
        </w:tc>
        <w:tc>
          <w:tcPr>
            <w:tcW w:w="4617" w:type="pct"/>
            <w:shd w:val="clear" w:color="auto" w:fill="auto"/>
          </w:tcPr>
          <w:p w14:paraId="4644C773" w14:textId="517E1BE3" w:rsidR="0023330D" w:rsidRPr="0007306F" w:rsidRDefault="00E33BE9" w:rsidP="0023330D">
            <w:pPr>
              <w:tabs>
                <w:tab w:val="center" w:pos="1815"/>
              </w:tabs>
              <w:spacing w:after="19"/>
              <w:ind w:hanging="3"/>
              <w:jc w:val="both"/>
            </w:pPr>
            <w:r w:rsidRPr="0007306F">
              <w:tab/>
            </w:r>
            <w:r w:rsidR="0023330D" w:rsidRPr="0007306F">
              <w:t xml:space="preserve">Veiklos bus vykdomos Perkančiosios organizacijos užduočių valdymo sistemoje JIRA pateikiant užduotis – konkrečios užduotys priskiriamos </w:t>
            </w:r>
            <w:r w:rsidR="00485DFC" w:rsidRPr="0007306F">
              <w:t xml:space="preserve">Paslaugų </w:t>
            </w:r>
            <w:r w:rsidR="0023330D" w:rsidRPr="0007306F">
              <w:t>teikėjo specialistui (-</w:t>
            </w:r>
            <w:proofErr w:type="spellStart"/>
            <w:r w:rsidR="0023330D" w:rsidRPr="0007306F">
              <w:t>ams</w:t>
            </w:r>
            <w:proofErr w:type="spellEnd"/>
            <w:r w:rsidR="0023330D" w:rsidRPr="0007306F">
              <w:t xml:space="preserve">), kuriems prieš tai suteikiama prieiga prie jos. </w:t>
            </w:r>
            <w:r w:rsidR="00485DFC" w:rsidRPr="0007306F">
              <w:t>Paslaugų t</w:t>
            </w:r>
            <w:r w:rsidR="0023330D" w:rsidRPr="0007306F">
              <w:t>eikėjo specialistas teikiant Paslaugas privalo pildyti darbo laiko žiniaraštį JIRA sistemoje.</w:t>
            </w:r>
            <w:r w:rsidR="006A1D2D">
              <w:t xml:space="preserve"> Per mėnesį užduotims atlikti sugaištas laikas turi būti užpildytas iki kito mėnesio pradžios.</w:t>
            </w:r>
          </w:p>
          <w:p w14:paraId="57A45BF8" w14:textId="77777777" w:rsidR="0023330D" w:rsidRPr="0007306F" w:rsidRDefault="0023330D" w:rsidP="0023330D">
            <w:pPr>
              <w:tabs>
                <w:tab w:val="center" w:pos="1815"/>
              </w:tabs>
              <w:spacing w:after="19"/>
              <w:ind w:hanging="3"/>
              <w:jc w:val="both"/>
            </w:pPr>
            <w:r w:rsidRPr="0007306F">
              <w:t>Užduočių kūrimo/vykdymo procesas atrodys taip: </w:t>
            </w:r>
          </w:p>
          <w:p w14:paraId="57692716" w14:textId="77777777" w:rsidR="0023330D" w:rsidRPr="0007306F" w:rsidRDefault="0023330D" w:rsidP="0023330D">
            <w:pPr>
              <w:tabs>
                <w:tab w:val="center" w:pos="1815"/>
              </w:tabs>
              <w:spacing w:after="19"/>
              <w:ind w:hanging="3"/>
              <w:jc w:val="both"/>
            </w:pPr>
            <w:r w:rsidRPr="0007306F">
              <w:t>Perkančioji organizacija pateiks užduotį Paslaugos teikėjui sistemoje JIRA, kurioje aprašomas užduoties tikslas, apimtis, norimas gauti rezultatas ir užduoties atlikimo terminas.</w:t>
            </w:r>
          </w:p>
          <w:p w14:paraId="780D69B4" w14:textId="27D72DC8" w:rsidR="0023330D" w:rsidRPr="0007306F" w:rsidRDefault="0023330D" w:rsidP="0023330D">
            <w:pPr>
              <w:tabs>
                <w:tab w:val="center" w:pos="1815"/>
              </w:tabs>
              <w:spacing w:after="19"/>
              <w:ind w:hanging="3"/>
              <w:jc w:val="both"/>
            </w:pPr>
            <w:r w:rsidRPr="0007306F">
              <w:t>Paslaugų teikėjas ne vėliau kaip per 3 darbo dienas nuo užduoties pateikimo momento privalo įvertinti pateiktą informaciją, detalizuoti veiklas reikalingas užduočiai įvykdyti arba teikti pastabas.</w:t>
            </w:r>
          </w:p>
          <w:p w14:paraId="359D221E" w14:textId="77777777" w:rsidR="0023330D" w:rsidRPr="0007306F" w:rsidRDefault="0023330D" w:rsidP="0023330D">
            <w:pPr>
              <w:tabs>
                <w:tab w:val="center" w:pos="1815"/>
              </w:tabs>
              <w:spacing w:after="19"/>
              <w:ind w:hanging="3"/>
              <w:jc w:val="both"/>
            </w:pPr>
            <w:r w:rsidRPr="0007306F">
              <w:t>Perkančioji organizacija peržiūri užduotį ir patvirtina jos vykdymą.</w:t>
            </w:r>
          </w:p>
          <w:p w14:paraId="018E4F51" w14:textId="4DBCB75B" w:rsidR="00C450AA" w:rsidRPr="0007306F" w:rsidRDefault="0023330D" w:rsidP="00D93971">
            <w:pPr>
              <w:tabs>
                <w:tab w:val="center" w:pos="1815"/>
              </w:tabs>
              <w:spacing w:after="19"/>
              <w:ind w:hanging="3"/>
              <w:jc w:val="both"/>
            </w:pPr>
            <w:r w:rsidRPr="0007306F">
              <w:t>Įgyvendinus užduotį Paslaugų teikėjas</w:t>
            </w:r>
            <w:r w:rsidR="006A1D2D">
              <w:t xml:space="preserve"> </w:t>
            </w:r>
            <w:r w:rsidR="00241DB5">
              <w:t xml:space="preserve">Perkančiosios organizacijos atsakingą už </w:t>
            </w:r>
            <w:r w:rsidR="0048472F">
              <w:t>S</w:t>
            </w:r>
            <w:r w:rsidR="00241DB5">
              <w:t xml:space="preserve">utarties vykdymą asmenį nurodytu </w:t>
            </w:r>
            <w:r w:rsidR="006A1D2D">
              <w:t>el. paštu</w:t>
            </w:r>
            <w:r w:rsidRPr="0007306F">
              <w:t xml:space="preserve"> informuoja </w:t>
            </w:r>
            <w:r w:rsidR="006A1D2D">
              <w:t>apie užduoties atlikimą</w:t>
            </w:r>
            <w:r w:rsidRPr="0007306F">
              <w:t xml:space="preserve"> ir užduotis uždaroma</w:t>
            </w:r>
            <w:r w:rsidR="003B5E69">
              <w:t xml:space="preserve"> JIR</w:t>
            </w:r>
            <w:r w:rsidR="008962C4">
              <w:t>A sistemoje</w:t>
            </w:r>
            <w:r w:rsidRPr="0007306F">
              <w:t>.</w:t>
            </w:r>
          </w:p>
        </w:tc>
      </w:tr>
      <w:tr w:rsidR="009B386D" w:rsidRPr="0007306F" w14:paraId="6C9CBE43" w14:textId="77777777" w:rsidTr="00A55BE8">
        <w:trPr>
          <w:cantSplit/>
          <w:trHeight w:val="300"/>
        </w:trPr>
        <w:tc>
          <w:tcPr>
            <w:tcW w:w="383" w:type="pct"/>
            <w:shd w:val="clear" w:color="auto" w:fill="auto"/>
          </w:tcPr>
          <w:p w14:paraId="5BFA00BF" w14:textId="59ADCC79" w:rsidR="009B386D" w:rsidRPr="0007306F" w:rsidRDefault="009B386D" w:rsidP="00D36906">
            <w:pPr>
              <w:pStyle w:val="ListParagraph"/>
              <w:numPr>
                <w:ilvl w:val="0"/>
                <w:numId w:val="9"/>
              </w:numPr>
              <w:tabs>
                <w:tab w:val="left" w:pos="851"/>
                <w:tab w:val="left" w:pos="1560"/>
              </w:tabs>
              <w:spacing w:line="0" w:lineRule="atLeast"/>
              <w:jc w:val="both"/>
              <w:rPr>
                <w:lang w:val="en-US"/>
              </w:rPr>
            </w:pPr>
          </w:p>
        </w:tc>
        <w:tc>
          <w:tcPr>
            <w:tcW w:w="4617" w:type="pct"/>
            <w:shd w:val="clear" w:color="auto" w:fill="auto"/>
          </w:tcPr>
          <w:p w14:paraId="20FB87FD" w14:textId="1BBD6D37" w:rsidR="009B386D" w:rsidRPr="0007306F" w:rsidRDefault="00215119" w:rsidP="00895B8C">
            <w:pPr>
              <w:tabs>
                <w:tab w:val="center" w:pos="1815"/>
              </w:tabs>
              <w:spacing w:after="19"/>
              <w:jc w:val="both"/>
            </w:pPr>
            <w:r w:rsidRPr="0007306F">
              <w:tab/>
            </w:r>
            <w:r w:rsidR="00485DFC" w:rsidRPr="0007306F">
              <w:t>Paslaugų t</w:t>
            </w:r>
            <w:r w:rsidR="00895B8C" w:rsidRPr="0007306F">
              <w:t>eikėjas</w:t>
            </w:r>
            <w:r w:rsidRPr="0007306F">
              <w:t xml:space="preserve"> kartu su Sutartimi, pasirašo asmens duomenų tvarkymo susitarimą pagal su </w:t>
            </w:r>
            <w:r w:rsidR="00241DB5">
              <w:t>p</w:t>
            </w:r>
            <w:r w:rsidRPr="0007306F">
              <w:t xml:space="preserve">irkimo dokumentais pateiktą projektą. </w:t>
            </w:r>
          </w:p>
        </w:tc>
      </w:tr>
      <w:tr w:rsidR="009B386D" w:rsidRPr="0007306F" w14:paraId="0974187D" w14:textId="77777777" w:rsidTr="00A55BE8">
        <w:trPr>
          <w:cantSplit/>
          <w:trHeight w:val="300"/>
        </w:trPr>
        <w:tc>
          <w:tcPr>
            <w:tcW w:w="383" w:type="pct"/>
            <w:shd w:val="clear" w:color="auto" w:fill="auto"/>
          </w:tcPr>
          <w:p w14:paraId="543C09DF" w14:textId="7EBC5C61" w:rsidR="009B386D" w:rsidRPr="0007306F" w:rsidRDefault="009B386D" w:rsidP="00D36906">
            <w:pPr>
              <w:pStyle w:val="ListParagraph"/>
              <w:numPr>
                <w:ilvl w:val="0"/>
                <w:numId w:val="9"/>
              </w:numPr>
              <w:tabs>
                <w:tab w:val="left" w:pos="851"/>
                <w:tab w:val="left" w:pos="1560"/>
              </w:tabs>
              <w:spacing w:line="0" w:lineRule="atLeast"/>
              <w:jc w:val="both"/>
            </w:pPr>
          </w:p>
        </w:tc>
        <w:tc>
          <w:tcPr>
            <w:tcW w:w="4617" w:type="pct"/>
            <w:shd w:val="clear" w:color="auto" w:fill="auto"/>
          </w:tcPr>
          <w:p w14:paraId="1E53A1D5" w14:textId="4E72AF91" w:rsidR="009B386D" w:rsidRPr="0007306F" w:rsidRDefault="00485DFC" w:rsidP="00895B8C">
            <w:pPr>
              <w:tabs>
                <w:tab w:val="center" w:pos="1815"/>
              </w:tabs>
              <w:spacing w:after="19"/>
              <w:jc w:val="both"/>
            </w:pPr>
            <w:r w:rsidRPr="0007306F">
              <w:t xml:space="preserve">Paslaugų </w:t>
            </w:r>
            <w:r w:rsidR="00895B8C" w:rsidRPr="0007306F">
              <w:t>Teikėjas</w:t>
            </w:r>
            <w:r w:rsidR="00215119" w:rsidRPr="0007306F">
              <w:t xml:space="preserve"> užtikrina, kad asmuo, vykdysiantis Sutarties </w:t>
            </w:r>
            <w:r w:rsidRPr="0007306F">
              <w:t>t</w:t>
            </w:r>
            <w:r w:rsidR="00215119" w:rsidRPr="0007306F">
              <w:t>echninės dalies įgyvendinimą pasirašytų P</w:t>
            </w:r>
            <w:r w:rsidRPr="0007306F">
              <w:t>erkančiosios organizacijos</w:t>
            </w:r>
            <w:r w:rsidR="00215119" w:rsidRPr="0007306F">
              <w:t xml:space="preserve"> pateiktą </w:t>
            </w:r>
            <w:r w:rsidR="00EE4087" w:rsidRPr="0007306F">
              <w:t>k</w:t>
            </w:r>
            <w:r w:rsidR="00215119" w:rsidRPr="0007306F">
              <w:t>onfidencialumo pasižadėjimą</w:t>
            </w:r>
            <w:r w:rsidR="00EE4087" w:rsidRPr="0007306F">
              <w:t>, kuris pateikiamas kartu su pirkimo dokumentais.</w:t>
            </w:r>
          </w:p>
        </w:tc>
      </w:tr>
      <w:tr w:rsidR="00895B8C" w:rsidRPr="0007306F" w14:paraId="66272EA2" w14:textId="77777777" w:rsidTr="00A55BE8">
        <w:trPr>
          <w:cantSplit/>
          <w:trHeight w:val="300"/>
        </w:trPr>
        <w:tc>
          <w:tcPr>
            <w:tcW w:w="383" w:type="pct"/>
            <w:shd w:val="clear" w:color="auto" w:fill="auto"/>
          </w:tcPr>
          <w:p w14:paraId="5A5FEFB0" w14:textId="77777777" w:rsidR="00895B8C" w:rsidRPr="0007306F" w:rsidRDefault="00895B8C" w:rsidP="00D36906">
            <w:pPr>
              <w:pStyle w:val="ListParagraph"/>
              <w:numPr>
                <w:ilvl w:val="0"/>
                <w:numId w:val="9"/>
              </w:numPr>
              <w:tabs>
                <w:tab w:val="left" w:pos="851"/>
                <w:tab w:val="left" w:pos="1560"/>
              </w:tabs>
              <w:spacing w:line="0" w:lineRule="atLeast"/>
              <w:jc w:val="both"/>
            </w:pPr>
          </w:p>
        </w:tc>
        <w:tc>
          <w:tcPr>
            <w:tcW w:w="4617" w:type="pct"/>
            <w:shd w:val="clear" w:color="auto" w:fill="auto"/>
          </w:tcPr>
          <w:p w14:paraId="0460F26D" w14:textId="42CBA4BA" w:rsidR="00895B8C" w:rsidRPr="0007306F" w:rsidRDefault="00485DFC" w:rsidP="00895B8C">
            <w:pPr>
              <w:tabs>
                <w:tab w:val="center" w:pos="1815"/>
              </w:tabs>
              <w:spacing w:after="19"/>
              <w:jc w:val="both"/>
            </w:pPr>
            <w:r w:rsidRPr="0007306F">
              <w:t>Paslaugų t</w:t>
            </w:r>
            <w:r w:rsidR="00895B8C" w:rsidRPr="0007306F">
              <w:t>eikėjas privalo surengti įvadinį susitikimą</w:t>
            </w:r>
            <w:r w:rsidR="006A1D2D">
              <w:t xml:space="preserve"> per pirmas 10 d. d. </w:t>
            </w:r>
            <w:r w:rsidR="00A63987">
              <w:t>nuo</w:t>
            </w:r>
            <w:r w:rsidR="009E2629">
              <w:t xml:space="preserve"> Sutarties įsigaliojimo dienos</w:t>
            </w:r>
            <w:r w:rsidR="00895B8C" w:rsidRPr="0007306F">
              <w:t>, kurio metu turės aptarti</w:t>
            </w:r>
            <w:r w:rsidR="002F23E3" w:rsidRPr="0007306F">
              <w:t xml:space="preserve"> bei pristatyti</w:t>
            </w:r>
            <w:r w:rsidR="00895B8C" w:rsidRPr="0007306F">
              <w:t>:</w:t>
            </w:r>
          </w:p>
          <w:p w14:paraId="1640F014" w14:textId="5D011CD8" w:rsidR="00895B8C" w:rsidRPr="0007306F" w:rsidRDefault="00895B8C" w:rsidP="00895B8C">
            <w:pPr>
              <w:pStyle w:val="ListParagraph"/>
              <w:numPr>
                <w:ilvl w:val="3"/>
                <w:numId w:val="17"/>
              </w:numPr>
              <w:tabs>
                <w:tab w:val="left" w:pos="142"/>
                <w:tab w:val="left" w:pos="709"/>
              </w:tabs>
              <w:suppressAutoHyphens/>
              <w:autoSpaceDN w:val="0"/>
              <w:spacing w:line="276" w:lineRule="auto"/>
              <w:contextualSpacing w:val="0"/>
              <w:jc w:val="both"/>
              <w:textAlignment w:val="baseline"/>
            </w:pPr>
            <w:r w:rsidRPr="0007306F">
              <w:t>paslaugų teikimo organizacin</w:t>
            </w:r>
            <w:r w:rsidR="002F23E3" w:rsidRPr="0007306F">
              <w:t>ę</w:t>
            </w:r>
            <w:r w:rsidRPr="0007306F">
              <w:t xml:space="preserve"> struktūr</w:t>
            </w:r>
            <w:r w:rsidR="002F23E3" w:rsidRPr="0007306F">
              <w:t>ą</w:t>
            </w:r>
            <w:r w:rsidRPr="0007306F">
              <w:t>;</w:t>
            </w:r>
          </w:p>
          <w:p w14:paraId="5446F6BF" w14:textId="6E04A97D" w:rsidR="00895B8C" w:rsidRPr="0007306F" w:rsidRDefault="00895B8C" w:rsidP="00895B8C">
            <w:pPr>
              <w:pStyle w:val="ListParagraph"/>
              <w:numPr>
                <w:ilvl w:val="3"/>
                <w:numId w:val="17"/>
              </w:numPr>
              <w:tabs>
                <w:tab w:val="left" w:pos="142"/>
                <w:tab w:val="left" w:pos="709"/>
              </w:tabs>
              <w:suppressAutoHyphens/>
              <w:autoSpaceDN w:val="0"/>
              <w:spacing w:line="276" w:lineRule="auto"/>
              <w:contextualSpacing w:val="0"/>
              <w:jc w:val="both"/>
              <w:textAlignment w:val="baseline"/>
            </w:pPr>
            <w:r w:rsidRPr="0007306F">
              <w:t>komunikacijos tvark</w:t>
            </w:r>
            <w:r w:rsidR="002F23E3" w:rsidRPr="0007306F">
              <w:t>ą</w:t>
            </w:r>
            <w:r w:rsidRPr="0007306F">
              <w:t>;</w:t>
            </w:r>
          </w:p>
          <w:p w14:paraId="4174E22A" w14:textId="10DBA6D3" w:rsidR="00895B8C" w:rsidRPr="0007306F" w:rsidRDefault="00895B8C" w:rsidP="00895B8C">
            <w:pPr>
              <w:pStyle w:val="ListParagraph"/>
              <w:numPr>
                <w:ilvl w:val="3"/>
                <w:numId w:val="17"/>
              </w:numPr>
              <w:tabs>
                <w:tab w:val="left" w:pos="142"/>
                <w:tab w:val="left" w:pos="709"/>
              </w:tabs>
              <w:suppressAutoHyphens/>
              <w:autoSpaceDN w:val="0"/>
              <w:spacing w:line="276" w:lineRule="auto"/>
              <w:contextualSpacing w:val="0"/>
              <w:jc w:val="both"/>
              <w:textAlignment w:val="baseline"/>
            </w:pPr>
            <w:r w:rsidRPr="0007306F">
              <w:t>rezultatų kokybės tikrinimo, pridavimo ir derinimo tvark</w:t>
            </w:r>
            <w:r w:rsidR="002F23E3" w:rsidRPr="0007306F">
              <w:t>ą</w:t>
            </w:r>
            <w:r w:rsidRPr="0007306F">
              <w:t>;</w:t>
            </w:r>
          </w:p>
          <w:p w14:paraId="3C154ADC" w14:textId="50B9685F" w:rsidR="00895B8C" w:rsidRPr="0007306F" w:rsidRDefault="00895B8C" w:rsidP="00895B8C">
            <w:pPr>
              <w:pStyle w:val="ListParagraph"/>
              <w:numPr>
                <w:ilvl w:val="3"/>
                <w:numId w:val="17"/>
              </w:numPr>
              <w:tabs>
                <w:tab w:val="left" w:pos="142"/>
                <w:tab w:val="left" w:pos="709"/>
              </w:tabs>
              <w:suppressAutoHyphens/>
              <w:autoSpaceDN w:val="0"/>
              <w:spacing w:line="276" w:lineRule="auto"/>
              <w:contextualSpacing w:val="0"/>
              <w:jc w:val="both"/>
              <w:textAlignment w:val="baseline"/>
            </w:pPr>
            <w:r w:rsidRPr="0007306F">
              <w:t>rizikų valdymo tvark</w:t>
            </w:r>
            <w:r w:rsidR="002F23E3" w:rsidRPr="0007306F">
              <w:t>ą</w:t>
            </w:r>
            <w:r w:rsidRPr="0007306F">
              <w:t>;</w:t>
            </w:r>
          </w:p>
          <w:p w14:paraId="17E5BF74" w14:textId="566A3F07" w:rsidR="00895B8C" w:rsidRPr="0007306F" w:rsidRDefault="00895B8C" w:rsidP="00895B8C">
            <w:pPr>
              <w:pStyle w:val="ListParagraph"/>
              <w:numPr>
                <w:ilvl w:val="3"/>
                <w:numId w:val="17"/>
              </w:numPr>
              <w:tabs>
                <w:tab w:val="left" w:pos="142"/>
                <w:tab w:val="left" w:pos="709"/>
              </w:tabs>
              <w:suppressAutoHyphens/>
              <w:autoSpaceDN w:val="0"/>
              <w:spacing w:line="276" w:lineRule="auto"/>
              <w:contextualSpacing w:val="0"/>
              <w:jc w:val="both"/>
              <w:textAlignment w:val="baseline"/>
            </w:pPr>
            <w:r w:rsidRPr="0007306F">
              <w:t>dokumentų derinimo tvark</w:t>
            </w:r>
            <w:r w:rsidR="002F23E3" w:rsidRPr="0007306F">
              <w:t>ą</w:t>
            </w:r>
            <w:r w:rsidRPr="0007306F">
              <w:t>;</w:t>
            </w:r>
          </w:p>
          <w:p w14:paraId="63EE7D56" w14:textId="4BC174AF" w:rsidR="00895B8C" w:rsidRPr="0007306F" w:rsidRDefault="00895B8C" w:rsidP="00895B8C">
            <w:pPr>
              <w:pStyle w:val="ListParagraph"/>
              <w:numPr>
                <w:ilvl w:val="3"/>
                <w:numId w:val="17"/>
              </w:numPr>
              <w:tabs>
                <w:tab w:val="left" w:pos="142"/>
                <w:tab w:val="left" w:pos="709"/>
              </w:tabs>
              <w:suppressAutoHyphens/>
              <w:autoSpaceDN w:val="0"/>
              <w:spacing w:line="276" w:lineRule="auto"/>
              <w:contextualSpacing w:val="0"/>
              <w:jc w:val="both"/>
              <w:textAlignment w:val="baseline"/>
            </w:pPr>
            <w:r w:rsidRPr="0007306F">
              <w:t>ataskaitų teikimo tvark</w:t>
            </w:r>
            <w:r w:rsidR="002F23E3" w:rsidRPr="0007306F">
              <w:t>ą</w:t>
            </w:r>
            <w:r w:rsidRPr="0007306F">
              <w:t>;</w:t>
            </w:r>
          </w:p>
          <w:p w14:paraId="2D7B16D2" w14:textId="1352FBDD" w:rsidR="00895B8C" w:rsidRPr="0007306F" w:rsidRDefault="00895B8C" w:rsidP="00895B8C">
            <w:pPr>
              <w:pStyle w:val="ListParagraph"/>
              <w:numPr>
                <w:ilvl w:val="3"/>
                <w:numId w:val="17"/>
              </w:numPr>
              <w:tabs>
                <w:tab w:val="left" w:pos="142"/>
                <w:tab w:val="left" w:pos="709"/>
              </w:tabs>
              <w:suppressAutoHyphens/>
              <w:autoSpaceDN w:val="0"/>
              <w:spacing w:line="276" w:lineRule="auto"/>
              <w:contextualSpacing w:val="0"/>
              <w:jc w:val="both"/>
              <w:textAlignment w:val="baseline"/>
            </w:pPr>
            <w:r w:rsidRPr="0007306F">
              <w:t>kit</w:t>
            </w:r>
            <w:r w:rsidR="00485DFC" w:rsidRPr="0007306F">
              <w:t>ą</w:t>
            </w:r>
            <w:r w:rsidRPr="0007306F">
              <w:t xml:space="preserve"> svarbi</w:t>
            </w:r>
            <w:r w:rsidR="00485DFC" w:rsidRPr="0007306F">
              <w:t>ą</w:t>
            </w:r>
            <w:r w:rsidRPr="0007306F">
              <w:t xml:space="preserve"> informacij</w:t>
            </w:r>
            <w:r w:rsidR="002F23E3" w:rsidRPr="0007306F">
              <w:t>ą</w:t>
            </w:r>
            <w:r w:rsidRPr="0007306F">
              <w:t>.</w:t>
            </w:r>
          </w:p>
        </w:tc>
      </w:tr>
      <w:tr w:rsidR="002F23E3" w:rsidRPr="0007306F" w14:paraId="64E412E9" w14:textId="77777777" w:rsidTr="00A55BE8">
        <w:trPr>
          <w:cantSplit/>
          <w:trHeight w:val="300"/>
        </w:trPr>
        <w:tc>
          <w:tcPr>
            <w:tcW w:w="383" w:type="pct"/>
            <w:shd w:val="clear" w:color="auto" w:fill="auto"/>
          </w:tcPr>
          <w:p w14:paraId="7088D816" w14:textId="77777777" w:rsidR="002F23E3" w:rsidRPr="0007306F" w:rsidRDefault="002F23E3" w:rsidP="00D36906">
            <w:pPr>
              <w:pStyle w:val="ListParagraph"/>
              <w:numPr>
                <w:ilvl w:val="0"/>
                <w:numId w:val="9"/>
              </w:numPr>
              <w:tabs>
                <w:tab w:val="left" w:pos="851"/>
                <w:tab w:val="left" w:pos="1560"/>
              </w:tabs>
              <w:spacing w:line="0" w:lineRule="atLeast"/>
              <w:jc w:val="both"/>
            </w:pPr>
          </w:p>
        </w:tc>
        <w:tc>
          <w:tcPr>
            <w:tcW w:w="4617" w:type="pct"/>
            <w:shd w:val="clear" w:color="auto" w:fill="auto"/>
          </w:tcPr>
          <w:p w14:paraId="4CD6BB81" w14:textId="71950F72" w:rsidR="002F23E3" w:rsidRPr="0007306F" w:rsidRDefault="00485DFC" w:rsidP="00895B8C">
            <w:pPr>
              <w:tabs>
                <w:tab w:val="center" w:pos="1815"/>
              </w:tabs>
              <w:spacing w:after="19"/>
              <w:jc w:val="both"/>
            </w:pPr>
            <w:r w:rsidRPr="0007306F">
              <w:t>Paslaugos t</w:t>
            </w:r>
            <w:r w:rsidR="002F23E3" w:rsidRPr="0007306F">
              <w:t>eikėjas turės dalyvauti rengiamų dokumentų aptarime su suinteresuotomis šalimis bei suteikti pagalbą Perkančiajai organizacijai pristatant ir aptariant pateikiamų dokumentų turinį kitoms suinteresuotoms šalims.</w:t>
            </w:r>
          </w:p>
        </w:tc>
      </w:tr>
      <w:tr w:rsidR="0010041C" w:rsidRPr="0007306F" w14:paraId="4846D644" w14:textId="77777777" w:rsidTr="00A55BE8">
        <w:trPr>
          <w:cantSplit/>
          <w:trHeight w:val="300"/>
        </w:trPr>
        <w:tc>
          <w:tcPr>
            <w:tcW w:w="383" w:type="pct"/>
            <w:shd w:val="clear" w:color="auto" w:fill="auto"/>
          </w:tcPr>
          <w:p w14:paraId="4954874D" w14:textId="77777777" w:rsidR="0010041C" w:rsidRPr="0007306F" w:rsidRDefault="0010041C" w:rsidP="00D36906">
            <w:pPr>
              <w:pStyle w:val="ListParagraph"/>
              <w:numPr>
                <w:ilvl w:val="0"/>
                <w:numId w:val="9"/>
              </w:numPr>
              <w:tabs>
                <w:tab w:val="left" w:pos="851"/>
                <w:tab w:val="left" w:pos="1560"/>
              </w:tabs>
              <w:spacing w:line="0" w:lineRule="atLeast"/>
              <w:jc w:val="both"/>
            </w:pPr>
          </w:p>
        </w:tc>
        <w:tc>
          <w:tcPr>
            <w:tcW w:w="4617" w:type="pct"/>
            <w:shd w:val="clear" w:color="auto" w:fill="auto"/>
          </w:tcPr>
          <w:p w14:paraId="4AD77F98" w14:textId="6934DEA0" w:rsidR="0010041C" w:rsidRPr="0007306F" w:rsidRDefault="0010041C" w:rsidP="00895B8C">
            <w:pPr>
              <w:tabs>
                <w:tab w:val="center" w:pos="1815"/>
              </w:tabs>
              <w:spacing w:after="19"/>
              <w:jc w:val="both"/>
            </w:pPr>
            <w:r w:rsidRPr="0007306F">
              <w:tab/>
            </w:r>
            <w:r w:rsidR="00485DFC" w:rsidRPr="0007306F">
              <w:t xml:space="preserve">Paslaugų </w:t>
            </w:r>
            <w:r w:rsidR="0007306F" w:rsidRPr="0007306F">
              <w:t>t</w:t>
            </w:r>
            <w:r w:rsidRPr="0007306F">
              <w:t xml:space="preserve">eikėjo teikiama dokumentacija turi būti parengta lietuvių </w:t>
            </w:r>
            <w:r w:rsidR="00FB4866">
              <w:t>arba anglų</w:t>
            </w:r>
            <w:r w:rsidR="006E698D">
              <w:t xml:space="preserve"> kalba</w:t>
            </w:r>
            <w:r w:rsidR="00FB4866">
              <w:t xml:space="preserve"> </w:t>
            </w:r>
            <w:r w:rsidRPr="0007306F">
              <w:t>(</w:t>
            </w:r>
            <w:r w:rsidR="00241DB5">
              <w:t xml:space="preserve">jei tiekėjas pateikia dokumentus lietuvių kalba techniniuose dokumentuose </w:t>
            </w:r>
            <w:r w:rsidRPr="0007306F">
              <w:t xml:space="preserve">dalis informacijos gali būti pateikiama </w:t>
            </w:r>
            <w:r w:rsidR="00241DB5">
              <w:t xml:space="preserve">ir </w:t>
            </w:r>
            <w:r w:rsidRPr="0007306F">
              <w:t xml:space="preserve">anglų kalba), pagal poreikį iliustruotas schemomis, lentelėmis, grafikais bei kitomis vaizdinėmis priemonėmis, pateikiama medžiaga išdėstoma aiškiai, nuosekliai ir detaliai. </w:t>
            </w:r>
          </w:p>
        </w:tc>
      </w:tr>
      <w:tr w:rsidR="009B386D" w:rsidRPr="0007306F" w:rsidDel="00EE3B8A" w14:paraId="0F2462D7" w14:textId="77777777" w:rsidTr="00A55BE8">
        <w:trPr>
          <w:cantSplit/>
          <w:trHeight w:val="403"/>
        </w:trPr>
        <w:tc>
          <w:tcPr>
            <w:tcW w:w="5000" w:type="pct"/>
            <w:gridSpan w:val="2"/>
            <w:shd w:val="clear" w:color="auto" w:fill="E7E6E6" w:themeFill="background2"/>
          </w:tcPr>
          <w:p w14:paraId="780C68FB" w14:textId="052A3C15" w:rsidR="009B386D" w:rsidRPr="0007306F" w:rsidRDefault="009B386D" w:rsidP="00556C7C">
            <w:pPr>
              <w:spacing w:before="20" w:after="20" w:line="22" w:lineRule="atLeast"/>
              <w:ind w:left="22"/>
              <w:jc w:val="center"/>
            </w:pPr>
            <w:r w:rsidRPr="0007306F">
              <w:rPr>
                <w:b/>
                <w:bCs/>
              </w:rPr>
              <w:t>Migravim</w:t>
            </w:r>
            <w:r w:rsidR="00895B8C" w:rsidRPr="0007306F">
              <w:rPr>
                <w:b/>
                <w:bCs/>
              </w:rPr>
              <w:t xml:space="preserve">ui </w:t>
            </w:r>
            <w:r w:rsidRPr="0007306F">
              <w:rPr>
                <w:b/>
                <w:bCs/>
              </w:rPr>
              <w:t>taikomi reikalavimai</w:t>
            </w:r>
          </w:p>
        </w:tc>
      </w:tr>
      <w:tr w:rsidR="009B386D" w:rsidRPr="0007306F" w:rsidDel="00EE3B8A" w14:paraId="625E6575" w14:textId="77777777" w:rsidTr="00A55BE8">
        <w:trPr>
          <w:cantSplit/>
          <w:trHeight w:val="300"/>
        </w:trPr>
        <w:tc>
          <w:tcPr>
            <w:tcW w:w="383" w:type="pct"/>
            <w:shd w:val="clear" w:color="auto" w:fill="auto"/>
          </w:tcPr>
          <w:p w14:paraId="028F9A76" w14:textId="3CE66899" w:rsidR="009B386D" w:rsidRPr="0007306F" w:rsidRDefault="009B386D" w:rsidP="00D36906">
            <w:pPr>
              <w:pStyle w:val="ListParagraph"/>
              <w:numPr>
                <w:ilvl w:val="0"/>
                <w:numId w:val="9"/>
              </w:numPr>
              <w:tabs>
                <w:tab w:val="left" w:pos="851"/>
                <w:tab w:val="left" w:pos="1560"/>
              </w:tabs>
              <w:spacing w:line="0" w:lineRule="atLeast"/>
              <w:jc w:val="both"/>
              <w:rPr>
                <w:lang w:val="en-US"/>
              </w:rPr>
            </w:pPr>
          </w:p>
        </w:tc>
        <w:tc>
          <w:tcPr>
            <w:tcW w:w="4617" w:type="pct"/>
            <w:shd w:val="clear" w:color="auto" w:fill="auto"/>
          </w:tcPr>
          <w:p w14:paraId="5A2541E9" w14:textId="0644AC2B" w:rsidR="009B386D" w:rsidRPr="0007306F" w:rsidRDefault="00895B8C" w:rsidP="00556C7C">
            <w:pPr>
              <w:spacing w:before="20" w:after="20" w:line="22" w:lineRule="atLeast"/>
              <w:jc w:val="both"/>
            </w:pPr>
            <w:r w:rsidRPr="0007306F">
              <w:t xml:space="preserve">Tikslinis vienos DB neveikimo laikotarpis migravimo metu – 2 val. Ilgesnis neveikimo laikotarpis turi būti </w:t>
            </w:r>
            <w:r w:rsidR="00241DB5">
              <w:t xml:space="preserve">objektyviai </w:t>
            </w:r>
            <w:r w:rsidRPr="0007306F">
              <w:t>pagrįstas ir suderintas su Perkančiąja organizacija el. p</w:t>
            </w:r>
            <w:r w:rsidR="00C450AA" w:rsidRPr="0007306F">
              <w:t>aštu</w:t>
            </w:r>
            <w:r w:rsidRPr="0007306F">
              <w:t>.</w:t>
            </w:r>
          </w:p>
        </w:tc>
      </w:tr>
      <w:tr w:rsidR="009B386D" w:rsidRPr="0007306F" w:rsidDel="00EE3B8A" w14:paraId="149F9A35" w14:textId="77777777" w:rsidTr="00A55BE8">
        <w:trPr>
          <w:cantSplit/>
          <w:trHeight w:val="300"/>
        </w:trPr>
        <w:tc>
          <w:tcPr>
            <w:tcW w:w="383" w:type="pct"/>
            <w:shd w:val="clear" w:color="auto" w:fill="auto"/>
          </w:tcPr>
          <w:p w14:paraId="5A6713DE" w14:textId="308979ED" w:rsidR="009B386D" w:rsidRPr="0007306F" w:rsidDel="004D6946" w:rsidRDefault="009B386D" w:rsidP="00D36906">
            <w:pPr>
              <w:pStyle w:val="ListParagraph"/>
              <w:numPr>
                <w:ilvl w:val="0"/>
                <w:numId w:val="9"/>
              </w:numPr>
              <w:tabs>
                <w:tab w:val="left" w:pos="851"/>
                <w:tab w:val="left" w:pos="1560"/>
              </w:tabs>
              <w:spacing w:line="0" w:lineRule="atLeast"/>
              <w:jc w:val="both"/>
            </w:pPr>
          </w:p>
        </w:tc>
        <w:tc>
          <w:tcPr>
            <w:tcW w:w="4617" w:type="pct"/>
            <w:shd w:val="clear" w:color="auto" w:fill="auto"/>
          </w:tcPr>
          <w:p w14:paraId="3F7207BC" w14:textId="455ABCC7" w:rsidR="009B386D" w:rsidRPr="0007306F" w:rsidRDefault="00895B8C" w:rsidP="00556C7C">
            <w:pPr>
              <w:spacing w:before="20" w:after="20" w:line="22" w:lineRule="atLeast"/>
              <w:jc w:val="both"/>
            </w:pPr>
            <w:r w:rsidRPr="0007306F">
              <w:t>Migravimo metu negali būti keičiama migruojamų DB struktūra, programinis kodas, architektūra.</w:t>
            </w:r>
          </w:p>
        </w:tc>
      </w:tr>
      <w:tr w:rsidR="009B386D" w:rsidRPr="0007306F" w:rsidDel="00EE3B8A" w14:paraId="399951D2" w14:textId="77777777" w:rsidTr="00A55BE8">
        <w:trPr>
          <w:cantSplit/>
          <w:trHeight w:val="300"/>
        </w:trPr>
        <w:tc>
          <w:tcPr>
            <w:tcW w:w="383" w:type="pct"/>
            <w:shd w:val="clear" w:color="auto" w:fill="auto"/>
          </w:tcPr>
          <w:p w14:paraId="49EB8DBD" w14:textId="28A31909" w:rsidR="009B386D" w:rsidRPr="0007306F" w:rsidRDefault="009B386D" w:rsidP="00D36906">
            <w:pPr>
              <w:pStyle w:val="ListParagraph"/>
              <w:numPr>
                <w:ilvl w:val="0"/>
                <w:numId w:val="9"/>
              </w:numPr>
              <w:tabs>
                <w:tab w:val="left" w:pos="851"/>
                <w:tab w:val="left" w:pos="1560"/>
              </w:tabs>
              <w:spacing w:line="0" w:lineRule="atLeast"/>
              <w:jc w:val="both"/>
            </w:pPr>
          </w:p>
        </w:tc>
        <w:tc>
          <w:tcPr>
            <w:tcW w:w="4617" w:type="pct"/>
            <w:shd w:val="clear" w:color="auto" w:fill="auto"/>
          </w:tcPr>
          <w:p w14:paraId="6CA9651F" w14:textId="41DABEF8" w:rsidR="009B386D" w:rsidRPr="0007306F" w:rsidRDefault="00895B8C" w:rsidP="00556C7C">
            <w:pPr>
              <w:spacing w:after="28" w:line="247" w:lineRule="auto"/>
              <w:ind w:left="60" w:hanging="60"/>
              <w:jc w:val="both"/>
            </w:pPr>
            <w:r w:rsidRPr="0007306F">
              <w:t>DB migravimas neturi sutrikdyti, pakeisti ar kitaip paveikti DB naudojančių aplikacijų ir P</w:t>
            </w:r>
            <w:r w:rsidR="00485DFC" w:rsidRPr="0007306F">
              <w:t>erkančiosios organizacijos</w:t>
            </w:r>
            <w:r w:rsidRPr="0007306F">
              <w:t xml:space="preserve"> teikiamų paslaugų veikimo.</w:t>
            </w:r>
          </w:p>
        </w:tc>
      </w:tr>
      <w:tr w:rsidR="0010041C" w:rsidRPr="0007306F" w:rsidDel="00EE3B8A" w14:paraId="5EA6FFFB" w14:textId="77777777" w:rsidTr="00A55BE8">
        <w:trPr>
          <w:cantSplit/>
          <w:trHeight w:val="300"/>
        </w:trPr>
        <w:tc>
          <w:tcPr>
            <w:tcW w:w="383" w:type="pct"/>
            <w:shd w:val="clear" w:color="auto" w:fill="auto"/>
          </w:tcPr>
          <w:p w14:paraId="6C99C121" w14:textId="77777777" w:rsidR="0010041C" w:rsidRPr="0007306F" w:rsidRDefault="0010041C" w:rsidP="00D36906">
            <w:pPr>
              <w:pStyle w:val="ListParagraph"/>
              <w:numPr>
                <w:ilvl w:val="0"/>
                <w:numId w:val="9"/>
              </w:numPr>
              <w:tabs>
                <w:tab w:val="left" w:pos="851"/>
                <w:tab w:val="left" w:pos="1560"/>
              </w:tabs>
              <w:spacing w:line="0" w:lineRule="atLeast"/>
              <w:jc w:val="both"/>
            </w:pPr>
          </w:p>
        </w:tc>
        <w:tc>
          <w:tcPr>
            <w:tcW w:w="4617" w:type="pct"/>
            <w:shd w:val="clear" w:color="auto" w:fill="auto"/>
          </w:tcPr>
          <w:p w14:paraId="6192FAA9" w14:textId="5B91217D" w:rsidR="0010041C" w:rsidRPr="0007306F" w:rsidRDefault="0010041C" w:rsidP="00556C7C">
            <w:pPr>
              <w:spacing w:after="28" w:line="247" w:lineRule="auto"/>
              <w:ind w:left="60" w:hanging="60"/>
              <w:jc w:val="both"/>
            </w:pPr>
            <w:r w:rsidRPr="0007306F">
              <w:t>Bet kokie migravimo darbai turi būti šalių suderinti</w:t>
            </w:r>
            <w:r w:rsidR="00485DFC" w:rsidRPr="0007306F">
              <w:t>, el.</w:t>
            </w:r>
            <w:r w:rsidR="004F62B3">
              <w:t xml:space="preserve"> </w:t>
            </w:r>
            <w:r w:rsidR="00485DFC" w:rsidRPr="0007306F">
              <w:t>p</w:t>
            </w:r>
            <w:r w:rsidR="004F62B3">
              <w:t>aštu</w:t>
            </w:r>
            <w:r w:rsidR="00485DFC" w:rsidRPr="0007306F">
              <w:t>,</w:t>
            </w:r>
            <w:r w:rsidRPr="0007306F">
              <w:t xml:space="preserve"> prieš juos vykdant</w:t>
            </w:r>
            <w:r w:rsidR="00485DFC" w:rsidRPr="0007306F">
              <w:t>.</w:t>
            </w:r>
          </w:p>
        </w:tc>
      </w:tr>
      <w:tr w:rsidR="0010041C" w:rsidRPr="0007306F" w:rsidDel="00EE3B8A" w14:paraId="4F4388D9" w14:textId="77777777" w:rsidTr="00A55BE8">
        <w:trPr>
          <w:cantSplit/>
          <w:trHeight w:val="300"/>
        </w:trPr>
        <w:tc>
          <w:tcPr>
            <w:tcW w:w="383" w:type="pct"/>
            <w:shd w:val="clear" w:color="auto" w:fill="auto"/>
          </w:tcPr>
          <w:p w14:paraId="539576B0" w14:textId="77777777" w:rsidR="0010041C" w:rsidRPr="0007306F" w:rsidRDefault="0010041C" w:rsidP="00D36906">
            <w:pPr>
              <w:pStyle w:val="ListParagraph"/>
              <w:numPr>
                <w:ilvl w:val="0"/>
                <w:numId w:val="9"/>
              </w:numPr>
              <w:tabs>
                <w:tab w:val="left" w:pos="851"/>
                <w:tab w:val="left" w:pos="1560"/>
              </w:tabs>
              <w:spacing w:line="0" w:lineRule="atLeast"/>
              <w:jc w:val="both"/>
            </w:pPr>
          </w:p>
        </w:tc>
        <w:tc>
          <w:tcPr>
            <w:tcW w:w="4617" w:type="pct"/>
            <w:shd w:val="clear" w:color="auto" w:fill="auto"/>
          </w:tcPr>
          <w:p w14:paraId="27F72497" w14:textId="1A5C9967" w:rsidR="0010041C" w:rsidRPr="0007306F" w:rsidRDefault="0010041C" w:rsidP="00556C7C">
            <w:pPr>
              <w:spacing w:after="28" w:line="247" w:lineRule="auto"/>
              <w:ind w:left="60" w:hanging="60"/>
              <w:jc w:val="both"/>
            </w:pPr>
            <w:r w:rsidRPr="0007306F">
              <w:t>Prieš bet kokius migravimo darbus, turi būti aprašytas atstatymo planas bei nurodyti atsakingi asmenys už jų atlikimą.</w:t>
            </w:r>
          </w:p>
        </w:tc>
      </w:tr>
      <w:tr w:rsidR="00187775" w:rsidRPr="0007306F" w:rsidDel="00EE3B8A" w14:paraId="4E7EE06B" w14:textId="77777777" w:rsidTr="00A55BE8">
        <w:trPr>
          <w:cantSplit/>
          <w:trHeight w:val="300"/>
        </w:trPr>
        <w:tc>
          <w:tcPr>
            <w:tcW w:w="383" w:type="pct"/>
            <w:shd w:val="clear" w:color="auto" w:fill="auto"/>
          </w:tcPr>
          <w:p w14:paraId="2C226CC1" w14:textId="77777777" w:rsidR="00187775" w:rsidRPr="0007306F" w:rsidRDefault="00187775" w:rsidP="00D36906">
            <w:pPr>
              <w:pStyle w:val="ListParagraph"/>
              <w:numPr>
                <w:ilvl w:val="0"/>
                <w:numId w:val="9"/>
              </w:numPr>
              <w:tabs>
                <w:tab w:val="left" w:pos="851"/>
                <w:tab w:val="left" w:pos="1560"/>
              </w:tabs>
              <w:spacing w:line="0" w:lineRule="atLeast"/>
              <w:jc w:val="both"/>
            </w:pPr>
          </w:p>
        </w:tc>
        <w:tc>
          <w:tcPr>
            <w:tcW w:w="4617" w:type="pct"/>
            <w:shd w:val="clear" w:color="auto" w:fill="auto"/>
          </w:tcPr>
          <w:p w14:paraId="3FB2EEC5" w14:textId="32B94922" w:rsidR="00187775" w:rsidRPr="0007306F" w:rsidRDefault="00187775" w:rsidP="00556C7C">
            <w:pPr>
              <w:spacing w:after="28" w:line="247" w:lineRule="auto"/>
              <w:ind w:left="60" w:hanging="60"/>
              <w:jc w:val="both"/>
            </w:pPr>
            <w:r w:rsidRPr="0007306F">
              <w:t xml:space="preserve">Po kiekvieno migravimo DB funkcijos testuojamos Perkančiosios organizacijos testuotojų. </w:t>
            </w:r>
          </w:p>
        </w:tc>
      </w:tr>
    </w:tbl>
    <w:p w14:paraId="39A8547B" w14:textId="77777777" w:rsidR="00895B8C" w:rsidRPr="0007306F" w:rsidRDefault="00895B8C" w:rsidP="009B386D">
      <w:pPr>
        <w:pStyle w:val="ListParagraph"/>
        <w:tabs>
          <w:tab w:val="left" w:pos="3600"/>
        </w:tabs>
        <w:spacing w:line="22" w:lineRule="atLeast"/>
        <w:ind w:left="0"/>
        <w:rPr>
          <w:b/>
          <w:lang w:val="en-US"/>
        </w:rPr>
      </w:pPr>
    </w:p>
    <w:p w14:paraId="55F02222" w14:textId="77777777" w:rsidR="009B386D" w:rsidRPr="0007306F" w:rsidRDefault="009B386D" w:rsidP="009B386D">
      <w:pPr>
        <w:pStyle w:val="ListParagraph"/>
        <w:tabs>
          <w:tab w:val="left" w:pos="3600"/>
        </w:tabs>
        <w:spacing w:line="22" w:lineRule="atLeast"/>
        <w:ind w:left="0"/>
        <w:rPr>
          <w:b/>
          <w:lang w:val="en-US"/>
        </w:rPr>
      </w:pPr>
    </w:p>
    <w:p w14:paraId="785A57A7" w14:textId="77777777" w:rsidR="009B386D" w:rsidRPr="0007306F" w:rsidRDefault="009B386D" w:rsidP="009B386D">
      <w:pPr>
        <w:pStyle w:val="ListParagraph"/>
        <w:tabs>
          <w:tab w:val="left" w:pos="3600"/>
        </w:tabs>
        <w:spacing w:line="22" w:lineRule="atLeast"/>
        <w:ind w:left="0"/>
        <w:jc w:val="center"/>
        <w:rPr>
          <w:b/>
          <w:lang w:val="en-US"/>
        </w:rPr>
      </w:pPr>
      <w:r w:rsidRPr="0007306F">
        <w:rPr>
          <w:b/>
          <w:lang w:val="en-US"/>
        </w:rPr>
        <w:t>V. SKYRIUS</w:t>
      </w:r>
    </w:p>
    <w:p w14:paraId="3CE191B0" w14:textId="77777777" w:rsidR="009B386D" w:rsidRPr="0007306F" w:rsidRDefault="009B386D" w:rsidP="009B386D">
      <w:pPr>
        <w:pStyle w:val="ListParagraph"/>
        <w:tabs>
          <w:tab w:val="left" w:pos="3600"/>
        </w:tabs>
        <w:spacing w:line="22" w:lineRule="atLeast"/>
        <w:ind w:left="0"/>
        <w:jc w:val="center"/>
        <w:rPr>
          <w:b/>
          <w:lang w:val="en-US"/>
        </w:rPr>
      </w:pPr>
      <w:r w:rsidRPr="0007306F">
        <w:rPr>
          <w:b/>
          <w:lang w:val="en-US"/>
        </w:rPr>
        <w:t>BENDROSIOS SĄLYGOS</w:t>
      </w:r>
    </w:p>
    <w:p w14:paraId="349ED5B2" w14:textId="77777777" w:rsidR="009B386D" w:rsidRPr="0007306F" w:rsidRDefault="009B386D" w:rsidP="009B386D">
      <w:pPr>
        <w:pStyle w:val="ListParagraph"/>
        <w:tabs>
          <w:tab w:val="left" w:pos="3600"/>
        </w:tabs>
        <w:spacing w:line="22" w:lineRule="atLeast"/>
        <w:ind w:left="0"/>
        <w:rPr>
          <w:b/>
          <w:lang w:val="en-US"/>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9048"/>
      </w:tblGrid>
      <w:tr w:rsidR="009B386D" w:rsidRPr="0007306F" w14:paraId="0208F809" w14:textId="77777777" w:rsidTr="00556C7C">
        <w:trPr>
          <w:cantSplit/>
          <w:tblHeader/>
        </w:trPr>
        <w:tc>
          <w:tcPr>
            <w:tcW w:w="369" w:type="pct"/>
            <w:shd w:val="clear" w:color="auto" w:fill="BFBFBF" w:themeFill="background1" w:themeFillShade="BF"/>
            <w:vAlign w:val="center"/>
          </w:tcPr>
          <w:p w14:paraId="4C78CF73" w14:textId="77777777" w:rsidR="009B386D" w:rsidRPr="0007306F" w:rsidRDefault="009B386D" w:rsidP="00556C7C">
            <w:pPr>
              <w:keepNext/>
              <w:spacing w:before="20" w:after="20" w:line="22" w:lineRule="atLeast"/>
              <w:rPr>
                <w:b/>
              </w:rPr>
            </w:pPr>
            <w:r w:rsidRPr="0007306F">
              <w:rPr>
                <w:b/>
              </w:rPr>
              <w:t>Eil.</w:t>
            </w:r>
          </w:p>
          <w:p w14:paraId="51BB5B0C" w14:textId="77777777" w:rsidR="009B386D" w:rsidRPr="0007306F" w:rsidRDefault="009B386D" w:rsidP="00556C7C">
            <w:pPr>
              <w:keepNext/>
              <w:spacing w:before="20" w:after="20" w:line="22" w:lineRule="atLeast"/>
              <w:rPr>
                <w:b/>
              </w:rPr>
            </w:pPr>
            <w:r w:rsidRPr="0007306F">
              <w:rPr>
                <w:b/>
              </w:rPr>
              <w:t>Nr.</w:t>
            </w:r>
          </w:p>
        </w:tc>
        <w:tc>
          <w:tcPr>
            <w:tcW w:w="4631" w:type="pct"/>
            <w:shd w:val="clear" w:color="auto" w:fill="BFBFBF" w:themeFill="background1" w:themeFillShade="BF"/>
            <w:vAlign w:val="center"/>
          </w:tcPr>
          <w:p w14:paraId="1BA0C742" w14:textId="77777777" w:rsidR="009B386D" w:rsidRPr="0007306F" w:rsidRDefault="009B386D" w:rsidP="00556C7C">
            <w:pPr>
              <w:keepNext/>
              <w:spacing w:before="20" w:after="20" w:line="22" w:lineRule="atLeast"/>
              <w:rPr>
                <w:b/>
              </w:rPr>
            </w:pPr>
            <w:r w:rsidRPr="0007306F">
              <w:rPr>
                <w:b/>
              </w:rPr>
              <w:t>Sąlyga</w:t>
            </w:r>
          </w:p>
        </w:tc>
      </w:tr>
      <w:tr w:rsidR="009B386D" w:rsidRPr="0007306F" w14:paraId="4A0E3FCD" w14:textId="77777777" w:rsidTr="00556C7C">
        <w:trPr>
          <w:cantSplit/>
        </w:trPr>
        <w:tc>
          <w:tcPr>
            <w:tcW w:w="369" w:type="pct"/>
            <w:shd w:val="clear" w:color="auto" w:fill="auto"/>
          </w:tcPr>
          <w:p w14:paraId="75115D0E" w14:textId="6478CE1E" w:rsidR="009B386D" w:rsidRPr="0007306F" w:rsidRDefault="009B386D" w:rsidP="00D36906">
            <w:pPr>
              <w:pStyle w:val="ListParagraph"/>
              <w:numPr>
                <w:ilvl w:val="0"/>
                <w:numId w:val="9"/>
              </w:numPr>
              <w:tabs>
                <w:tab w:val="left" w:pos="851"/>
                <w:tab w:val="left" w:pos="1560"/>
              </w:tabs>
              <w:spacing w:line="0" w:lineRule="atLeast"/>
              <w:jc w:val="both"/>
            </w:pPr>
          </w:p>
        </w:tc>
        <w:tc>
          <w:tcPr>
            <w:tcW w:w="4631" w:type="pct"/>
            <w:shd w:val="clear" w:color="auto" w:fill="auto"/>
          </w:tcPr>
          <w:p w14:paraId="362BD16E" w14:textId="69BEA893" w:rsidR="009B386D" w:rsidRPr="0007306F" w:rsidRDefault="00485DFC" w:rsidP="00556C7C">
            <w:pPr>
              <w:pStyle w:val="ListParagraph"/>
              <w:spacing w:before="20" w:after="20" w:line="22" w:lineRule="atLeast"/>
              <w:ind w:left="35"/>
              <w:jc w:val="both"/>
            </w:pPr>
            <w:r w:rsidRPr="0007306F">
              <w:t xml:space="preserve">Paslaugų </w:t>
            </w:r>
            <w:r w:rsidR="0007306F" w:rsidRPr="0007306F">
              <w:t>t</w:t>
            </w:r>
            <w:r w:rsidR="0010041C" w:rsidRPr="0007306F">
              <w:t>eikėjas</w:t>
            </w:r>
            <w:r w:rsidR="009B386D" w:rsidRPr="0007306F">
              <w:t xml:space="preserve"> turi užtikrinti, kad teikiamos Paslaugos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tc>
      </w:tr>
      <w:tr w:rsidR="00D36906" w:rsidRPr="0007306F" w14:paraId="1FDB22B0" w14:textId="77777777" w:rsidTr="00556C7C">
        <w:trPr>
          <w:cantSplit/>
        </w:trPr>
        <w:tc>
          <w:tcPr>
            <w:tcW w:w="369" w:type="pct"/>
            <w:shd w:val="clear" w:color="auto" w:fill="auto"/>
          </w:tcPr>
          <w:p w14:paraId="6358D3BE" w14:textId="77777777" w:rsidR="00D36906" w:rsidRPr="0007306F" w:rsidRDefault="00D36906" w:rsidP="00D36906">
            <w:pPr>
              <w:pStyle w:val="ListParagraph"/>
              <w:numPr>
                <w:ilvl w:val="0"/>
                <w:numId w:val="9"/>
              </w:numPr>
              <w:tabs>
                <w:tab w:val="left" w:pos="851"/>
                <w:tab w:val="left" w:pos="1560"/>
              </w:tabs>
              <w:spacing w:line="0" w:lineRule="atLeast"/>
              <w:jc w:val="both"/>
            </w:pPr>
          </w:p>
        </w:tc>
        <w:tc>
          <w:tcPr>
            <w:tcW w:w="4631" w:type="pct"/>
            <w:shd w:val="clear" w:color="auto" w:fill="auto"/>
          </w:tcPr>
          <w:p w14:paraId="61C00DB7" w14:textId="1B809867" w:rsidR="00D36906" w:rsidRPr="0007306F" w:rsidRDefault="00D36906" w:rsidP="00D36906">
            <w:pPr>
              <w:pStyle w:val="ListParagraph"/>
              <w:spacing w:before="20" w:after="20" w:line="22" w:lineRule="atLeast"/>
              <w:ind w:left="35"/>
              <w:jc w:val="both"/>
            </w:pPr>
            <w:r>
              <w:t>Paslaugų teikėjas turi vadovautis visais aktualiais Lietuvos Respublikos teisės aktais.</w:t>
            </w:r>
          </w:p>
        </w:tc>
      </w:tr>
      <w:tr w:rsidR="00D36906" w:rsidRPr="0007306F" w14:paraId="13AF297F" w14:textId="77777777" w:rsidTr="00556C7C">
        <w:trPr>
          <w:cantSplit/>
        </w:trPr>
        <w:tc>
          <w:tcPr>
            <w:tcW w:w="369" w:type="pct"/>
            <w:shd w:val="clear" w:color="auto" w:fill="auto"/>
          </w:tcPr>
          <w:p w14:paraId="1FB28952" w14:textId="386897EB" w:rsidR="00D36906" w:rsidRPr="0007306F" w:rsidRDefault="00D36906" w:rsidP="00D36906">
            <w:pPr>
              <w:pStyle w:val="ListParagraph"/>
              <w:numPr>
                <w:ilvl w:val="0"/>
                <w:numId w:val="9"/>
              </w:numPr>
              <w:tabs>
                <w:tab w:val="left" w:pos="851"/>
                <w:tab w:val="left" w:pos="1560"/>
              </w:tabs>
              <w:spacing w:line="0" w:lineRule="atLeast"/>
              <w:jc w:val="both"/>
            </w:pPr>
          </w:p>
        </w:tc>
        <w:tc>
          <w:tcPr>
            <w:tcW w:w="4631" w:type="pct"/>
            <w:shd w:val="clear" w:color="auto" w:fill="auto"/>
          </w:tcPr>
          <w:p w14:paraId="1F4ACD35" w14:textId="3E51A97F" w:rsidR="00D36906" w:rsidRPr="0007306F" w:rsidRDefault="00D36906" w:rsidP="00D36906">
            <w:pPr>
              <w:pStyle w:val="ListParagraph"/>
              <w:tabs>
                <w:tab w:val="left" w:pos="0"/>
                <w:tab w:val="left" w:pos="567"/>
                <w:tab w:val="left" w:pos="731"/>
                <w:tab w:val="left" w:pos="851"/>
              </w:tabs>
              <w:spacing w:line="276" w:lineRule="auto"/>
              <w:ind w:left="0"/>
              <w:jc w:val="both"/>
              <w:rPr>
                <w:bCs/>
              </w:rPr>
            </w:pPr>
            <w:r w:rsidRPr="00051C05">
              <w:rPr>
                <w:iCs/>
              </w:rPr>
              <w:t xml:space="preserve">Tiekėjo </w:t>
            </w:r>
            <w:r w:rsidRPr="00051C05">
              <w:rPr>
                <w:bCs/>
                <w:iCs/>
              </w:rPr>
              <w:t>siūlomos</w:t>
            </w:r>
            <w:r w:rsidRPr="00051C05">
              <w:rPr>
                <w:iCs/>
              </w:rPr>
              <w:t xml:space="preserve"> prekės</w:t>
            </w:r>
            <w:r>
              <w:rPr>
                <w:rStyle w:val="FootnoteReference"/>
                <w:iCs/>
              </w:rPr>
              <w:footnoteReference w:id="2"/>
            </w:r>
            <w:r w:rsidRPr="00051C05">
              <w:rPr>
                <w:iCs/>
              </w:rPr>
              <w:t xml:space="preserve"> (įskaitant jų gamintojus), paslaugos</w:t>
            </w:r>
            <w:r>
              <w:rPr>
                <w:rStyle w:val="FootnoteReference"/>
                <w:iCs/>
              </w:rPr>
              <w:footnoteReference w:id="3"/>
            </w:r>
            <w:r w:rsidRPr="00051C05">
              <w:rPr>
                <w:iCs/>
              </w:rPr>
              <w:t xml:space="preserve"> ar darbai</w:t>
            </w:r>
            <w:r>
              <w:rPr>
                <w:rStyle w:val="FootnoteReference"/>
                <w:iCs/>
              </w:rPr>
              <w:footnoteReference w:id="4"/>
            </w:r>
            <w:r w:rsidRPr="00051C05">
              <w:rPr>
                <w:iCs/>
              </w:rPr>
              <w:t xml:space="preserve"> neturi kelti grėsmės nacionaliniam saugumui. Tiekėjas teikdamas ir pasirašydamas pasiūlymą patvirtina, kad jo siūlomos prekės</w:t>
            </w:r>
            <w:r w:rsidR="008D75D6">
              <w:rPr>
                <w:iCs/>
                <w:vertAlign w:val="superscript"/>
                <w:lang w:val="en-US"/>
              </w:rPr>
              <w:t>2</w:t>
            </w:r>
            <w:r w:rsidRPr="00051C05">
              <w:rPr>
                <w:iCs/>
              </w:rPr>
              <w:t xml:space="preserve"> (įskaitant jų gamintojus), paslaugos</w:t>
            </w:r>
            <w:r w:rsidR="008D75D6">
              <w:rPr>
                <w:iCs/>
                <w:vertAlign w:val="superscript"/>
              </w:rPr>
              <w:t>3</w:t>
            </w:r>
            <w:r w:rsidRPr="00051C05">
              <w:rPr>
                <w:iCs/>
              </w:rPr>
              <w:t xml:space="preserve"> ir (ar) darbai</w:t>
            </w:r>
            <w:r w:rsidR="008D75D6">
              <w:rPr>
                <w:iCs/>
                <w:vertAlign w:val="superscript"/>
              </w:rPr>
              <w:t>4</w:t>
            </w:r>
            <w:r w:rsidRPr="00051C05">
              <w:rPr>
                <w:iCs/>
                <w:vertAlign w:val="superscript"/>
              </w:rPr>
              <w:t xml:space="preserve"> </w:t>
            </w:r>
            <w:r w:rsidRPr="00051C05">
              <w:rPr>
                <w:iCs/>
              </w:rPr>
              <w:t>nekelia grėsmės nacionaliniam saugumui.</w:t>
            </w:r>
          </w:p>
        </w:tc>
      </w:tr>
      <w:tr w:rsidR="00D36906" w:rsidRPr="0007306F" w14:paraId="52C11816" w14:textId="77777777" w:rsidTr="00556C7C">
        <w:trPr>
          <w:cantSplit/>
        </w:trPr>
        <w:tc>
          <w:tcPr>
            <w:tcW w:w="369" w:type="pct"/>
            <w:shd w:val="clear" w:color="auto" w:fill="auto"/>
          </w:tcPr>
          <w:p w14:paraId="41D7AC4D" w14:textId="20660D68" w:rsidR="00D36906" w:rsidRPr="0007306F" w:rsidRDefault="00D36906" w:rsidP="00D36906">
            <w:pPr>
              <w:pStyle w:val="ListParagraph"/>
              <w:numPr>
                <w:ilvl w:val="0"/>
                <w:numId w:val="9"/>
              </w:numPr>
              <w:tabs>
                <w:tab w:val="left" w:pos="851"/>
                <w:tab w:val="left" w:pos="1560"/>
              </w:tabs>
              <w:spacing w:line="0" w:lineRule="atLeast"/>
              <w:jc w:val="both"/>
            </w:pPr>
          </w:p>
        </w:tc>
        <w:tc>
          <w:tcPr>
            <w:tcW w:w="4631" w:type="pct"/>
            <w:shd w:val="clear" w:color="auto" w:fill="auto"/>
          </w:tcPr>
          <w:p w14:paraId="09F9E489" w14:textId="4A25E48B" w:rsidR="00D36906" w:rsidRPr="0007306F" w:rsidRDefault="00D36906" w:rsidP="00D36906">
            <w:pPr>
              <w:tabs>
                <w:tab w:val="left" w:pos="1440"/>
                <w:tab w:val="left" w:pos="2070"/>
              </w:tabs>
              <w:spacing w:line="240" w:lineRule="auto"/>
              <w:jc w:val="both"/>
            </w:pPr>
            <w:r w:rsidRPr="0007306F">
              <w:rPr>
                <w:rFonts w:eastAsia="Calibri"/>
              </w:rPr>
              <w:t xml:space="preserve">Paslaugų teikėjas ar jį kontroliuojantis asmuo </w:t>
            </w:r>
            <w:r w:rsidRPr="0007306F">
              <w:rPr>
                <w:rFonts w:eastAsia="Calibri"/>
                <w:bCs/>
              </w:rPr>
              <w:t>negali būti registruoti Lietuvos Respublikos viešųjų pirkimų įstatymo 92 straipsnio 14 dalyje numatytame sąraše nurodytose valstybėse ar teritorijose.</w:t>
            </w:r>
          </w:p>
        </w:tc>
      </w:tr>
      <w:tr w:rsidR="00D36906" w:rsidRPr="0007306F" w14:paraId="51F5B7C2" w14:textId="77777777" w:rsidTr="00556C7C">
        <w:trPr>
          <w:cantSplit/>
        </w:trPr>
        <w:tc>
          <w:tcPr>
            <w:tcW w:w="369" w:type="pct"/>
            <w:shd w:val="clear" w:color="auto" w:fill="auto"/>
          </w:tcPr>
          <w:p w14:paraId="54C5E64C" w14:textId="23B00B70" w:rsidR="00D36906" w:rsidRPr="0007306F" w:rsidRDefault="00D36906" w:rsidP="00D36906">
            <w:pPr>
              <w:pStyle w:val="ListParagraph"/>
              <w:numPr>
                <w:ilvl w:val="0"/>
                <w:numId w:val="9"/>
              </w:numPr>
              <w:tabs>
                <w:tab w:val="left" w:pos="851"/>
                <w:tab w:val="left" w:pos="1560"/>
              </w:tabs>
              <w:spacing w:line="0" w:lineRule="atLeast"/>
              <w:jc w:val="both"/>
              <w:rPr>
                <w:lang w:val="en-US"/>
              </w:rPr>
            </w:pPr>
          </w:p>
        </w:tc>
        <w:tc>
          <w:tcPr>
            <w:tcW w:w="4631" w:type="pct"/>
            <w:shd w:val="clear" w:color="auto" w:fill="auto"/>
          </w:tcPr>
          <w:p w14:paraId="4720D770" w14:textId="77777777" w:rsidR="00D36906" w:rsidRPr="0007306F" w:rsidRDefault="00D36906" w:rsidP="00D36906">
            <w:pPr>
              <w:pStyle w:val="ListParagraph"/>
              <w:spacing w:before="20" w:after="20" w:line="22" w:lineRule="atLeast"/>
              <w:ind w:left="35"/>
              <w:jc w:val="both"/>
            </w:pPr>
            <w:r w:rsidRPr="0007306F">
              <w:rPr>
                <w:rFonts w:eastAsia="Calibri"/>
                <w:bCs/>
              </w:rPr>
              <w:t>Paslaugų teikimas negali būti vykdomas iš šio Lietuvos Respublikos viešųjų pirkimų įstatymo 92 straipsnio 14 dalyje numatytame sąraše nurodytų valstybių ar teritorijų.</w:t>
            </w:r>
          </w:p>
        </w:tc>
      </w:tr>
      <w:tr w:rsidR="00D36906" w:rsidRPr="0007306F" w14:paraId="785C479F" w14:textId="77777777" w:rsidTr="00556C7C">
        <w:trPr>
          <w:cantSplit/>
        </w:trPr>
        <w:tc>
          <w:tcPr>
            <w:tcW w:w="369" w:type="pct"/>
            <w:shd w:val="clear" w:color="auto" w:fill="auto"/>
          </w:tcPr>
          <w:p w14:paraId="5A975FAC" w14:textId="148F85A9" w:rsidR="00D36906" w:rsidRPr="0007306F" w:rsidRDefault="00D36906" w:rsidP="00D36906">
            <w:pPr>
              <w:pStyle w:val="ListParagraph"/>
              <w:numPr>
                <w:ilvl w:val="0"/>
                <w:numId w:val="9"/>
              </w:numPr>
              <w:tabs>
                <w:tab w:val="left" w:pos="851"/>
                <w:tab w:val="left" w:pos="1560"/>
              </w:tabs>
              <w:spacing w:line="0" w:lineRule="atLeast"/>
              <w:jc w:val="both"/>
            </w:pPr>
          </w:p>
        </w:tc>
        <w:tc>
          <w:tcPr>
            <w:tcW w:w="4631" w:type="pct"/>
            <w:shd w:val="clear" w:color="auto" w:fill="auto"/>
          </w:tcPr>
          <w:p w14:paraId="7C3E2D49" w14:textId="0719B711" w:rsidR="00D36906" w:rsidRPr="0007306F" w:rsidRDefault="00D36906" w:rsidP="00D36906">
            <w:pPr>
              <w:spacing w:before="20" w:after="20" w:line="22" w:lineRule="atLeast"/>
              <w:jc w:val="both"/>
            </w:pPr>
            <w:r w:rsidRPr="0007306F">
              <w:rPr>
                <w:rFonts w:eastAsia="Calibri"/>
              </w:rPr>
              <w:t xml:space="preserve">Jeigu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07306F">
              <w:rPr>
                <w:rFonts w:eastAsia="Calibri"/>
                <w:bCs/>
              </w:rPr>
              <w:t xml:space="preserve">Lietuvos Respublikos viešųjų pirkimų įstatymo </w:t>
            </w:r>
            <w:r w:rsidRPr="0007306F">
              <w:rPr>
                <w:rFonts w:eastAsia="Calibri"/>
              </w:rPr>
              <w:t>37 straipsnio 9 dalis netaikoma.</w:t>
            </w:r>
          </w:p>
        </w:tc>
      </w:tr>
      <w:tr w:rsidR="00D36906" w:rsidRPr="0007306F" w14:paraId="4AFEB84C" w14:textId="77777777" w:rsidTr="00556C7C">
        <w:trPr>
          <w:cantSplit/>
        </w:trPr>
        <w:tc>
          <w:tcPr>
            <w:tcW w:w="369" w:type="pct"/>
            <w:shd w:val="clear" w:color="auto" w:fill="auto"/>
          </w:tcPr>
          <w:p w14:paraId="07349394" w14:textId="47B747A5" w:rsidR="00D36906" w:rsidRPr="0007306F" w:rsidRDefault="00D36906" w:rsidP="00D36906">
            <w:pPr>
              <w:pStyle w:val="ListParagraph"/>
              <w:numPr>
                <w:ilvl w:val="0"/>
                <w:numId w:val="9"/>
              </w:numPr>
              <w:tabs>
                <w:tab w:val="left" w:pos="851"/>
                <w:tab w:val="left" w:pos="1560"/>
              </w:tabs>
              <w:spacing w:line="0" w:lineRule="atLeast"/>
              <w:jc w:val="both"/>
            </w:pPr>
          </w:p>
        </w:tc>
        <w:tc>
          <w:tcPr>
            <w:tcW w:w="4631" w:type="pct"/>
            <w:shd w:val="clear" w:color="auto" w:fill="auto"/>
          </w:tcPr>
          <w:p w14:paraId="070E4F23" w14:textId="54F7C048" w:rsidR="00D36906" w:rsidRPr="0007306F" w:rsidRDefault="00D36906" w:rsidP="00D36906">
            <w:pPr>
              <w:pStyle w:val="ListParagraph"/>
              <w:spacing w:before="20" w:after="20" w:line="22" w:lineRule="atLeast"/>
              <w:ind w:left="35"/>
              <w:jc w:val="both"/>
            </w:pPr>
            <w:r w:rsidRPr="0007306F">
              <w:rPr>
                <w:rFonts w:eastAsia="Times New Roman"/>
              </w:rPr>
              <w:t>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teikėjas, teikėjų grupės partneriai, ir jų pasitelkiami subteikėjai privalės juos pateikti.</w:t>
            </w:r>
          </w:p>
        </w:tc>
      </w:tr>
      <w:tr w:rsidR="00D36906" w:rsidRPr="0007306F" w14:paraId="7A9BA142" w14:textId="77777777" w:rsidTr="00556C7C">
        <w:trPr>
          <w:cantSplit/>
        </w:trPr>
        <w:tc>
          <w:tcPr>
            <w:tcW w:w="369" w:type="pct"/>
            <w:shd w:val="clear" w:color="auto" w:fill="auto"/>
          </w:tcPr>
          <w:p w14:paraId="28F1197F" w14:textId="5ECB8574" w:rsidR="00D36906" w:rsidRPr="0007306F" w:rsidRDefault="00D36906" w:rsidP="00D36906">
            <w:pPr>
              <w:pStyle w:val="ListParagraph"/>
              <w:numPr>
                <w:ilvl w:val="0"/>
                <w:numId w:val="9"/>
              </w:numPr>
              <w:tabs>
                <w:tab w:val="left" w:pos="851"/>
                <w:tab w:val="left" w:pos="1560"/>
              </w:tabs>
              <w:spacing w:line="0" w:lineRule="atLeast"/>
              <w:jc w:val="both"/>
            </w:pPr>
          </w:p>
        </w:tc>
        <w:tc>
          <w:tcPr>
            <w:tcW w:w="4631" w:type="pct"/>
            <w:shd w:val="clear" w:color="auto" w:fill="auto"/>
          </w:tcPr>
          <w:p w14:paraId="446BE777" w14:textId="02279D97" w:rsidR="00D36906" w:rsidRPr="0007306F" w:rsidRDefault="00D36906" w:rsidP="00D36906">
            <w:pPr>
              <w:jc w:val="both"/>
            </w:pPr>
            <w:r w:rsidRPr="0007306F">
              <w:t xml:space="preserve">Paslaugų teikimo metu periodiškai, ne mažiau kaip kartą per ketvirtį turi būti teikiamos rekomendacijos bei ataskaitos, kuriose nurodomos Paslaugų kokybę įtakojantys neišspręsti klausimai/problemos, rizikos ir kiti klausimai kurių sprendimas reikalauja papildomo dėmesio ar eskalavimo. </w:t>
            </w:r>
          </w:p>
        </w:tc>
      </w:tr>
      <w:tr w:rsidR="00D36906" w:rsidRPr="0007306F" w14:paraId="147B52EB" w14:textId="77777777" w:rsidTr="00556C7C">
        <w:trPr>
          <w:cantSplit/>
        </w:trPr>
        <w:tc>
          <w:tcPr>
            <w:tcW w:w="369" w:type="pct"/>
            <w:shd w:val="clear" w:color="auto" w:fill="auto"/>
          </w:tcPr>
          <w:p w14:paraId="6103B85A" w14:textId="66B52851" w:rsidR="00D36906" w:rsidRPr="0007306F" w:rsidRDefault="00D36906" w:rsidP="00D36906">
            <w:pPr>
              <w:pStyle w:val="ListParagraph"/>
              <w:numPr>
                <w:ilvl w:val="0"/>
                <w:numId w:val="9"/>
              </w:numPr>
              <w:tabs>
                <w:tab w:val="left" w:pos="851"/>
                <w:tab w:val="left" w:pos="1560"/>
              </w:tabs>
              <w:spacing w:line="0" w:lineRule="atLeast"/>
              <w:jc w:val="both"/>
            </w:pPr>
          </w:p>
        </w:tc>
        <w:tc>
          <w:tcPr>
            <w:tcW w:w="4631" w:type="pct"/>
            <w:shd w:val="clear" w:color="auto" w:fill="auto"/>
          </w:tcPr>
          <w:p w14:paraId="66C45199" w14:textId="765A8192" w:rsidR="00D36906" w:rsidRPr="0007306F" w:rsidRDefault="00D36906" w:rsidP="00D36906">
            <w:pPr>
              <w:jc w:val="both"/>
            </w:pPr>
            <w:r w:rsidRPr="0007306F">
              <w:t>Po Paslaugų įvykdymo DB saugomi duomenys turi būti apsaugoti nuo nesankcionuoto priėjimo, naudojimo, pakeitimo, atskleidimo, sunaikinimo ar praradimo.</w:t>
            </w:r>
          </w:p>
        </w:tc>
      </w:tr>
      <w:tr w:rsidR="00D36906" w:rsidRPr="0007306F" w14:paraId="15C68A14" w14:textId="77777777" w:rsidTr="00556C7C">
        <w:trPr>
          <w:cantSplit/>
        </w:trPr>
        <w:tc>
          <w:tcPr>
            <w:tcW w:w="369" w:type="pct"/>
            <w:shd w:val="clear" w:color="auto" w:fill="auto"/>
          </w:tcPr>
          <w:p w14:paraId="325CC364" w14:textId="77777777" w:rsidR="00D36906" w:rsidRPr="0007306F" w:rsidRDefault="00D36906" w:rsidP="00D36906">
            <w:pPr>
              <w:pStyle w:val="ListParagraph"/>
              <w:numPr>
                <w:ilvl w:val="0"/>
                <w:numId w:val="9"/>
              </w:numPr>
              <w:tabs>
                <w:tab w:val="left" w:pos="851"/>
                <w:tab w:val="left" w:pos="1560"/>
              </w:tabs>
              <w:spacing w:line="0" w:lineRule="atLeast"/>
              <w:jc w:val="both"/>
            </w:pPr>
          </w:p>
        </w:tc>
        <w:tc>
          <w:tcPr>
            <w:tcW w:w="4631" w:type="pct"/>
            <w:shd w:val="clear" w:color="auto" w:fill="auto"/>
          </w:tcPr>
          <w:p w14:paraId="2BC092A5" w14:textId="24BA3C60" w:rsidR="00D36906" w:rsidRPr="0007306F" w:rsidRDefault="00D36906" w:rsidP="00D36906">
            <w:pPr>
              <w:jc w:val="both"/>
            </w:pPr>
            <w:r w:rsidRPr="0007306F">
              <w:t>Paslaugų teikėjas turi užtikrinti, kad Sutartį vykdantys specialistai atitiks Lietuvos Respublikos nacionaliniam saugumui užtikrinti svarbių objektų apsaugos įstatymo bei Lietuvos Respublikos korupcijos prevencijos įstatymo nuostatas sudarius Sutartį iki jos vykdymo pradžios bus atliekama Paslaugas teikiančių darbuotojų, kuriems dėl priskirtų funkcijų ar pavesto darbo būtų suteikta teisė be palydos patekti prie Perkančiosios organizacijos valdomų nacionaliniam saugumui užtikrinti svarbių įrenginių ar turto, patikra. Paslaugų teikėjas per 5 darbo dienas nuo Sutarties sudarymo turės pateikti Sutartį vykdančių asmenų sąrašą, jų asmens duomenis reikalingus patikrinimui atlikti. Darbuotojai, kuriems bus atliekamas patikrinimas turės pasirašyti sutikimą dėl asmens patikros bei jo asmens duomenų tvarkymo įstatyme numatyta tvarka, kuriuos Perkančioji organizacija gaus iš atitinkamų institucijų.</w:t>
            </w:r>
          </w:p>
        </w:tc>
      </w:tr>
      <w:tr w:rsidR="00D36906" w:rsidRPr="0007306F" w14:paraId="0BBD1A2E" w14:textId="77777777" w:rsidTr="00556C7C">
        <w:trPr>
          <w:cantSplit/>
        </w:trPr>
        <w:tc>
          <w:tcPr>
            <w:tcW w:w="369" w:type="pct"/>
            <w:shd w:val="clear" w:color="auto" w:fill="auto"/>
          </w:tcPr>
          <w:p w14:paraId="6A45C7BE" w14:textId="77777777" w:rsidR="00D36906" w:rsidRPr="0007306F" w:rsidRDefault="00D36906" w:rsidP="00D36906">
            <w:pPr>
              <w:pStyle w:val="ListParagraph"/>
              <w:numPr>
                <w:ilvl w:val="0"/>
                <w:numId w:val="9"/>
              </w:numPr>
              <w:tabs>
                <w:tab w:val="left" w:pos="851"/>
                <w:tab w:val="left" w:pos="1560"/>
              </w:tabs>
              <w:spacing w:line="0" w:lineRule="atLeast"/>
              <w:jc w:val="both"/>
            </w:pPr>
          </w:p>
        </w:tc>
        <w:tc>
          <w:tcPr>
            <w:tcW w:w="4631" w:type="pct"/>
            <w:shd w:val="clear" w:color="auto" w:fill="auto"/>
          </w:tcPr>
          <w:p w14:paraId="120CAFB3" w14:textId="4FFDBAD9" w:rsidR="00D36906" w:rsidRPr="0007306F" w:rsidRDefault="00D36906" w:rsidP="00D36906">
            <w:pPr>
              <w:jc w:val="both"/>
            </w:pPr>
            <w:r w:rsidRPr="0007306F">
              <w:t>Atsižvelgiant į tai, kad perkamos Paslaugos yra nematerialaus pobūdžio intelektinės paslaugos, nesusijusios su materialaus objekto sukūrimu, kurių teikimo metu nebus sukurtas neigiamas poveikis aplinkai, taip pat nebus sukuriamas taršos šaltinis ar generuojamos atliekos, vadovaujantis Aplinkos apsaugos kriterijų taikymo, vykdant žaliuosius pirkimus, tvarkos aprašo, patvirtinto Lietuvos Respublikos aplinkos ministro 2011 m. birželio 28 d. įsakymu Nr. D1-508, Pirkimas laikomas žaliuoju.</w:t>
            </w:r>
          </w:p>
        </w:tc>
      </w:tr>
    </w:tbl>
    <w:p w14:paraId="3F8669CC" w14:textId="77777777" w:rsidR="009B386D" w:rsidRPr="0007306F" w:rsidRDefault="009B386D" w:rsidP="009B386D">
      <w:pPr>
        <w:pStyle w:val="ListParagraph"/>
        <w:tabs>
          <w:tab w:val="left" w:pos="3600"/>
        </w:tabs>
        <w:spacing w:line="22" w:lineRule="atLeast"/>
        <w:ind w:left="0"/>
        <w:rPr>
          <w:b/>
        </w:rPr>
      </w:pPr>
    </w:p>
    <w:p w14:paraId="101B21B4" w14:textId="2B028187" w:rsidR="00DC6188" w:rsidRPr="0048451D" w:rsidRDefault="00DC6188" w:rsidP="0048451D">
      <w:pPr>
        <w:jc w:val="both"/>
        <w:rPr>
          <w:lang w:val="en-US"/>
        </w:rPr>
      </w:pPr>
      <w:r>
        <w:t xml:space="preserve">PRIDEDAMA. Konfidencialumo pasižadėjimas saugoti valstybės įmonės Registrų centro tvarkomų duomenų paslaptį ir laikytis duomenų saugos reikalavimų, </w:t>
      </w:r>
      <w:r>
        <w:rPr>
          <w:lang w:val="en-US"/>
        </w:rPr>
        <w:t xml:space="preserve">2 </w:t>
      </w:r>
      <w:proofErr w:type="spellStart"/>
      <w:r>
        <w:rPr>
          <w:lang w:val="en-US"/>
        </w:rPr>
        <w:t>lapai</w:t>
      </w:r>
      <w:proofErr w:type="spellEnd"/>
      <w:r>
        <w:rPr>
          <w:lang w:val="en-US"/>
        </w:rPr>
        <w:t>.</w:t>
      </w:r>
    </w:p>
    <w:sectPr w:rsidR="00DC6188" w:rsidRPr="0048451D"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FF927" w14:textId="77777777" w:rsidR="00BF5AEA" w:rsidRDefault="00BF5AEA" w:rsidP="00DD3A79">
      <w:pPr>
        <w:spacing w:line="240" w:lineRule="auto"/>
      </w:pPr>
      <w:r>
        <w:separator/>
      </w:r>
    </w:p>
  </w:endnote>
  <w:endnote w:type="continuationSeparator" w:id="0">
    <w:p w14:paraId="52BE9D5F" w14:textId="77777777" w:rsidR="00BF5AEA" w:rsidRDefault="00BF5AEA"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3214A" w14:textId="77777777" w:rsidR="00BF5AEA" w:rsidRDefault="00BF5AEA" w:rsidP="00DD3A79">
      <w:pPr>
        <w:spacing w:line="240" w:lineRule="auto"/>
      </w:pPr>
      <w:r>
        <w:separator/>
      </w:r>
    </w:p>
  </w:footnote>
  <w:footnote w:type="continuationSeparator" w:id="0">
    <w:p w14:paraId="5D9EAC19" w14:textId="77777777" w:rsidR="00BF5AEA" w:rsidRDefault="00BF5AEA" w:rsidP="00DD3A79">
      <w:pPr>
        <w:spacing w:line="240" w:lineRule="auto"/>
      </w:pPr>
      <w:r>
        <w:continuationSeparator/>
      </w:r>
    </w:p>
  </w:footnote>
  <w:footnote w:id="1">
    <w:p w14:paraId="58728EFA" w14:textId="6261237E" w:rsidR="00FA7576" w:rsidRDefault="00FA7576">
      <w:pPr>
        <w:pStyle w:val="FootnoteText"/>
      </w:pPr>
      <w:r>
        <w:rPr>
          <w:rStyle w:val="FootnoteReference"/>
        </w:rPr>
        <w:footnoteRef/>
      </w:r>
      <w:r>
        <w:t xml:space="preserve"> </w:t>
      </w:r>
      <w:r w:rsidRPr="00FA7576">
        <w:t>https://vlkk.lt/konsultacijos/2699-script-rasmenys-scenarijus</w:t>
      </w:r>
    </w:p>
  </w:footnote>
  <w:footnote w:id="2">
    <w:p w14:paraId="7EA9D5CF" w14:textId="77777777" w:rsidR="00D36906" w:rsidRPr="00287732" w:rsidRDefault="00D36906" w:rsidP="004F7008">
      <w:pPr>
        <w:pStyle w:val="FootnoteText"/>
        <w:rPr>
          <w:rFonts w:ascii="Tahoma" w:hAnsi="Tahoma" w:cs="Tahoma"/>
          <w:sz w:val="18"/>
          <w:szCs w:val="18"/>
        </w:rPr>
      </w:pPr>
      <w:r w:rsidRPr="00287732">
        <w:rPr>
          <w:rStyle w:val="FootnoteReference"/>
          <w:rFonts w:ascii="Tahoma" w:hAnsi="Tahoma" w:cs="Tahoma"/>
          <w:sz w:val="18"/>
          <w:szCs w:val="18"/>
        </w:rPr>
        <w:footnoteRef/>
      </w:r>
      <w:r w:rsidRPr="00287732">
        <w:rPr>
          <w:rFonts w:ascii="Tahoma" w:hAnsi="Tahoma" w:cs="Tahoma"/>
          <w:sz w:val="18"/>
          <w:szCs w:val="18"/>
        </w:rPr>
        <w:t xml:space="preserve"> </w:t>
      </w:r>
      <w:r w:rsidRPr="00287732">
        <w:rPr>
          <w:rFonts w:ascii="Tahoma" w:hAnsi="Tahoma" w:cs="Tahoma"/>
          <w:sz w:val="18"/>
          <w:szCs w:val="18"/>
        </w:rPr>
        <w:t>Taikoma, kai perkamos prekės.</w:t>
      </w:r>
    </w:p>
  </w:footnote>
  <w:footnote w:id="3">
    <w:p w14:paraId="547C5458" w14:textId="77777777" w:rsidR="00D36906" w:rsidRPr="00287732" w:rsidRDefault="00D36906" w:rsidP="004F7008">
      <w:pPr>
        <w:pStyle w:val="FootnoteText"/>
        <w:rPr>
          <w:rFonts w:ascii="Tahoma" w:hAnsi="Tahoma" w:cs="Tahoma"/>
          <w:sz w:val="18"/>
          <w:szCs w:val="18"/>
        </w:rPr>
      </w:pPr>
      <w:r w:rsidRPr="00287732">
        <w:rPr>
          <w:rStyle w:val="FootnoteReference"/>
          <w:rFonts w:ascii="Tahoma" w:hAnsi="Tahoma" w:cs="Tahoma"/>
          <w:sz w:val="18"/>
          <w:szCs w:val="18"/>
        </w:rPr>
        <w:footnoteRef/>
      </w:r>
      <w:r w:rsidRPr="00287732">
        <w:rPr>
          <w:rFonts w:ascii="Tahoma" w:hAnsi="Tahoma" w:cs="Tahoma"/>
          <w:sz w:val="18"/>
          <w:szCs w:val="18"/>
        </w:rPr>
        <w:t xml:space="preserve"> </w:t>
      </w:r>
      <w:r w:rsidRPr="00287732">
        <w:rPr>
          <w:rFonts w:ascii="Tahoma" w:hAnsi="Tahoma" w:cs="Tahoma"/>
          <w:sz w:val="18"/>
          <w:szCs w:val="18"/>
        </w:rPr>
        <w:t>Taikoma, kai perkamos paslaugos.</w:t>
      </w:r>
    </w:p>
  </w:footnote>
  <w:footnote w:id="4">
    <w:p w14:paraId="40BC8E68" w14:textId="77777777" w:rsidR="00D36906" w:rsidRDefault="00D36906" w:rsidP="004F7008">
      <w:pPr>
        <w:pStyle w:val="FootnoteText"/>
      </w:pPr>
      <w:r w:rsidRPr="00287732">
        <w:rPr>
          <w:rStyle w:val="FootnoteReference"/>
          <w:rFonts w:ascii="Tahoma" w:hAnsi="Tahoma" w:cs="Tahoma"/>
          <w:sz w:val="18"/>
          <w:szCs w:val="18"/>
        </w:rPr>
        <w:footnoteRef/>
      </w:r>
      <w:r w:rsidRPr="00287732">
        <w:rPr>
          <w:rFonts w:ascii="Tahoma" w:hAnsi="Tahoma" w:cs="Tahoma"/>
          <w:sz w:val="18"/>
          <w:szCs w:val="18"/>
        </w:rPr>
        <w:t xml:space="preserve"> </w:t>
      </w:r>
      <w:r w:rsidRPr="00287732">
        <w:rPr>
          <w:rFonts w:ascii="Tahoma" w:hAnsi="Tahoma" w:cs="Tahoma"/>
          <w:sz w:val="18"/>
          <w:szCs w:val="18"/>
        </w:rPr>
        <w:t>Taikoma, kai perkami darbai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924340"/>
      <w:docPartObj>
        <w:docPartGallery w:val="Page Numbers (Top of Page)"/>
        <w:docPartUnique/>
      </w:docPartObj>
    </w:sdtPr>
    <w:sdtEndPr/>
    <w:sdtContent>
      <w:p w14:paraId="10E59C1C" w14:textId="77777777" w:rsidR="00DD3A79" w:rsidRPr="00F350AC" w:rsidRDefault="00DD3A79" w:rsidP="00B76466">
        <w:pPr>
          <w:pStyle w:val="Header"/>
          <w:jc w:val="right"/>
        </w:pPr>
        <w:r w:rsidRPr="00F350AC">
          <w:rPr>
            <w:bCs/>
          </w:rPr>
          <w:fldChar w:fldCharType="begin"/>
        </w:r>
        <w:r w:rsidRPr="00F350AC">
          <w:rPr>
            <w:bCs/>
          </w:rPr>
          <w:instrText xml:space="preserve"> PAGE </w:instrText>
        </w:r>
        <w:r w:rsidRPr="00F350AC">
          <w:rPr>
            <w:bCs/>
          </w:rPr>
          <w:fldChar w:fldCharType="separate"/>
        </w:r>
        <w:r w:rsidR="00F350AC">
          <w:rPr>
            <w:bCs/>
            <w:noProof/>
          </w:rPr>
          <w:t>1</w:t>
        </w:r>
        <w:r w:rsidRPr="00F350AC">
          <w:rPr>
            <w:bCs/>
          </w:rPr>
          <w:fldChar w:fldCharType="end"/>
        </w:r>
        <w:r w:rsidRPr="00F350AC">
          <w:rPr>
            <w:bCs/>
          </w:rPr>
          <w:t>-</w:t>
        </w:r>
        <w:r w:rsidRPr="00F350AC">
          <w:rPr>
            <w:bCs/>
          </w:rPr>
          <w:fldChar w:fldCharType="begin"/>
        </w:r>
        <w:r w:rsidRPr="00F350AC">
          <w:rPr>
            <w:bCs/>
          </w:rPr>
          <w:instrText xml:space="preserve"> NUMPAGES  </w:instrText>
        </w:r>
        <w:r w:rsidRPr="00F350AC">
          <w:rPr>
            <w:bCs/>
          </w:rPr>
          <w:fldChar w:fldCharType="separate"/>
        </w:r>
        <w:r w:rsidR="00F350AC">
          <w:rPr>
            <w:bCs/>
            <w:noProof/>
          </w:rPr>
          <w:t>1</w:t>
        </w:r>
        <w:r w:rsidRPr="00F350AC">
          <w:rPr>
            <w:bCs/>
          </w:rPr>
          <w:fldChar w:fldCharType="end"/>
        </w:r>
      </w:p>
    </w:sdtContent>
  </w:sdt>
  <w:p w14:paraId="53A28A3B" w14:textId="77777777" w:rsidR="00DD3A79" w:rsidRPr="00F350AC" w:rsidRDefault="00DD3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168A5"/>
    <w:multiLevelType w:val="multilevel"/>
    <w:tmpl w:val="6C7EB46E"/>
    <w:lvl w:ilvl="0">
      <w:start w:val="1"/>
      <w:numFmt w:val="decimal"/>
      <w:suff w:val="space"/>
      <w:lvlText w:val="%1."/>
      <w:lvlJc w:val="left"/>
      <w:pPr>
        <w:ind w:left="0" w:firstLine="567"/>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16377F09"/>
    <w:multiLevelType w:val="multilevel"/>
    <w:tmpl w:val="2B604D68"/>
    <w:lvl w:ilvl="0">
      <w:start w:val="4"/>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17221682"/>
    <w:multiLevelType w:val="multilevel"/>
    <w:tmpl w:val="6C7EB46E"/>
    <w:lvl w:ilvl="0">
      <w:start w:val="1"/>
      <w:numFmt w:val="decimal"/>
      <w:suff w:val="space"/>
      <w:lvlText w:val="%1."/>
      <w:lvlJc w:val="left"/>
      <w:pPr>
        <w:ind w:left="0" w:firstLine="567"/>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1DA91203"/>
    <w:multiLevelType w:val="hybridMultilevel"/>
    <w:tmpl w:val="7F2E98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D244B4"/>
    <w:multiLevelType w:val="hybridMultilevel"/>
    <w:tmpl w:val="BBF2E3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E4B315"/>
    <w:multiLevelType w:val="hybridMultilevel"/>
    <w:tmpl w:val="8EB41206"/>
    <w:lvl w:ilvl="0" w:tplc="BCB2AC12">
      <w:start w:val="1"/>
      <w:numFmt w:val="lowerLetter"/>
      <w:lvlText w:val="%1."/>
      <w:lvlJc w:val="left"/>
      <w:pPr>
        <w:ind w:left="720" w:hanging="360"/>
      </w:pPr>
    </w:lvl>
    <w:lvl w:ilvl="1" w:tplc="D11226F0">
      <w:start w:val="1"/>
      <w:numFmt w:val="lowerLetter"/>
      <w:lvlText w:val="%2."/>
      <w:lvlJc w:val="left"/>
      <w:pPr>
        <w:ind w:left="1440" w:hanging="360"/>
      </w:pPr>
    </w:lvl>
    <w:lvl w:ilvl="2" w:tplc="43C8DDF6">
      <w:start w:val="1"/>
      <w:numFmt w:val="lowerRoman"/>
      <w:lvlText w:val="%3."/>
      <w:lvlJc w:val="right"/>
      <w:pPr>
        <w:ind w:left="2160" w:hanging="180"/>
      </w:pPr>
    </w:lvl>
    <w:lvl w:ilvl="3" w:tplc="B23E699E">
      <w:start w:val="1"/>
      <w:numFmt w:val="decimal"/>
      <w:lvlText w:val="%4."/>
      <w:lvlJc w:val="left"/>
      <w:pPr>
        <w:ind w:left="2880" w:hanging="360"/>
      </w:pPr>
    </w:lvl>
    <w:lvl w:ilvl="4" w:tplc="67E419EE">
      <w:start w:val="1"/>
      <w:numFmt w:val="lowerLetter"/>
      <w:lvlText w:val="%5."/>
      <w:lvlJc w:val="left"/>
      <w:pPr>
        <w:ind w:left="3600" w:hanging="360"/>
      </w:pPr>
    </w:lvl>
    <w:lvl w:ilvl="5" w:tplc="0EE84680">
      <w:start w:val="1"/>
      <w:numFmt w:val="lowerRoman"/>
      <w:lvlText w:val="%6."/>
      <w:lvlJc w:val="right"/>
      <w:pPr>
        <w:ind w:left="4320" w:hanging="180"/>
      </w:pPr>
    </w:lvl>
    <w:lvl w:ilvl="6" w:tplc="1700D2A8">
      <w:start w:val="1"/>
      <w:numFmt w:val="decimal"/>
      <w:lvlText w:val="%7."/>
      <w:lvlJc w:val="left"/>
      <w:pPr>
        <w:ind w:left="5040" w:hanging="360"/>
      </w:pPr>
    </w:lvl>
    <w:lvl w:ilvl="7" w:tplc="1A629742">
      <w:start w:val="1"/>
      <w:numFmt w:val="lowerLetter"/>
      <w:lvlText w:val="%8."/>
      <w:lvlJc w:val="left"/>
      <w:pPr>
        <w:ind w:left="5760" w:hanging="360"/>
      </w:pPr>
    </w:lvl>
    <w:lvl w:ilvl="8" w:tplc="40FEE124">
      <w:start w:val="1"/>
      <w:numFmt w:val="lowerRoman"/>
      <w:lvlText w:val="%9."/>
      <w:lvlJc w:val="right"/>
      <w:pPr>
        <w:ind w:left="6480" w:hanging="180"/>
      </w:pPr>
    </w:lvl>
  </w:abstractNum>
  <w:abstractNum w:abstractNumId="6" w15:restartNumberingAfterBreak="0">
    <w:nsid w:val="25C701F5"/>
    <w:multiLevelType w:val="hybridMultilevel"/>
    <w:tmpl w:val="9DF409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9D5A70"/>
    <w:multiLevelType w:val="multilevel"/>
    <w:tmpl w:val="75F6EA56"/>
    <w:lvl w:ilvl="0">
      <w:start w:val="4"/>
      <w:numFmt w:val="decimal"/>
      <w:lvlText w:val="%1."/>
      <w:lvlJc w:val="left"/>
      <w:pPr>
        <w:ind w:left="450" w:hanging="450"/>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1080" w:hanging="1080"/>
      </w:pPr>
      <w:rPr>
        <w:rFonts w:hint="default"/>
        <w:sz w:val="22"/>
      </w:rPr>
    </w:lvl>
    <w:lvl w:ilvl="3">
      <w:start w:val="1"/>
      <w:numFmt w:val="bullet"/>
      <w:lvlText w:val=""/>
      <w:lvlJc w:val="left"/>
      <w:pPr>
        <w:ind w:left="720" w:hanging="360"/>
      </w:pPr>
      <w:rPr>
        <w:rFonts w:ascii="Symbol" w:hAnsi="Symbol" w:hint="default"/>
      </w:rPr>
    </w:lvl>
    <w:lvl w:ilvl="4">
      <w:start w:val="1"/>
      <w:numFmt w:val="decimal"/>
      <w:lvlText w:val="%1.%2.%3.%4.%5."/>
      <w:lvlJc w:val="left"/>
      <w:pPr>
        <w:ind w:left="1440" w:hanging="1440"/>
      </w:pPr>
      <w:rPr>
        <w:rFonts w:hint="default"/>
        <w:sz w:val="22"/>
      </w:rPr>
    </w:lvl>
    <w:lvl w:ilvl="5">
      <w:start w:val="1"/>
      <w:numFmt w:val="decimal"/>
      <w:lvlText w:val="%1.%2.%3.%4.%5.%6."/>
      <w:lvlJc w:val="left"/>
      <w:pPr>
        <w:ind w:left="1800" w:hanging="1800"/>
      </w:pPr>
      <w:rPr>
        <w:rFonts w:hint="default"/>
        <w:sz w:val="22"/>
      </w:rPr>
    </w:lvl>
    <w:lvl w:ilvl="6">
      <w:start w:val="1"/>
      <w:numFmt w:val="decimal"/>
      <w:lvlText w:val="%1.%2.%3.%4.%5.%6.%7."/>
      <w:lvlJc w:val="left"/>
      <w:pPr>
        <w:ind w:left="2160" w:hanging="2160"/>
      </w:pPr>
      <w:rPr>
        <w:rFonts w:hint="default"/>
        <w:sz w:val="22"/>
      </w:rPr>
    </w:lvl>
    <w:lvl w:ilvl="7">
      <w:start w:val="1"/>
      <w:numFmt w:val="decimal"/>
      <w:lvlText w:val="%1.%2.%3.%4.%5.%6.%7.%8."/>
      <w:lvlJc w:val="left"/>
      <w:pPr>
        <w:ind w:left="2520" w:hanging="2520"/>
      </w:pPr>
      <w:rPr>
        <w:rFonts w:hint="default"/>
        <w:sz w:val="22"/>
      </w:rPr>
    </w:lvl>
    <w:lvl w:ilvl="8">
      <w:start w:val="1"/>
      <w:numFmt w:val="decimal"/>
      <w:lvlText w:val="%1.%2.%3.%4.%5.%6.%7.%8.%9."/>
      <w:lvlJc w:val="left"/>
      <w:pPr>
        <w:ind w:left="2520" w:hanging="2520"/>
      </w:pPr>
      <w:rPr>
        <w:rFonts w:hint="default"/>
        <w:sz w:val="22"/>
      </w:rPr>
    </w:lvl>
  </w:abstractNum>
  <w:abstractNum w:abstractNumId="8" w15:restartNumberingAfterBreak="0">
    <w:nsid w:val="3A7B4EE9"/>
    <w:multiLevelType w:val="hybridMultilevel"/>
    <w:tmpl w:val="1A08EE8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406654AA"/>
    <w:multiLevelType w:val="multilevel"/>
    <w:tmpl w:val="5000A1A0"/>
    <w:lvl w:ilvl="0">
      <w:start w:val="2"/>
      <w:numFmt w:val="decimal"/>
      <w:lvlText w:val="%1."/>
      <w:lvlJc w:val="left"/>
      <w:pPr>
        <w:ind w:left="390" w:hanging="390"/>
      </w:pPr>
      <w:rPr>
        <w:rFonts w:hint="default"/>
      </w:rPr>
    </w:lvl>
    <w:lvl w:ilvl="1">
      <w:start w:val="1"/>
      <w:numFmt w:val="decimal"/>
      <w:lvlText w:val="%1.%2."/>
      <w:lvlJc w:val="left"/>
      <w:pPr>
        <w:ind w:left="1305" w:hanging="7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780" w:hanging="144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5310" w:hanging="1800"/>
      </w:pPr>
      <w:rPr>
        <w:rFonts w:hint="default"/>
      </w:rPr>
    </w:lvl>
    <w:lvl w:ilvl="7">
      <w:start w:val="1"/>
      <w:numFmt w:val="decimal"/>
      <w:lvlText w:val="%1.%2.%3.%4.%5.%6.%7.%8."/>
      <w:lvlJc w:val="left"/>
      <w:pPr>
        <w:ind w:left="6255" w:hanging="2160"/>
      </w:pPr>
      <w:rPr>
        <w:rFonts w:hint="default"/>
      </w:rPr>
    </w:lvl>
    <w:lvl w:ilvl="8">
      <w:start w:val="1"/>
      <w:numFmt w:val="decimal"/>
      <w:lvlText w:val="%1.%2.%3.%4.%5.%6.%7.%8.%9."/>
      <w:lvlJc w:val="left"/>
      <w:pPr>
        <w:ind w:left="6840" w:hanging="2160"/>
      </w:pPr>
      <w:rPr>
        <w:rFonts w:hint="default"/>
      </w:rPr>
    </w:lvl>
  </w:abstractNum>
  <w:abstractNum w:abstractNumId="10" w15:restartNumberingAfterBreak="0">
    <w:nsid w:val="467A6B04"/>
    <w:multiLevelType w:val="hybridMultilevel"/>
    <w:tmpl w:val="6DD0630E"/>
    <w:lvl w:ilvl="0" w:tplc="E96EB7DE">
      <w:start w:val="7"/>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7FE1FAB"/>
    <w:multiLevelType w:val="hybridMultilevel"/>
    <w:tmpl w:val="543A976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EE05E5"/>
    <w:multiLevelType w:val="multilevel"/>
    <w:tmpl w:val="841C8F7A"/>
    <w:lvl w:ilvl="0">
      <w:start w:val="8"/>
      <w:numFmt w:val="decimal"/>
      <w:lvlText w:val="%1."/>
      <w:lvlJc w:val="center"/>
      <w:pPr>
        <w:ind w:left="6740" w:hanging="360"/>
      </w:pPr>
      <w:rPr>
        <w:rFonts w:hint="default"/>
      </w:r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A056BB4"/>
    <w:multiLevelType w:val="hybridMultilevel"/>
    <w:tmpl w:val="286043F0"/>
    <w:lvl w:ilvl="0" w:tplc="04270001">
      <w:start w:val="1"/>
      <w:numFmt w:val="bullet"/>
      <w:lvlText w:val=""/>
      <w:lvlJc w:val="left"/>
      <w:pPr>
        <w:ind w:left="828" w:hanging="360"/>
      </w:pPr>
      <w:rPr>
        <w:rFonts w:ascii="Symbol" w:hAnsi="Symbol" w:hint="default"/>
      </w:rPr>
    </w:lvl>
    <w:lvl w:ilvl="1" w:tplc="04270003" w:tentative="1">
      <w:start w:val="1"/>
      <w:numFmt w:val="bullet"/>
      <w:lvlText w:val="o"/>
      <w:lvlJc w:val="left"/>
      <w:pPr>
        <w:ind w:left="1548" w:hanging="360"/>
      </w:pPr>
      <w:rPr>
        <w:rFonts w:ascii="Courier New" w:hAnsi="Courier New" w:cs="Courier New" w:hint="default"/>
      </w:rPr>
    </w:lvl>
    <w:lvl w:ilvl="2" w:tplc="04270005" w:tentative="1">
      <w:start w:val="1"/>
      <w:numFmt w:val="bullet"/>
      <w:lvlText w:val=""/>
      <w:lvlJc w:val="left"/>
      <w:pPr>
        <w:ind w:left="2268" w:hanging="360"/>
      </w:pPr>
      <w:rPr>
        <w:rFonts w:ascii="Wingdings" w:hAnsi="Wingdings" w:hint="default"/>
      </w:rPr>
    </w:lvl>
    <w:lvl w:ilvl="3" w:tplc="04270001" w:tentative="1">
      <w:start w:val="1"/>
      <w:numFmt w:val="bullet"/>
      <w:lvlText w:val=""/>
      <w:lvlJc w:val="left"/>
      <w:pPr>
        <w:ind w:left="2988" w:hanging="360"/>
      </w:pPr>
      <w:rPr>
        <w:rFonts w:ascii="Symbol" w:hAnsi="Symbol" w:hint="default"/>
      </w:rPr>
    </w:lvl>
    <w:lvl w:ilvl="4" w:tplc="04270003" w:tentative="1">
      <w:start w:val="1"/>
      <w:numFmt w:val="bullet"/>
      <w:lvlText w:val="o"/>
      <w:lvlJc w:val="left"/>
      <w:pPr>
        <w:ind w:left="3708" w:hanging="360"/>
      </w:pPr>
      <w:rPr>
        <w:rFonts w:ascii="Courier New" w:hAnsi="Courier New" w:cs="Courier New" w:hint="default"/>
      </w:rPr>
    </w:lvl>
    <w:lvl w:ilvl="5" w:tplc="04270005" w:tentative="1">
      <w:start w:val="1"/>
      <w:numFmt w:val="bullet"/>
      <w:lvlText w:val=""/>
      <w:lvlJc w:val="left"/>
      <w:pPr>
        <w:ind w:left="4428" w:hanging="360"/>
      </w:pPr>
      <w:rPr>
        <w:rFonts w:ascii="Wingdings" w:hAnsi="Wingdings" w:hint="default"/>
      </w:rPr>
    </w:lvl>
    <w:lvl w:ilvl="6" w:tplc="04270001" w:tentative="1">
      <w:start w:val="1"/>
      <w:numFmt w:val="bullet"/>
      <w:lvlText w:val=""/>
      <w:lvlJc w:val="left"/>
      <w:pPr>
        <w:ind w:left="5148" w:hanging="360"/>
      </w:pPr>
      <w:rPr>
        <w:rFonts w:ascii="Symbol" w:hAnsi="Symbol" w:hint="default"/>
      </w:rPr>
    </w:lvl>
    <w:lvl w:ilvl="7" w:tplc="04270003" w:tentative="1">
      <w:start w:val="1"/>
      <w:numFmt w:val="bullet"/>
      <w:lvlText w:val="o"/>
      <w:lvlJc w:val="left"/>
      <w:pPr>
        <w:ind w:left="5868" w:hanging="360"/>
      </w:pPr>
      <w:rPr>
        <w:rFonts w:ascii="Courier New" w:hAnsi="Courier New" w:cs="Courier New" w:hint="default"/>
      </w:rPr>
    </w:lvl>
    <w:lvl w:ilvl="8" w:tplc="04270005" w:tentative="1">
      <w:start w:val="1"/>
      <w:numFmt w:val="bullet"/>
      <w:lvlText w:val=""/>
      <w:lvlJc w:val="left"/>
      <w:pPr>
        <w:ind w:left="6588" w:hanging="360"/>
      </w:pPr>
      <w:rPr>
        <w:rFonts w:ascii="Wingdings" w:hAnsi="Wingdings" w:hint="default"/>
      </w:rPr>
    </w:lvl>
  </w:abstractNum>
  <w:abstractNum w:abstractNumId="14" w15:restartNumberingAfterBreak="0">
    <w:nsid w:val="4BE84C97"/>
    <w:multiLevelType w:val="hybridMultilevel"/>
    <w:tmpl w:val="0B4E1A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6070644"/>
    <w:multiLevelType w:val="multilevel"/>
    <w:tmpl w:val="0B843E1A"/>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7E35665"/>
    <w:multiLevelType w:val="multilevel"/>
    <w:tmpl w:val="5000A1A0"/>
    <w:lvl w:ilvl="0">
      <w:start w:val="2"/>
      <w:numFmt w:val="decimal"/>
      <w:lvlText w:val="%1."/>
      <w:lvlJc w:val="left"/>
      <w:pPr>
        <w:ind w:left="390" w:hanging="390"/>
      </w:pPr>
      <w:rPr>
        <w:rFonts w:hint="default"/>
      </w:rPr>
    </w:lvl>
    <w:lvl w:ilvl="1">
      <w:start w:val="1"/>
      <w:numFmt w:val="decimal"/>
      <w:lvlText w:val="%1.%2."/>
      <w:lvlJc w:val="left"/>
      <w:pPr>
        <w:ind w:left="1305" w:hanging="7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780" w:hanging="144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5310" w:hanging="1800"/>
      </w:pPr>
      <w:rPr>
        <w:rFonts w:hint="default"/>
      </w:rPr>
    </w:lvl>
    <w:lvl w:ilvl="7">
      <w:start w:val="1"/>
      <w:numFmt w:val="decimal"/>
      <w:lvlText w:val="%1.%2.%3.%4.%5.%6.%7.%8."/>
      <w:lvlJc w:val="left"/>
      <w:pPr>
        <w:ind w:left="6255" w:hanging="2160"/>
      </w:pPr>
      <w:rPr>
        <w:rFonts w:hint="default"/>
      </w:rPr>
    </w:lvl>
    <w:lvl w:ilvl="8">
      <w:start w:val="1"/>
      <w:numFmt w:val="decimal"/>
      <w:lvlText w:val="%1.%2.%3.%4.%5.%6.%7.%8.%9."/>
      <w:lvlJc w:val="left"/>
      <w:pPr>
        <w:ind w:left="6840" w:hanging="2160"/>
      </w:pPr>
      <w:rPr>
        <w:rFonts w:hint="default"/>
      </w:rPr>
    </w:lvl>
  </w:abstractNum>
  <w:abstractNum w:abstractNumId="17" w15:restartNumberingAfterBreak="0">
    <w:nsid w:val="5B050EF7"/>
    <w:multiLevelType w:val="hybridMultilevel"/>
    <w:tmpl w:val="81FE69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D4D193D"/>
    <w:multiLevelType w:val="multilevel"/>
    <w:tmpl w:val="0A92E0E8"/>
    <w:lvl w:ilvl="0">
      <w:start w:val="4"/>
      <w:numFmt w:val="decimal"/>
      <w:lvlText w:val="%1."/>
      <w:lvlJc w:val="left"/>
      <w:pPr>
        <w:ind w:left="450" w:hanging="450"/>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1080" w:hanging="1080"/>
      </w:pPr>
      <w:rPr>
        <w:rFonts w:hint="default"/>
        <w:sz w:val="22"/>
      </w:rPr>
    </w:lvl>
    <w:lvl w:ilvl="3">
      <w:start w:val="1"/>
      <w:numFmt w:val="decimal"/>
      <w:lvlText w:val="%1.%2.%3.%4."/>
      <w:lvlJc w:val="left"/>
      <w:pPr>
        <w:ind w:left="1440" w:hanging="1440"/>
      </w:pPr>
      <w:rPr>
        <w:rFonts w:hint="default"/>
        <w:sz w:val="22"/>
      </w:rPr>
    </w:lvl>
    <w:lvl w:ilvl="4">
      <w:start w:val="1"/>
      <w:numFmt w:val="decimal"/>
      <w:lvlText w:val="%1.%2.%3.%4.%5."/>
      <w:lvlJc w:val="left"/>
      <w:pPr>
        <w:ind w:left="1440" w:hanging="1440"/>
      </w:pPr>
      <w:rPr>
        <w:rFonts w:hint="default"/>
        <w:sz w:val="22"/>
      </w:rPr>
    </w:lvl>
    <w:lvl w:ilvl="5">
      <w:start w:val="1"/>
      <w:numFmt w:val="decimal"/>
      <w:lvlText w:val="%1.%2.%3.%4.%5.%6."/>
      <w:lvlJc w:val="left"/>
      <w:pPr>
        <w:ind w:left="1800" w:hanging="1800"/>
      </w:pPr>
      <w:rPr>
        <w:rFonts w:hint="default"/>
        <w:sz w:val="22"/>
      </w:rPr>
    </w:lvl>
    <w:lvl w:ilvl="6">
      <w:start w:val="1"/>
      <w:numFmt w:val="decimal"/>
      <w:lvlText w:val="%1.%2.%3.%4.%5.%6.%7."/>
      <w:lvlJc w:val="left"/>
      <w:pPr>
        <w:ind w:left="2160" w:hanging="2160"/>
      </w:pPr>
      <w:rPr>
        <w:rFonts w:hint="default"/>
        <w:sz w:val="22"/>
      </w:rPr>
    </w:lvl>
    <w:lvl w:ilvl="7">
      <w:start w:val="1"/>
      <w:numFmt w:val="decimal"/>
      <w:lvlText w:val="%1.%2.%3.%4.%5.%6.%7.%8."/>
      <w:lvlJc w:val="left"/>
      <w:pPr>
        <w:ind w:left="2520" w:hanging="2520"/>
      </w:pPr>
      <w:rPr>
        <w:rFonts w:hint="default"/>
        <w:sz w:val="22"/>
      </w:rPr>
    </w:lvl>
    <w:lvl w:ilvl="8">
      <w:start w:val="1"/>
      <w:numFmt w:val="decimal"/>
      <w:lvlText w:val="%1.%2.%3.%4.%5.%6.%7.%8.%9."/>
      <w:lvlJc w:val="left"/>
      <w:pPr>
        <w:ind w:left="2520" w:hanging="2520"/>
      </w:pPr>
      <w:rPr>
        <w:rFonts w:hint="default"/>
        <w:sz w:val="22"/>
      </w:rPr>
    </w:lvl>
  </w:abstractNum>
  <w:abstractNum w:abstractNumId="19" w15:restartNumberingAfterBreak="0">
    <w:nsid w:val="68780638"/>
    <w:multiLevelType w:val="hybridMultilevel"/>
    <w:tmpl w:val="7C4C09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18120906">
    <w:abstractNumId w:val="5"/>
  </w:num>
  <w:num w:numId="2" w16cid:durableId="1236740758">
    <w:abstractNumId w:val="0"/>
  </w:num>
  <w:num w:numId="3" w16cid:durableId="1780683039">
    <w:abstractNumId w:val="1"/>
  </w:num>
  <w:num w:numId="4" w16cid:durableId="244264200">
    <w:abstractNumId w:val="8"/>
  </w:num>
  <w:num w:numId="5" w16cid:durableId="1337733625">
    <w:abstractNumId w:val="19"/>
  </w:num>
  <w:num w:numId="6" w16cid:durableId="667171661">
    <w:abstractNumId w:val="14"/>
  </w:num>
  <w:num w:numId="7" w16cid:durableId="598559857">
    <w:abstractNumId w:val="13"/>
  </w:num>
  <w:num w:numId="8" w16cid:durableId="342753980">
    <w:abstractNumId w:val="3"/>
  </w:num>
  <w:num w:numId="9" w16cid:durableId="1872719856">
    <w:abstractNumId w:val="16"/>
  </w:num>
  <w:num w:numId="10" w16cid:durableId="795484642">
    <w:abstractNumId w:val="2"/>
  </w:num>
  <w:num w:numId="11" w16cid:durableId="1739552580">
    <w:abstractNumId w:val="10"/>
  </w:num>
  <w:num w:numId="12" w16cid:durableId="38018601">
    <w:abstractNumId w:val="11"/>
  </w:num>
  <w:num w:numId="13" w16cid:durableId="579751504">
    <w:abstractNumId w:val="4"/>
  </w:num>
  <w:num w:numId="14" w16cid:durableId="1182164180">
    <w:abstractNumId w:val="17"/>
  </w:num>
  <w:num w:numId="15" w16cid:durableId="1864127596">
    <w:abstractNumId w:val="15"/>
  </w:num>
  <w:num w:numId="16" w16cid:durableId="770473098">
    <w:abstractNumId w:val="18"/>
  </w:num>
  <w:num w:numId="17" w16cid:durableId="1007366525">
    <w:abstractNumId w:val="7"/>
  </w:num>
  <w:num w:numId="18" w16cid:durableId="1907957650">
    <w:abstractNumId w:val="12"/>
  </w:num>
  <w:num w:numId="19" w16cid:durableId="1090734854">
    <w:abstractNumId w:val="9"/>
  </w:num>
  <w:num w:numId="20" w16cid:durableId="19611814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6D"/>
    <w:rsid w:val="00043333"/>
    <w:rsid w:val="00046FC4"/>
    <w:rsid w:val="0007306F"/>
    <w:rsid w:val="000E7E82"/>
    <w:rsid w:val="0010041C"/>
    <w:rsid w:val="00126899"/>
    <w:rsid w:val="00134994"/>
    <w:rsid w:val="00163499"/>
    <w:rsid w:val="0016791E"/>
    <w:rsid w:val="00187775"/>
    <w:rsid w:val="001940A9"/>
    <w:rsid w:val="001B579A"/>
    <w:rsid w:val="001E04DA"/>
    <w:rsid w:val="002111D8"/>
    <w:rsid w:val="00215119"/>
    <w:rsid w:val="002166C2"/>
    <w:rsid w:val="0023330D"/>
    <w:rsid w:val="00241DB5"/>
    <w:rsid w:val="00260C22"/>
    <w:rsid w:val="00273A3B"/>
    <w:rsid w:val="002757EF"/>
    <w:rsid w:val="00290985"/>
    <w:rsid w:val="002A3542"/>
    <w:rsid w:val="002A7375"/>
    <w:rsid w:val="002D7309"/>
    <w:rsid w:val="002E002C"/>
    <w:rsid w:val="002E61CD"/>
    <w:rsid w:val="002F23E3"/>
    <w:rsid w:val="002F2CD1"/>
    <w:rsid w:val="00313FEC"/>
    <w:rsid w:val="00330940"/>
    <w:rsid w:val="003344B5"/>
    <w:rsid w:val="003917F3"/>
    <w:rsid w:val="003B1376"/>
    <w:rsid w:val="003B4807"/>
    <w:rsid w:val="003B5E69"/>
    <w:rsid w:val="003C51E0"/>
    <w:rsid w:val="003E48E6"/>
    <w:rsid w:val="0040321A"/>
    <w:rsid w:val="00433235"/>
    <w:rsid w:val="00465218"/>
    <w:rsid w:val="00465EAF"/>
    <w:rsid w:val="00471821"/>
    <w:rsid w:val="0048451D"/>
    <w:rsid w:val="0048472F"/>
    <w:rsid w:val="00485DFC"/>
    <w:rsid w:val="004D6682"/>
    <w:rsid w:val="004E67FD"/>
    <w:rsid w:val="004F62B3"/>
    <w:rsid w:val="004F7008"/>
    <w:rsid w:val="00522FC9"/>
    <w:rsid w:val="00551B2B"/>
    <w:rsid w:val="00560012"/>
    <w:rsid w:val="00570D30"/>
    <w:rsid w:val="00574512"/>
    <w:rsid w:val="005826B6"/>
    <w:rsid w:val="005D07AE"/>
    <w:rsid w:val="005D380E"/>
    <w:rsid w:val="005E521B"/>
    <w:rsid w:val="00632285"/>
    <w:rsid w:val="006324A2"/>
    <w:rsid w:val="00654ABE"/>
    <w:rsid w:val="006624D1"/>
    <w:rsid w:val="00672D56"/>
    <w:rsid w:val="00694B66"/>
    <w:rsid w:val="006A1D2D"/>
    <w:rsid w:val="006A56BD"/>
    <w:rsid w:val="006A5D92"/>
    <w:rsid w:val="006B0569"/>
    <w:rsid w:val="006B6A2B"/>
    <w:rsid w:val="006D5DF5"/>
    <w:rsid w:val="006E4463"/>
    <w:rsid w:val="006E698D"/>
    <w:rsid w:val="006F1838"/>
    <w:rsid w:val="007011EF"/>
    <w:rsid w:val="007014E6"/>
    <w:rsid w:val="00702AD0"/>
    <w:rsid w:val="007250B9"/>
    <w:rsid w:val="00745F0C"/>
    <w:rsid w:val="00753E20"/>
    <w:rsid w:val="00776907"/>
    <w:rsid w:val="00782BEC"/>
    <w:rsid w:val="007C1E5B"/>
    <w:rsid w:val="007D539F"/>
    <w:rsid w:val="007E45B0"/>
    <w:rsid w:val="007E46CE"/>
    <w:rsid w:val="007F3B03"/>
    <w:rsid w:val="00816B03"/>
    <w:rsid w:val="0083665B"/>
    <w:rsid w:val="008435F7"/>
    <w:rsid w:val="00845C47"/>
    <w:rsid w:val="00895B8C"/>
    <w:rsid w:val="008962C4"/>
    <w:rsid w:val="008A121E"/>
    <w:rsid w:val="008D0829"/>
    <w:rsid w:val="008D31CE"/>
    <w:rsid w:val="008D75D6"/>
    <w:rsid w:val="0095189C"/>
    <w:rsid w:val="00982CB5"/>
    <w:rsid w:val="009866E0"/>
    <w:rsid w:val="00997E6E"/>
    <w:rsid w:val="009B386D"/>
    <w:rsid w:val="009C2502"/>
    <w:rsid w:val="009E0CE3"/>
    <w:rsid w:val="009E2629"/>
    <w:rsid w:val="009F4A98"/>
    <w:rsid w:val="00A21748"/>
    <w:rsid w:val="00A226B7"/>
    <w:rsid w:val="00A26767"/>
    <w:rsid w:val="00A4321C"/>
    <w:rsid w:val="00A533CE"/>
    <w:rsid w:val="00A55BE8"/>
    <w:rsid w:val="00A621AE"/>
    <w:rsid w:val="00A63987"/>
    <w:rsid w:val="00A874A3"/>
    <w:rsid w:val="00AB23ED"/>
    <w:rsid w:val="00AB2EFE"/>
    <w:rsid w:val="00AB57A3"/>
    <w:rsid w:val="00AD1EF3"/>
    <w:rsid w:val="00B268A0"/>
    <w:rsid w:val="00B546DB"/>
    <w:rsid w:val="00B76466"/>
    <w:rsid w:val="00BC0AAB"/>
    <w:rsid w:val="00BF5AEA"/>
    <w:rsid w:val="00BF6603"/>
    <w:rsid w:val="00C26DEA"/>
    <w:rsid w:val="00C33E10"/>
    <w:rsid w:val="00C450AA"/>
    <w:rsid w:val="00C762E2"/>
    <w:rsid w:val="00D36906"/>
    <w:rsid w:val="00D74C51"/>
    <w:rsid w:val="00D93971"/>
    <w:rsid w:val="00DC6188"/>
    <w:rsid w:val="00DD19E6"/>
    <w:rsid w:val="00DD3A79"/>
    <w:rsid w:val="00E33BE9"/>
    <w:rsid w:val="00E33C3F"/>
    <w:rsid w:val="00E76CFE"/>
    <w:rsid w:val="00ED1D9A"/>
    <w:rsid w:val="00EE073A"/>
    <w:rsid w:val="00EE4087"/>
    <w:rsid w:val="00EE414E"/>
    <w:rsid w:val="00F350AC"/>
    <w:rsid w:val="00F443A0"/>
    <w:rsid w:val="00FA2187"/>
    <w:rsid w:val="00FA7576"/>
    <w:rsid w:val="00FB4866"/>
    <w:rsid w:val="00FC2B4B"/>
    <w:rsid w:val="00FE78CA"/>
    <w:rsid w:val="00FF5A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3B7B1"/>
  <w15:chartTrackingRefBased/>
  <w15:docId w15:val="{905A49CA-CE1C-45A0-9855-73BE1723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86D"/>
    <w:pPr>
      <w:ind w:firstLine="0"/>
    </w:pPr>
    <w:rPr>
      <w:rFonts w:cs="Tahoma"/>
      <w:kern w:val="0"/>
      <w14:ligatures w14:val="none"/>
    </w:rPr>
  </w:style>
  <w:style w:type="paragraph" w:styleId="Heading1">
    <w:name w:val="heading 1"/>
    <w:basedOn w:val="Normal"/>
    <w:next w:val="Normal"/>
    <w:link w:val="Heading1Char"/>
    <w:uiPriority w:val="9"/>
    <w:qFormat/>
    <w:rsid w:val="009B386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B386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B386D"/>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B386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B386D"/>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9B386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386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386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386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9B386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B386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B386D"/>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B386D"/>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9B386D"/>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9B38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38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38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38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3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86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8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B38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386D"/>
    <w:rPr>
      <w:i/>
      <w:iCs/>
      <w:color w:val="404040" w:themeColor="text1" w:themeTint="BF"/>
    </w:rPr>
  </w:style>
  <w:style w:type="paragraph" w:styleId="ListParagraph">
    <w:name w:val="List Paragraph"/>
    <w:aliases w:val="Table of contents numbered,List Paragraph21,List Paragraph1,List Paragraph2,Bullet EY,ERP-List Paragraph,List Paragraph11,Numbering,List Paragraph Red,Paragraph,lp1,Bullet 1,Use Case List Paragraph,Sąrašo pastraipa.Bullet,Normal bullet 2"/>
    <w:basedOn w:val="Normal"/>
    <w:link w:val="ListParagraphChar"/>
    <w:uiPriority w:val="34"/>
    <w:qFormat/>
    <w:rsid w:val="009B386D"/>
    <w:pPr>
      <w:ind w:left="720"/>
      <w:contextualSpacing/>
    </w:pPr>
  </w:style>
  <w:style w:type="character" w:styleId="IntenseEmphasis">
    <w:name w:val="Intense Emphasis"/>
    <w:basedOn w:val="DefaultParagraphFont"/>
    <w:uiPriority w:val="21"/>
    <w:qFormat/>
    <w:rsid w:val="009B386D"/>
    <w:rPr>
      <w:i/>
      <w:iCs/>
      <w:color w:val="2E74B5" w:themeColor="accent1" w:themeShade="BF"/>
    </w:rPr>
  </w:style>
  <w:style w:type="paragraph" w:styleId="IntenseQuote">
    <w:name w:val="Intense Quote"/>
    <w:basedOn w:val="Normal"/>
    <w:next w:val="Normal"/>
    <w:link w:val="IntenseQuoteChar"/>
    <w:uiPriority w:val="30"/>
    <w:qFormat/>
    <w:rsid w:val="009B386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B386D"/>
    <w:rPr>
      <w:i/>
      <w:iCs/>
      <w:color w:val="2E74B5" w:themeColor="accent1" w:themeShade="BF"/>
    </w:rPr>
  </w:style>
  <w:style w:type="character" w:styleId="IntenseReference">
    <w:name w:val="Intense Reference"/>
    <w:basedOn w:val="DefaultParagraphFont"/>
    <w:uiPriority w:val="32"/>
    <w:qFormat/>
    <w:rsid w:val="009B386D"/>
    <w:rPr>
      <w:b/>
      <w:bCs/>
      <w:smallCaps/>
      <w:color w:val="2E74B5" w:themeColor="accent1" w:themeShade="BF"/>
      <w:spacing w:val="5"/>
    </w:rPr>
  </w:style>
  <w:style w:type="character" w:styleId="CommentReference">
    <w:name w:val="annotation reference"/>
    <w:basedOn w:val="DefaultParagraphFont"/>
    <w:uiPriority w:val="99"/>
    <w:unhideWhenUsed/>
    <w:rsid w:val="009B386D"/>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9B386D"/>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9B386D"/>
    <w:rPr>
      <w:rFonts w:cs="Tahoma"/>
      <w:kern w:val="0"/>
      <w:sz w:val="20"/>
      <w:szCs w:val="20"/>
      <w14:ligatures w14:val="none"/>
    </w:rPr>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 Red Char,Paragraph Char,lp1 Char,Bullet 1 Char"/>
    <w:link w:val="ListParagraph"/>
    <w:uiPriority w:val="34"/>
    <w:qFormat/>
    <w:rsid w:val="009B386D"/>
  </w:style>
  <w:style w:type="table" w:styleId="TableGrid">
    <w:name w:val="Table Grid"/>
    <w:aliases w:val="CV table,CV1,Smart Text Table"/>
    <w:basedOn w:val="TableNormal"/>
    <w:uiPriority w:val="39"/>
    <w:rsid w:val="009B386D"/>
    <w:pPr>
      <w:spacing w:line="240" w:lineRule="auto"/>
    </w:pPr>
    <w:rPr>
      <w:rFonts w:cs="Tahoma"/>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9B386D"/>
    <w:pPr>
      <w:spacing w:line="240" w:lineRule="auto"/>
      <w:ind w:firstLine="0"/>
    </w:pPr>
    <w:rPr>
      <w:rFonts w:asciiTheme="minorHAnsi" w:eastAsiaTheme="minorEastAsia" w:hAnsiTheme="minorHAnsi"/>
      <w:kern w:val="0"/>
      <w:lang w:eastAsia="lt-LT"/>
      <w14:ligatures w14:val="none"/>
    </w:rPr>
    <w:tblPr>
      <w:tblCellMar>
        <w:top w:w="0" w:type="dxa"/>
        <w:left w:w="0" w:type="dxa"/>
        <w:bottom w:w="0" w:type="dxa"/>
        <w:right w:w="0" w:type="dxa"/>
      </w:tblCellMar>
    </w:tblPr>
  </w:style>
  <w:style w:type="paragraph" w:styleId="CommentSubject">
    <w:name w:val="annotation subject"/>
    <w:basedOn w:val="CommentText"/>
    <w:next w:val="CommentText"/>
    <w:link w:val="CommentSubjectChar"/>
    <w:uiPriority w:val="99"/>
    <w:semiHidden/>
    <w:unhideWhenUsed/>
    <w:rsid w:val="008D0829"/>
    <w:rPr>
      <w:b/>
      <w:bCs/>
    </w:rPr>
  </w:style>
  <w:style w:type="character" w:customStyle="1" w:styleId="CommentSubjectChar">
    <w:name w:val="Comment Subject Char"/>
    <w:basedOn w:val="CommentTextChar"/>
    <w:link w:val="CommentSubject"/>
    <w:uiPriority w:val="99"/>
    <w:semiHidden/>
    <w:rsid w:val="008D0829"/>
    <w:rPr>
      <w:rFonts w:cs="Tahoma"/>
      <w:b/>
      <w:bCs/>
      <w:kern w:val="0"/>
      <w:sz w:val="20"/>
      <w:szCs w:val="20"/>
      <w14:ligatures w14:val="none"/>
    </w:rPr>
  </w:style>
  <w:style w:type="paragraph" w:styleId="NormalWeb">
    <w:name w:val="Normal (Web)"/>
    <w:basedOn w:val="Normal"/>
    <w:uiPriority w:val="99"/>
    <w:semiHidden/>
    <w:unhideWhenUsed/>
    <w:rsid w:val="0023330D"/>
    <w:rPr>
      <w:rFonts w:ascii="Times New Roman" w:hAnsi="Times New Roman" w:cs="Times New Roman"/>
      <w:sz w:val="24"/>
      <w:szCs w:val="24"/>
    </w:rPr>
  </w:style>
  <w:style w:type="paragraph" w:styleId="Revision">
    <w:name w:val="Revision"/>
    <w:hidden/>
    <w:uiPriority w:val="99"/>
    <w:semiHidden/>
    <w:rsid w:val="0083665B"/>
    <w:pPr>
      <w:spacing w:line="240" w:lineRule="auto"/>
      <w:ind w:firstLine="0"/>
    </w:pPr>
    <w:rPr>
      <w:rFonts w:cs="Tahoma"/>
      <w:kern w:val="0"/>
      <w14:ligatures w14:val="none"/>
    </w:rPr>
  </w:style>
  <w:style w:type="character" w:styleId="Hyperlink">
    <w:name w:val="Hyperlink"/>
    <w:basedOn w:val="DefaultParagraphFont"/>
    <w:uiPriority w:val="99"/>
    <w:unhideWhenUsed/>
    <w:rsid w:val="00E33C3F"/>
    <w:rPr>
      <w:color w:val="0563C1" w:themeColor="hyperlink"/>
      <w:u w:val="single"/>
    </w:rPr>
  </w:style>
  <w:style w:type="character" w:styleId="UnresolvedMention">
    <w:name w:val="Unresolved Mention"/>
    <w:basedOn w:val="DefaultParagraphFont"/>
    <w:uiPriority w:val="99"/>
    <w:semiHidden/>
    <w:unhideWhenUsed/>
    <w:rsid w:val="00E33C3F"/>
    <w:rPr>
      <w:color w:val="605E5C"/>
      <w:shd w:val="clear" w:color="auto" w:fill="E1DFDD"/>
    </w:rPr>
  </w:style>
  <w:style w:type="paragraph" w:styleId="FootnoteText">
    <w:name w:val="footnote text"/>
    <w:basedOn w:val="Normal"/>
    <w:link w:val="FootnoteTextChar"/>
    <w:uiPriority w:val="99"/>
    <w:unhideWhenUsed/>
    <w:rsid w:val="004F7008"/>
    <w:pPr>
      <w:spacing w:line="276" w:lineRule="auto"/>
      <w:ind w:firstLine="851"/>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4F7008"/>
    <w:rPr>
      <w:rFonts w:asciiTheme="minorHAnsi" w:hAnsiTheme="minorHAnsi"/>
      <w:kern w:val="0"/>
      <w:sz w:val="20"/>
      <w:szCs w:val="20"/>
      <w14:ligatures w14:val="none"/>
    </w:rPr>
  </w:style>
  <w:style w:type="character" w:styleId="FootnoteReference">
    <w:name w:val="footnote reference"/>
    <w:basedOn w:val="DefaultParagraphFont"/>
    <w:uiPriority w:val="99"/>
    <w:unhideWhenUsed/>
    <w:rsid w:val="004F70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299136">
      <w:bodyDiv w:val="1"/>
      <w:marLeft w:val="0"/>
      <w:marRight w:val="0"/>
      <w:marTop w:val="0"/>
      <w:marBottom w:val="0"/>
      <w:divBdr>
        <w:top w:val="none" w:sz="0" w:space="0" w:color="auto"/>
        <w:left w:val="none" w:sz="0" w:space="0" w:color="auto"/>
        <w:bottom w:val="none" w:sz="0" w:space="0" w:color="auto"/>
        <w:right w:val="none" w:sz="0" w:space="0" w:color="auto"/>
      </w:divBdr>
    </w:div>
    <w:div w:id="153743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8553</Words>
  <Characters>4876</Characters>
  <Application>Microsoft Office Word</Application>
  <DocSecurity>4</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Aidas Gudavičius</cp:lastModifiedBy>
  <cp:revision>2</cp:revision>
  <dcterms:created xsi:type="dcterms:W3CDTF">2024-12-05T09:39:00Z</dcterms:created>
  <dcterms:modified xsi:type="dcterms:W3CDTF">2024-12-05T09:39:00Z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2024-10-17T22:13:21Z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2a04c6ea-7601-4e55-9d42-6682d1466fe2</vt:lpwstr>
  </property>
  <property fmtid="{D5CDD505-2E9C-101B-9397-08002B2CF9AE}" pid="8" name="MSIP_Label_179ca552-b207-4d72-8d58-818aee87ca18_ContentBits">
    <vt:lpwstr>0</vt:lpwstr>
  </property>
</Properties>
</file>