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4D34A" w14:textId="366F91E9" w:rsidR="00DC1ECD" w:rsidRPr="00576826" w:rsidRDefault="00DC1ECD" w:rsidP="00576826">
      <w:pPr>
        <w:pStyle w:val="Subtitle"/>
        <w:spacing w:after="0" w:line="240" w:lineRule="auto"/>
        <w:jc w:val="right"/>
        <w:rPr>
          <w:rFonts w:ascii="Tahoma" w:hAnsi="Tahoma" w:cs="Tahoma"/>
          <w:smallCaps/>
          <w:color w:val="auto"/>
          <w:sz w:val="20"/>
          <w:szCs w:val="20"/>
        </w:rPr>
      </w:pPr>
      <w:r w:rsidRPr="00576826">
        <w:rPr>
          <w:rFonts w:ascii="Tahoma" w:eastAsia="Calibri" w:hAnsi="Tahoma" w:cs="Tahoma"/>
          <w:color w:val="auto"/>
          <w:sz w:val="20"/>
          <w:szCs w:val="20"/>
          <w:lang w:eastAsia="en-US"/>
        </w:rPr>
        <w:t xml:space="preserve">Pirkimo sąlygų </w:t>
      </w:r>
      <w:r w:rsidRPr="00576826">
        <w:rPr>
          <w:rFonts w:ascii="Tahoma" w:eastAsia="Calibri" w:hAnsi="Tahoma" w:cs="Tahoma"/>
          <w:color w:val="auto"/>
          <w:sz w:val="20"/>
          <w:szCs w:val="20"/>
          <w:lang w:val="en-US" w:eastAsia="en-US"/>
        </w:rPr>
        <w:t xml:space="preserve">3 </w:t>
      </w:r>
      <w:proofErr w:type="spellStart"/>
      <w:r w:rsidRPr="00576826">
        <w:rPr>
          <w:rFonts w:ascii="Tahoma" w:eastAsia="Calibri" w:hAnsi="Tahoma" w:cs="Tahoma"/>
          <w:color w:val="auto"/>
          <w:sz w:val="20"/>
          <w:szCs w:val="20"/>
          <w:lang w:val="en-US" w:eastAsia="en-US"/>
        </w:rPr>
        <w:t>priedas</w:t>
      </w:r>
      <w:proofErr w:type="spellEnd"/>
      <w:r w:rsidRPr="00576826">
        <w:rPr>
          <w:rFonts w:ascii="Tahoma" w:eastAsia="Calibri" w:hAnsi="Tahoma" w:cs="Tahoma"/>
          <w:color w:val="auto"/>
          <w:sz w:val="20"/>
          <w:szCs w:val="20"/>
          <w:lang w:val="en-US" w:eastAsia="en-US"/>
        </w:rPr>
        <w:t xml:space="preserve"> </w:t>
      </w:r>
      <w:r w:rsidRPr="00576826">
        <w:rPr>
          <w:rFonts w:ascii="Tahoma" w:eastAsia="Calibri" w:hAnsi="Tahoma" w:cs="Tahoma"/>
          <w:color w:val="auto"/>
          <w:sz w:val="20"/>
          <w:szCs w:val="20"/>
          <w:lang w:eastAsia="en-US"/>
        </w:rPr>
        <w:t>„</w:t>
      </w:r>
      <w:proofErr w:type="spellStart"/>
      <w:r w:rsidRPr="00576826">
        <w:rPr>
          <w:rFonts w:ascii="Tahoma" w:eastAsia="Calibri" w:hAnsi="Tahoma" w:cs="Tahoma"/>
          <w:color w:val="auto"/>
          <w:sz w:val="20"/>
          <w:szCs w:val="20"/>
          <w:lang w:val="en-US" w:eastAsia="en-US"/>
        </w:rPr>
        <w:t>Tiek</w:t>
      </w:r>
      <w:proofErr w:type="spellEnd"/>
      <w:r w:rsidRPr="00576826">
        <w:rPr>
          <w:rFonts w:ascii="Tahoma" w:eastAsia="Calibri" w:hAnsi="Tahoma" w:cs="Tahoma"/>
          <w:color w:val="auto"/>
          <w:sz w:val="20"/>
          <w:szCs w:val="20"/>
          <w:lang w:eastAsia="en-US"/>
        </w:rPr>
        <w:t>ėjų kvalifikacijos reikalavimai ir reikalaujami energijos vartojimo efektyvumo ir (arba) aplinkos apsaugos ir (arba) socialiniai kriterijai“</w:t>
      </w:r>
    </w:p>
    <w:p w14:paraId="15988293" w14:textId="77777777" w:rsidR="00DC1ECD" w:rsidRDefault="00DC1ECD" w:rsidP="008B2939">
      <w:pPr>
        <w:pStyle w:val="Subtitle"/>
        <w:spacing w:line="240" w:lineRule="auto"/>
        <w:jc w:val="center"/>
        <w:rPr>
          <w:rFonts w:ascii="Tahoma" w:hAnsi="Tahoma" w:cs="Tahoma"/>
          <w:smallCaps/>
          <w:sz w:val="22"/>
          <w:szCs w:val="22"/>
        </w:rPr>
      </w:pPr>
    </w:p>
    <w:p w14:paraId="4C52E690" w14:textId="0D2D1558" w:rsidR="008B2939" w:rsidRPr="00576826" w:rsidRDefault="008B2939" w:rsidP="008B2939">
      <w:pPr>
        <w:pStyle w:val="Subtitle"/>
        <w:spacing w:line="240" w:lineRule="auto"/>
        <w:jc w:val="center"/>
        <w:rPr>
          <w:rFonts w:ascii="Tahoma" w:hAnsi="Tahoma" w:cs="Tahoma"/>
          <w:b/>
          <w:bCs/>
          <w:smallCaps/>
          <w:color w:val="auto"/>
          <w:sz w:val="22"/>
          <w:szCs w:val="22"/>
        </w:rPr>
      </w:pPr>
      <w:r w:rsidRPr="00576826">
        <w:rPr>
          <w:rFonts w:ascii="Tahoma" w:hAnsi="Tahoma" w:cs="Tahoma"/>
          <w:b/>
          <w:bCs/>
          <w:smallCaps/>
          <w:color w:val="auto"/>
          <w:sz w:val="22"/>
          <w:szCs w:val="22"/>
        </w:rPr>
        <w:t>Tiekėjų kvalifikacijos reikalavimai ir reikalaujami energijos vartojimo efektyvumo ir (arba) aplinkos apsaugos ir (arba) socialiniai kriterijai</w:t>
      </w:r>
    </w:p>
    <w:p w14:paraId="74C932F7" w14:textId="77777777" w:rsidR="00C63B9D" w:rsidRDefault="00C63B9D" w:rsidP="00C63B9D"/>
    <w:p w14:paraId="5E9E4434" w14:textId="739DED0E" w:rsidR="00C63B9D" w:rsidRPr="001329CD" w:rsidRDefault="00C63B9D" w:rsidP="00C63B9D">
      <w:pPr>
        <w:numPr>
          <w:ilvl w:val="0"/>
          <w:numId w:val="10"/>
        </w:numPr>
        <w:tabs>
          <w:tab w:val="left" w:pos="993"/>
        </w:tabs>
        <w:spacing w:after="0" w:line="240" w:lineRule="auto"/>
        <w:ind w:left="0" w:firstLine="567"/>
        <w:contextualSpacing/>
        <w:jc w:val="both"/>
        <w:rPr>
          <w:rFonts w:ascii="Tahoma" w:eastAsia="Calibri" w:hAnsi="Tahoma" w:cs="Tahoma"/>
          <w:sz w:val="22"/>
          <w:szCs w:val="22"/>
          <w:lang w:eastAsia="en-US"/>
        </w:rPr>
      </w:pPr>
      <w:r w:rsidRPr="001329CD">
        <w:rPr>
          <w:rFonts w:ascii="Tahoma" w:eastAsia="Calibri" w:hAnsi="Tahoma" w:cs="Tahoma"/>
          <w:sz w:val="22"/>
          <w:szCs w:val="22"/>
          <w:lang w:eastAsia="en-US"/>
        </w:rPr>
        <w:t>Tiekėjo kvalifikacija turi atitikti šiame priede nustatytus reikalavimus. Jeigu tiekėjo kvalifikacija dėl teisės verstis atitinkama veikla nėra tikrinama visa apimtimi, tiekėjas perkančiajai organizacijai įsipareigoja, kad sutartį vykdys tik teisę verstis atitinkama veikla turintys asmenys.</w:t>
      </w:r>
    </w:p>
    <w:p w14:paraId="78AB6D68" w14:textId="60004C5C" w:rsidR="00C63B9D" w:rsidRPr="001329CD" w:rsidRDefault="00C63B9D" w:rsidP="00C63B9D">
      <w:pPr>
        <w:numPr>
          <w:ilvl w:val="0"/>
          <w:numId w:val="10"/>
        </w:numPr>
        <w:tabs>
          <w:tab w:val="left" w:pos="993"/>
        </w:tabs>
        <w:spacing w:after="0" w:line="240" w:lineRule="auto"/>
        <w:ind w:left="0" w:firstLine="567"/>
        <w:contextualSpacing/>
        <w:jc w:val="both"/>
        <w:rPr>
          <w:rFonts w:ascii="Tahoma" w:eastAsia="Calibri" w:hAnsi="Tahoma" w:cs="Tahoma"/>
          <w:sz w:val="22"/>
          <w:szCs w:val="22"/>
          <w:lang w:eastAsia="en-US"/>
        </w:rPr>
      </w:pPr>
      <w:r w:rsidRPr="001329CD">
        <w:rPr>
          <w:rFonts w:ascii="Tahoma" w:eastAsia="Calibri" w:hAnsi="Tahoma" w:cs="Tahoma"/>
          <w:iCs/>
          <w:color w:val="000000"/>
          <w:sz w:val="22"/>
          <w:szCs w:val="22"/>
          <w:lang w:eastAsia="en-US"/>
        </w:rPr>
        <w:t xml:space="preserve">Jei pasiūlymas teikiamas ūkio subjektų grupės jungtinės veiklos sutarties pagrindu, bent vienas ūkio subjektų grupės narys arba visi ūkio subjektų grupės nariai kartu </w:t>
      </w:r>
      <w:r w:rsidRPr="001329CD">
        <w:rPr>
          <w:rFonts w:ascii="Tahoma" w:eastAsia="Calibri" w:hAnsi="Tahoma" w:cs="Tahoma"/>
          <w:iCs/>
          <w:sz w:val="22"/>
          <w:szCs w:val="22"/>
          <w:lang w:eastAsia="en-US"/>
        </w:rPr>
        <w:t xml:space="preserve">turi atitikti 1 lentelėje, </w:t>
      </w:r>
      <w:r>
        <w:rPr>
          <w:rFonts w:ascii="Tahoma" w:eastAsia="Calibri" w:hAnsi="Tahoma" w:cs="Tahoma"/>
          <w:iCs/>
          <w:sz w:val="22"/>
          <w:szCs w:val="22"/>
          <w:lang w:val="en-US" w:eastAsia="en-US"/>
        </w:rPr>
        <w:t>2.1 - 2.</w:t>
      </w:r>
      <w:r w:rsidR="00B175BF">
        <w:rPr>
          <w:rFonts w:ascii="Tahoma" w:eastAsia="Calibri" w:hAnsi="Tahoma" w:cs="Tahoma"/>
          <w:iCs/>
          <w:sz w:val="22"/>
          <w:szCs w:val="22"/>
          <w:lang w:val="en-US" w:eastAsia="en-US"/>
        </w:rPr>
        <w:t>2</w:t>
      </w:r>
      <w:r w:rsidRPr="001329CD">
        <w:rPr>
          <w:rFonts w:ascii="Tahoma" w:eastAsia="Calibri" w:hAnsi="Tahoma" w:cs="Tahoma"/>
          <w:iCs/>
          <w:sz w:val="22"/>
          <w:szCs w:val="22"/>
          <w:lang w:eastAsia="en-US"/>
        </w:rPr>
        <w:t xml:space="preserve"> punktuose nustatytus reikalavimus ir pateikti nurodytus dokumentus</w:t>
      </w:r>
      <w:r w:rsidRPr="001329CD">
        <w:rPr>
          <w:rFonts w:ascii="Tahoma" w:eastAsia="Calibri" w:hAnsi="Tahoma" w:cs="Tahoma"/>
          <w:sz w:val="22"/>
          <w:szCs w:val="22"/>
          <w:lang w:eastAsia="en-US"/>
        </w:rPr>
        <w:t>.</w:t>
      </w:r>
    </w:p>
    <w:p w14:paraId="63912BE9" w14:textId="77777777" w:rsidR="00C63B9D" w:rsidRPr="001329CD" w:rsidRDefault="00C63B9D" w:rsidP="00C63B9D">
      <w:pPr>
        <w:numPr>
          <w:ilvl w:val="0"/>
          <w:numId w:val="10"/>
        </w:numPr>
        <w:tabs>
          <w:tab w:val="left" w:pos="993"/>
        </w:tabs>
        <w:spacing w:after="0" w:line="240" w:lineRule="auto"/>
        <w:ind w:left="0" w:firstLine="567"/>
        <w:contextualSpacing/>
        <w:jc w:val="both"/>
        <w:rPr>
          <w:rFonts w:ascii="Tahoma" w:eastAsia="Calibri" w:hAnsi="Tahoma" w:cs="Tahoma"/>
          <w:sz w:val="22"/>
          <w:szCs w:val="22"/>
          <w:lang w:eastAsia="en-US"/>
        </w:rPr>
      </w:pPr>
      <w:r w:rsidRPr="001329CD">
        <w:rPr>
          <w:rFonts w:ascii="Tahoma" w:eastAsia="Calibri" w:hAnsi="Tahoma" w:cs="Tahoma"/>
          <w:sz w:val="22"/>
          <w:szCs w:val="22"/>
          <w:lang w:eastAsia="en-US"/>
        </w:rPr>
        <w:t>Kai tiekėjas remiasi kitų ūkio subjektų pajėgumais, kad atitiktų nustatytus ekonominio ir finansinio pajėgumo reikalavimus</w:t>
      </w:r>
      <w:r w:rsidRPr="001329CD">
        <w:rPr>
          <w:rFonts w:ascii="Tahoma" w:eastAsia="Calibri" w:hAnsi="Tahoma" w:cs="Tahoma"/>
          <w:color w:val="7030A0"/>
          <w:sz w:val="22"/>
          <w:szCs w:val="22"/>
          <w:lang w:eastAsia="en-US"/>
        </w:rPr>
        <w:t xml:space="preserve">, </w:t>
      </w:r>
      <w:r w:rsidRPr="001329CD">
        <w:rPr>
          <w:rFonts w:ascii="Tahoma" w:eastAsia="Calibri" w:hAnsi="Tahoma" w:cs="Tahoma"/>
          <w:sz w:val="22"/>
          <w:szCs w:val="22"/>
          <w:lang w:eastAsia="en-US"/>
        </w:rPr>
        <w:t xml:space="preserve">jie privalo prisiimti solidarią atsakomybę už sutarties įvykdymą. </w:t>
      </w:r>
    </w:p>
    <w:p w14:paraId="534E70AC" w14:textId="77777777" w:rsidR="00C63B9D" w:rsidRPr="001329CD" w:rsidRDefault="00C63B9D" w:rsidP="00C63B9D">
      <w:pPr>
        <w:numPr>
          <w:ilvl w:val="0"/>
          <w:numId w:val="10"/>
        </w:numPr>
        <w:tabs>
          <w:tab w:val="left" w:pos="993"/>
        </w:tabs>
        <w:spacing w:after="0" w:line="240" w:lineRule="auto"/>
        <w:ind w:left="0" w:firstLine="567"/>
        <w:contextualSpacing/>
        <w:jc w:val="both"/>
        <w:rPr>
          <w:rFonts w:ascii="Tahoma" w:eastAsia="Calibri" w:hAnsi="Tahoma" w:cs="Tahoma"/>
          <w:sz w:val="22"/>
          <w:szCs w:val="22"/>
          <w:lang w:eastAsia="en-US"/>
        </w:rPr>
      </w:pPr>
      <w:r w:rsidRPr="001329CD">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34546F6" w14:textId="77777777" w:rsidR="00C63B9D" w:rsidRDefault="00C63B9D" w:rsidP="00C63B9D">
      <w:pPr>
        <w:numPr>
          <w:ilvl w:val="0"/>
          <w:numId w:val="10"/>
        </w:numPr>
        <w:tabs>
          <w:tab w:val="left" w:pos="993"/>
        </w:tabs>
        <w:spacing w:line="240" w:lineRule="auto"/>
        <w:ind w:left="0" w:firstLine="567"/>
        <w:contextualSpacing/>
        <w:rPr>
          <w:rFonts w:ascii="Tahoma" w:eastAsia="Calibri" w:hAnsi="Tahoma" w:cs="Tahoma"/>
          <w:sz w:val="22"/>
          <w:szCs w:val="22"/>
          <w:lang w:eastAsia="en-US"/>
        </w:rPr>
      </w:pPr>
      <w:r w:rsidRPr="001329CD">
        <w:rPr>
          <w:rFonts w:ascii="Tahoma" w:eastAsia="Calibri" w:hAnsi="Tahoma" w:cs="Tahoma"/>
          <w:sz w:val="22"/>
          <w:szCs w:val="22"/>
          <w:lang w:eastAsia="en-US"/>
        </w:rPr>
        <w:t>Jeigu tiekėjas teikia lygiaverčius dokumentus, tai teikiamų dokumentų lygiavertiškumą turi įrodyti pats tiekėjas.</w:t>
      </w:r>
    </w:p>
    <w:p w14:paraId="2364054B" w14:textId="77777777" w:rsidR="008B2939" w:rsidRPr="00F41C76" w:rsidRDefault="008B2939" w:rsidP="008B2939">
      <w:pPr>
        <w:tabs>
          <w:tab w:val="left" w:pos="709"/>
        </w:tabs>
        <w:spacing w:after="0" w:line="240" w:lineRule="auto"/>
        <w:jc w:val="right"/>
        <w:rPr>
          <w:rFonts w:ascii="Tahoma" w:eastAsiaTheme="minorHAnsi" w:hAnsi="Tahoma" w:cs="Tahoma"/>
          <w:iCs/>
          <w:sz w:val="22"/>
          <w:szCs w:val="22"/>
          <w:lang w:eastAsia="en-US"/>
        </w:rPr>
      </w:pPr>
    </w:p>
    <w:tbl>
      <w:tblPr>
        <w:tblStyle w:val="TableGrid3"/>
        <w:tblW w:w="9634" w:type="dxa"/>
        <w:tblLook w:val="04A0" w:firstRow="1" w:lastRow="0" w:firstColumn="1" w:lastColumn="0" w:noHBand="0" w:noVBand="1"/>
      </w:tblPr>
      <w:tblGrid>
        <w:gridCol w:w="590"/>
        <w:gridCol w:w="4664"/>
        <w:gridCol w:w="4380"/>
      </w:tblGrid>
      <w:tr w:rsidR="008B2939" w:rsidRPr="007F23B4" w14:paraId="286F7E8F" w14:textId="77777777" w:rsidTr="0034777A">
        <w:tc>
          <w:tcPr>
            <w:tcW w:w="590" w:type="dxa"/>
            <w:shd w:val="clear" w:color="auto" w:fill="DEEAF6" w:themeFill="accent1" w:themeFillTint="33"/>
            <w:hideMark/>
          </w:tcPr>
          <w:p w14:paraId="4F2BE610" w14:textId="77777777" w:rsidR="008B2939" w:rsidRPr="007F23B4" w:rsidRDefault="008B2939" w:rsidP="0034777A">
            <w:pPr>
              <w:spacing w:after="0" w:line="256" w:lineRule="auto"/>
              <w:rPr>
                <w:rFonts w:ascii="Tahoma" w:hAnsi="Tahoma" w:cs="Tahoma"/>
                <w:b/>
                <w:bCs/>
                <w:sz w:val="22"/>
                <w:szCs w:val="22"/>
              </w:rPr>
            </w:pPr>
            <w:r w:rsidRPr="007F23B4">
              <w:rPr>
                <w:rFonts w:ascii="Tahoma" w:eastAsiaTheme="minorHAnsi" w:hAnsi="Tahoma" w:cs="Tahoma"/>
                <w:b/>
                <w:bCs/>
                <w:sz w:val="22"/>
                <w:szCs w:val="22"/>
              </w:rPr>
              <w:t>Eil. Nr.</w:t>
            </w:r>
          </w:p>
        </w:tc>
        <w:tc>
          <w:tcPr>
            <w:tcW w:w="4664" w:type="dxa"/>
            <w:shd w:val="clear" w:color="auto" w:fill="DEEAF6" w:themeFill="accent1" w:themeFillTint="33"/>
            <w:hideMark/>
          </w:tcPr>
          <w:p w14:paraId="6225C927" w14:textId="77777777" w:rsidR="008B2939" w:rsidRPr="007F23B4" w:rsidRDefault="008B2939" w:rsidP="0034777A">
            <w:pPr>
              <w:spacing w:after="0" w:line="256" w:lineRule="auto"/>
              <w:rPr>
                <w:rFonts w:ascii="Tahoma" w:eastAsiaTheme="minorHAnsi" w:hAnsi="Tahoma" w:cs="Tahoma"/>
                <w:b/>
                <w:bCs/>
                <w:sz w:val="22"/>
                <w:szCs w:val="22"/>
              </w:rPr>
            </w:pPr>
            <w:r w:rsidRPr="007F23B4">
              <w:rPr>
                <w:rFonts w:ascii="Tahoma" w:hAnsi="Tahoma" w:cs="Tahoma"/>
                <w:b/>
                <w:bCs/>
                <w:color w:val="000000"/>
                <w:sz w:val="22"/>
                <w:szCs w:val="22"/>
              </w:rPr>
              <w:t>Kvalifikacijos reikalavimas</w:t>
            </w:r>
          </w:p>
        </w:tc>
        <w:tc>
          <w:tcPr>
            <w:tcW w:w="4380" w:type="dxa"/>
            <w:shd w:val="clear" w:color="auto" w:fill="DEEAF6" w:themeFill="accent1" w:themeFillTint="33"/>
          </w:tcPr>
          <w:p w14:paraId="5EA2D919" w14:textId="77777777" w:rsidR="008B2939" w:rsidRPr="007F23B4" w:rsidRDefault="008B2939" w:rsidP="0034777A">
            <w:pPr>
              <w:autoSpaceDE w:val="0"/>
              <w:autoSpaceDN w:val="0"/>
              <w:adjustRightInd w:val="0"/>
              <w:spacing w:after="0"/>
              <w:rPr>
                <w:rFonts w:ascii="Tahoma" w:hAnsi="Tahoma" w:cs="Tahoma"/>
                <w:b/>
                <w:bCs/>
                <w:color w:val="000000"/>
                <w:sz w:val="22"/>
                <w:szCs w:val="22"/>
              </w:rPr>
            </w:pPr>
            <w:r w:rsidRPr="007F23B4">
              <w:rPr>
                <w:rFonts w:ascii="Tahoma" w:hAnsi="Tahoma" w:cs="Tahoma"/>
                <w:b/>
                <w:bCs/>
                <w:color w:val="000000"/>
                <w:sz w:val="22"/>
                <w:szCs w:val="22"/>
              </w:rPr>
              <w:t>Atitiktį reikalavimui įrodantys dokumentai</w:t>
            </w:r>
          </w:p>
        </w:tc>
      </w:tr>
      <w:tr w:rsidR="008B2939" w:rsidRPr="007F23B4" w14:paraId="781EE50E" w14:textId="77777777" w:rsidTr="0034777A">
        <w:tc>
          <w:tcPr>
            <w:tcW w:w="590" w:type="dxa"/>
          </w:tcPr>
          <w:p w14:paraId="5856EBB2" w14:textId="77777777" w:rsidR="008B2939" w:rsidRPr="007F23B4" w:rsidRDefault="008B2939" w:rsidP="0034777A">
            <w:pPr>
              <w:spacing w:after="0" w:line="256" w:lineRule="auto"/>
              <w:rPr>
                <w:rFonts w:ascii="Tahoma" w:eastAsiaTheme="minorHAnsi" w:hAnsi="Tahoma" w:cs="Tahoma"/>
                <w:sz w:val="22"/>
                <w:szCs w:val="22"/>
              </w:rPr>
            </w:pPr>
            <w:r w:rsidRPr="007F23B4">
              <w:rPr>
                <w:rFonts w:ascii="Tahoma" w:eastAsiaTheme="minorHAnsi" w:hAnsi="Tahoma" w:cs="Tahoma"/>
                <w:sz w:val="22"/>
                <w:szCs w:val="22"/>
              </w:rPr>
              <w:t>1.</w:t>
            </w:r>
          </w:p>
        </w:tc>
        <w:tc>
          <w:tcPr>
            <w:tcW w:w="4664" w:type="dxa"/>
          </w:tcPr>
          <w:p w14:paraId="199CEAE7" w14:textId="77777777" w:rsidR="008B2939" w:rsidRPr="007F23B4" w:rsidRDefault="008B2939" w:rsidP="0034777A">
            <w:pPr>
              <w:jc w:val="both"/>
              <w:rPr>
                <w:rFonts w:ascii="Tahoma" w:hAnsi="Tahoma" w:cs="Tahoma"/>
                <w:b/>
                <w:sz w:val="22"/>
                <w:szCs w:val="22"/>
              </w:rPr>
            </w:pPr>
            <w:r w:rsidRPr="007F23B4">
              <w:rPr>
                <w:rFonts w:ascii="Tahoma" w:hAnsi="Tahoma" w:cs="Tahoma"/>
                <w:b/>
                <w:sz w:val="22"/>
                <w:szCs w:val="22"/>
              </w:rPr>
              <w:t>Tiekėjas, tiekėjų grupės partneriai, ūkio subjektai, kurių pajėgumais remiamasi ir jų pasitelkiami subtiekėjai ar kontroliuojantis asmuo neturi interesų, galinčių kelti grėsmę nacionaliniam saugumui.</w:t>
            </w:r>
          </w:p>
          <w:p w14:paraId="33EC4E3A" w14:textId="77777777" w:rsidR="008B2939" w:rsidRPr="007F23B4" w:rsidRDefault="008B2939" w:rsidP="0034777A">
            <w:pPr>
              <w:jc w:val="both"/>
              <w:rPr>
                <w:rFonts w:ascii="Tahoma" w:hAnsi="Tahoma" w:cs="Tahoma"/>
                <w:b/>
                <w:sz w:val="22"/>
                <w:szCs w:val="22"/>
              </w:rPr>
            </w:pPr>
          </w:p>
          <w:p w14:paraId="0B81C44A" w14:textId="77777777" w:rsidR="008B2939" w:rsidRPr="007F23B4" w:rsidRDefault="008B2939" w:rsidP="0034777A">
            <w:pPr>
              <w:jc w:val="both"/>
              <w:rPr>
                <w:rFonts w:ascii="Tahoma" w:hAnsi="Tahoma" w:cs="Tahoma"/>
                <w:sz w:val="22"/>
                <w:szCs w:val="22"/>
              </w:rPr>
            </w:pPr>
            <w:r w:rsidRPr="007F23B4">
              <w:rPr>
                <w:rFonts w:ascii="Tahoma" w:hAnsi="Tahoma" w:cs="Tahoma"/>
                <w:sz w:val="22"/>
                <w:szCs w:val="22"/>
              </w:rPr>
              <w:t>Draudžiama Pirkime dalyvauti tiekėjams, jų subtiekėjams ar ūkio subjektams, kurių pajėgumais remiamasi, kurie patys ar juos kontroliuojantys asmenys -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0C540DB9" w14:textId="77777777" w:rsidR="008B2939" w:rsidRPr="007F23B4" w:rsidRDefault="008B2939" w:rsidP="0034777A">
            <w:pPr>
              <w:spacing w:after="0"/>
              <w:jc w:val="both"/>
              <w:rPr>
                <w:rFonts w:ascii="Tahoma" w:hAnsi="Tahoma" w:cs="Tahoma"/>
                <w:b/>
                <w:sz w:val="22"/>
                <w:szCs w:val="22"/>
              </w:rPr>
            </w:pPr>
          </w:p>
        </w:tc>
        <w:tc>
          <w:tcPr>
            <w:tcW w:w="4380" w:type="dxa"/>
          </w:tcPr>
          <w:p w14:paraId="0F9F2696" w14:textId="458C1220" w:rsidR="008B2939" w:rsidRPr="007F23B4" w:rsidRDefault="008B2939" w:rsidP="0034777A">
            <w:pPr>
              <w:pStyle w:val="ListParagraph"/>
              <w:numPr>
                <w:ilvl w:val="0"/>
                <w:numId w:val="2"/>
              </w:numPr>
              <w:tabs>
                <w:tab w:val="left" w:pos="318"/>
              </w:tabs>
              <w:autoSpaceDE w:val="0"/>
              <w:autoSpaceDN w:val="0"/>
              <w:adjustRightInd w:val="0"/>
              <w:spacing w:after="0" w:line="240" w:lineRule="auto"/>
              <w:ind w:left="0" w:firstLine="0"/>
              <w:jc w:val="both"/>
              <w:rPr>
                <w:rFonts w:ascii="Tahoma" w:hAnsi="Tahoma" w:cs="Tahoma"/>
                <w:sz w:val="22"/>
                <w:szCs w:val="22"/>
              </w:rPr>
            </w:pPr>
            <w:r w:rsidRPr="007F23B4">
              <w:rPr>
                <w:rFonts w:ascii="Tahoma" w:hAnsi="Tahoma" w:cs="Tahoma"/>
                <w:sz w:val="22"/>
                <w:szCs w:val="22"/>
              </w:rPr>
              <w:t xml:space="preserve">Nacionalinio saugumo atitikties reikalavimų deklaracija pagal formą nustatytą Pirkimo sąlygų </w:t>
            </w:r>
            <w:r w:rsidR="00CF1A1B">
              <w:rPr>
                <w:rFonts w:ascii="Tahoma" w:hAnsi="Tahoma" w:cs="Tahoma"/>
                <w:sz w:val="22"/>
                <w:szCs w:val="22"/>
              </w:rPr>
              <w:t>8</w:t>
            </w:r>
            <w:r w:rsidRPr="007F23B4">
              <w:rPr>
                <w:rFonts w:ascii="Tahoma" w:hAnsi="Tahoma" w:cs="Tahoma"/>
                <w:sz w:val="22"/>
                <w:szCs w:val="22"/>
              </w:rPr>
              <w:t xml:space="preserve"> priede. Teikiama kartu su pasiūlymu.</w:t>
            </w:r>
          </w:p>
          <w:p w14:paraId="6797FAB1" w14:textId="77777777" w:rsidR="008B2939" w:rsidRPr="007F23B4" w:rsidRDefault="008B2939" w:rsidP="0034777A">
            <w:pPr>
              <w:pStyle w:val="ListParagraph"/>
              <w:numPr>
                <w:ilvl w:val="0"/>
                <w:numId w:val="2"/>
              </w:numPr>
              <w:tabs>
                <w:tab w:val="left" w:pos="318"/>
              </w:tabs>
              <w:autoSpaceDE w:val="0"/>
              <w:autoSpaceDN w:val="0"/>
              <w:adjustRightInd w:val="0"/>
              <w:spacing w:after="0" w:line="240" w:lineRule="auto"/>
              <w:ind w:left="0" w:firstLine="0"/>
              <w:jc w:val="both"/>
              <w:rPr>
                <w:rFonts w:ascii="Tahoma" w:hAnsi="Tahoma" w:cs="Tahoma"/>
                <w:sz w:val="22"/>
                <w:szCs w:val="22"/>
              </w:rPr>
            </w:pPr>
            <w:r w:rsidRPr="007F23B4">
              <w:rPr>
                <w:rFonts w:ascii="Tahoma" w:hAnsi="Tahoma" w:cs="Tahoma"/>
                <w:sz w:val="22"/>
                <w:szCs w:val="22"/>
              </w:rPr>
              <w:t>Perkančioji organizacija iš ekonomiškai naudingiausią pasiūlymą pateikusio tiekėjo prašys pateikti vieną ar kelis šiuos dokumentus (arba atitinkamus valstybės narės ar trečiosios šalies dokumentus, ar kitus Perkančiajai organizacijai priimtinus dokumentus):</w:t>
            </w:r>
          </w:p>
          <w:p w14:paraId="4C794CF7" w14:textId="77777777" w:rsidR="008B2939" w:rsidRPr="007F23B4" w:rsidRDefault="008B2939" w:rsidP="0034777A">
            <w:pPr>
              <w:pStyle w:val="ListParagraph"/>
              <w:numPr>
                <w:ilvl w:val="0"/>
                <w:numId w:val="1"/>
              </w:numPr>
              <w:autoSpaceDE w:val="0"/>
              <w:autoSpaceDN w:val="0"/>
              <w:adjustRightInd w:val="0"/>
              <w:spacing w:after="0" w:line="240" w:lineRule="auto"/>
              <w:ind w:left="177" w:hanging="142"/>
              <w:jc w:val="both"/>
              <w:rPr>
                <w:rFonts w:ascii="Tahoma" w:hAnsi="Tahoma" w:cs="Tahoma"/>
                <w:b/>
                <w:sz w:val="22"/>
                <w:szCs w:val="22"/>
              </w:rPr>
            </w:pPr>
            <w:r w:rsidRPr="007F23B4">
              <w:rPr>
                <w:rFonts w:ascii="Tahoma" w:eastAsia="Calibri" w:hAnsi="Tahoma" w:cs="Tahoma"/>
                <w:b/>
                <w:sz w:val="22"/>
                <w:szCs w:val="22"/>
              </w:rPr>
              <w:t xml:space="preserve">jeigu tiekėjas, jo subtiekėjas, </w:t>
            </w:r>
            <w:r w:rsidRPr="007F23B4">
              <w:rPr>
                <w:rFonts w:ascii="Tahoma" w:eastAsia="Calibri" w:hAnsi="Tahoma" w:cs="Tahoma"/>
                <w:b/>
                <w:bCs/>
                <w:sz w:val="22"/>
                <w:szCs w:val="22"/>
              </w:rPr>
              <w:t>ūkio subjektas, kurio pajėgumais remiamasi,</w:t>
            </w:r>
            <w:r w:rsidRPr="007F23B4">
              <w:rPr>
                <w:rFonts w:ascii="Tahoma" w:eastAsia="Calibri" w:hAnsi="Tahoma" w:cs="Tahoma"/>
                <w:b/>
                <w:sz w:val="22"/>
                <w:szCs w:val="22"/>
              </w:rPr>
              <w:t xml:space="preserve"> ar juos kontroliuojantis asmuo yra juridinis asmuo, pateikiama juridinio asmens vadovo patvirtinta juridinio asmens steigimo dokumentų kopija, Juridinių asmenų registro išplėstinis išrašas su istorija, </w:t>
            </w:r>
            <w:r w:rsidRPr="007F23B4">
              <w:rPr>
                <w:rFonts w:ascii="Tahoma" w:hAnsi="Tahoma" w:cs="Tahoma"/>
                <w:b/>
                <w:bCs/>
                <w:sz w:val="22"/>
                <w:szCs w:val="22"/>
              </w:rPr>
              <w:t>Juridinių asmenų dalyvių informacinės sistemos išrašas</w:t>
            </w:r>
            <w:r w:rsidRPr="007F23B4">
              <w:rPr>
                <w:rFonts w:ascii="Tahoma" w:hAnsi="Tahoma" w:cs="Tahoma"/>
                <w:b/>
                <w:sz w:val="22"/>
                <w:szCs w:val="22"/>
              </w:rPr>
              <w:t>;</w:t>
            </w:r>
          </w:p>
          <w:p w14:paraId="648A7273" w14:textId="77777777" w:rsidR="008B2939" w:rsidRPr="007F23B4" w:rsidRDefault="008B2939" w:rsidP="0034777A">
            <w:pPr>
              <w:pStyle w:val="ListParagraph"/>
              <w:numPr>
                <w:ilvl w:val="0"/>
                <w:numId w:val="1"/>
              </w:numPr>
              <w:autoSpaceDE w:val="0"/>
              <w:autoSpaceDN w:val="0"/>
              <w:adjustRightInd w:val="0"/>
              <w:spacing w:after="0" w:line="240" w:lineRule="auto"/>
              <w:ind w:left="177" w:hanging="142"/>
              <w:jc w:val="both"/>
              <w:rPr>
                <w:rFonts w:ascii="Tahoma" w:hAnsi="Tahoma" w:cs="Tahoma"/>
                <w:b/>
                <w:sz w:val="22"/>
                <w:szCs w:val="22"/>
              </w:rPr>
            </w:pPr>
            <w:r w:rsidRPr="007F23B4">
              <w:rPr>
                <w:rFonts w:ascii="Tahoma" w:eastAsia="Calibri" w:hAnsi="Tahoma" w:cs="Tahoma"/>
                <w:b/>
                <w:sz w:val="22"/>
                <w:szCs w:val="22"/>
              </w:rPr>
              <w:t xml:space="preserve">jeigu tiekėjas, jo subtiekėjas, </w:t>
            </w:r>
            <w:r w:rsidRPr="007F23B4">
              <w:rPr>
                <w:rFonts w:ascii="Tahoma" w:eastAsia="Calibri" w:hAnsi="Tahoma" w:cs="Tahoma"/>
                <w:b/>
                <w:bCs/>
                <w:sz w:val="22"/>
                <w:szCs w:val="22"/>
              </w:rPr>
              <w:t>ūkio subjektas, kurio pajėgumais remiamasi,</w:t>
            </w:r>
            <w:r w:rsidRPr="007F23B4">
              <w:rPr>
                <w:rFonts w:ascii="Tahoma" w:eastAsia="Calibri" w:hAnsi="Tahoma" w:cs="Tahoma"/>
                <w:b/>
                <w:sz w:val="22"/>
                <w:szCs w:val="22"/>
              </w:rPr>
              <w:t xml:space="preserve"> ar juos kontroliuojantis asmuo yra fizinis asmuo, pateikiama </w:t>
            </w:r>
            <w:r w:rsidRPr="007F23B4">
              <w:rPr>
                <w:rFonts w:ascii="Tahoma" w:eastAsia="Calibri" w:hAnsi="Tahoma" w:cs="Tahoma"/>
                <w:b/>
                <w:sz w:val="22"/>
                <w:szCs w:val="22"/>
              </w:rPr>
              <w:lastRenderedPageBreak/>
              <w:t>asmens tapatybę patvirtinančio dokumento (tapatybės kortelės ar paso) kopija, leidimo verstis atitinkama ūkine veikla patvirtinančio dokumento (pavyzdžiui, verslo liudijimo, individualios veiklos pažymėjimo ir pan.) kopija ir pažyma apie deklaruotą gyvenamąją vietą</w:t>
            </w:r>
            <w:r w:rsidRPr="007F23B4">
              <w:rPr>
                <w:rFonts w:ascii="Tahoma" w:hAnsi="Tahoma" w:cs="Tahoma"/>
                <w:b/>
                <w:sz w:val="22"/>
                <w:szCs w:val="22"/>
              </w:rPr>
              <w:t>.</w:t>
            </w:r>
          </w:p>
          <w:p w14:paraId="2E559400" w14:textId="77777777" w:rsidR="008B2939" w:rsidRPr="007F23B4" w:rsidRDefault="008B2939" w:rsidP="0034777A">
            <w:pPr>
              <w:autoSpaceDE w:val="0"/>
              <w:autoSpaceDN w:val="0"/>
              <w:adjustRightInd w:val="0"/>
              <w:jc w:val="both"/>
              <w:rPr>
                <w:rFonts w:ascii="Tahoma" w:hAnsi="Tahoma" w:cs="Tahoma"/>
                <w:b/>
                <w:sz w:val="22"/>
                <w:szCs w:val="22"/>
              </w:rPr>
            </w:pPr>
          </w:p>
          <w:p w14:paraId="241B7EE5" w14:textId="77777777" w:rsidR="008B2939" w:rsidRPr="007F23B4" w:rsidRDefault="008B2939" w:rsidP="0034777A">
            <w:pPr>
              <w:autoSpaceDE w:val="0"/>
              <w:autoSpaceDN w:val="0"/>
              <w:adjustRightInd w:val="0"/>
              <w:jc w:val="both"/>
              <w:rPr>
                <w:rFonts w:ascii="Tahoma" w:hAnsi="Tahoma" w:cs="Tahoma"/>
                <w:b/>
                <w:sz w:val="22"/>
                <w:szCs w:val="22"/>
              </w:rPr>
            </w:pPr>
            <w:r w:rsidRPr="007F23B4">
              <w:rPr>
                <w:rFonts w:ascii="Tahoma" w:hAnsi="Tahoma" w:cs="Tahoma"/>
                <w:b/>
                <w:sz w:val="22"/>
                <w:szCs w:val="22"/>
              </w:rPr>
              <w:t xml:space="preserve">Perkančioji organizacija, </w:t>
            </w:r>
            <w:r w:rsidRPr="007F23B4">
              <w:rPr>
                <w:rFonts w:ascii="Tahoma" w:hAnsi="Tahoma" w:cs="Tahoma"/>
                <w:b/>
                <w:bCs/>
                <w:color w:val="000000"/>
                <w:sz w:val="22"/>
                <w:szCs w:val="22"/>
              </w:rPr>
              <w:t xml:space="preserve">Nacionaliniam saugumui užtikrinti svarbių objektų apsaugos įstatyme nustatyta tvarka, </w:t>
            </w:r>
            <w:r w:rsidRPr="007F23B4">
              <w:rPr>
                <w:rFonts w:ascii="Tahoma" w:hAnsi="Tahoma" w:cs="Tahoma"/>
                <w:b/>
                <w:sz w:val="22"/>
                <w:szCs w:val="22"/>
              </w:rPr>
              <w:t xml:space="preserve"> kreipsis į Nacionaliniam saugumui užtikrinti svarbių objektų apsaugos koordinavimo komisiją (toliau – Komisija) dėl ketinamo sudaryti sandorio atitikties nacionalinio saugumo interesams patikros ir tuo atveju, jeigu Komisija pareikalaus pateikti papildomus dokumentus, tiekėjų grupės partneriai, ir jų pasitelkiami subtiekėjai privalės pateikti tokiai patikrai reikalingus dokumentus.</w:t>
            </w:r>
          </w:p>
          <w:p w14:paraId="4DDFE830" w14:textId="77777777" w:rsidR="008B2939" w:rsidRPr="007F23B4" w:rsidRDefault="008B2939" w:rsidP="0034777A">
            <w:pPr>
              <w:autoSpaceDE w:val="0"/>
              <w:autoSpaceDN w:val="0"/>
              <w:adjustRightInd w:val="0"/>
              <w:jc w:val="both"/>
              <w:rPr>
                <w:rFonts w:ascii="Tahoma" w:hAnsi="Tahoma" w:cs="Tahoma"/>
                <w:b/>
                <w:sz w:val="22"/>
                <w:szCs w:val="22"/>
              </w:rPr>
            </w:pPr>
          </w:p>
          <w:p w14:paraId="21DB60D7" w14:textId="77777777" w:rsidR="008B2939" w:rsidRPr="007F23B4" w:rsidRDefault="008B2939" w:rsidP="0034777A">
            <w:pPr>
              <w:autoSpaceDE w:val="0"/>
              <w:autoSpaceDN w:val="0"/>
              <w:adjustRightInd w:val="0"/>
              <w:spacing w:after="0"/>
              <w:jc w:val="both"/>
              <w:rPr>
                <w:rFonts w:ascii="Tahoma" w:hAnsi="Tahoma" w:cs="Tahoma"/>
                <w:b/>
                <w:sz w:val="22"/>
                <w:szCs w:val="22"/>
              </w:rPr>
            </w:pPr>
            <w:r w:rsidRPr="007F23B4">
              <w:rPr>
                <w:rFonts w:ascii="Tahoma" w:hAnsi="Tahoma" w:cs="Tahoma"/>
                <w:sz w:val="22"/>
                <w:szCs w:val="22"/>
              </w:rPr>
              <w:t xml:space="preserve">Dokumentai, kuriuose nenurodytas jų galiojimo terminas, turi būti išduoti ar atspausdinti iš informacinės sistemos ne anksčiau kaip </w:t>
            </w:r>
            <w:r w:rsidRPr="007F23B4">
              <w:rPr>
                <w:rFonts w:ascii="Tahoma" w:hAnsi="Tahoma" w:cs="Tahoma"/>
                <w:b/>
                <w:sz w:val="22"/>
                <w:szCs w:val="22"/>
              </w:rPr>
              <w:t xml:space="preserve">likus 3 mėnesiams </w:t>
            </w:r>
            <w:r w:rsidRPr="007F23B4">
              <w:rPr>
                <w:rFonts w:ascii="Tahoma" w:hAnsi="Tahoma" w:cs="Tahoma"/>
                <w:sz w:val="22"/>
                <w:szCs w:val="22"/>
              </w:rPr>
              <w:t>iki tos dienos, kurią perkančiosios organizacijos prašymu tiekėjas turi pateikti dokumentus.</w:t>
            </w:r>
          </w:p>
        </w:tc>
      </w:tr>
      <w:tr w:rsidR="008B2939" w:rsidRPr="007F23B4" w14:paraId="24FF08D7" w14:textId="77777777" w:rsidTr="0034777A">
        <w:tc>
          <w:tcPr>
            <w:tcW w:w="9634" w:type="dxa"/>
            <w:gridSpan w:val="3"/>
          </w:tcPr>
          <w:p w14:paraId="544638D4" w14:textId="1523ED13" w:rsidR="008B2939" w:rsidRPr="007F23B4" w:rsidRDefault="00DC1ECD" w:rsidP="0034777A">
            <w:pPr>
              <w:autoSpaceDE w:val="0"/>
              <w:autoSpaceDN w:val="0"/>
              <w:adjustRightInd w:val="0"/>
              <w:spacing w:after="0"/>
              <w:jc w:val="center"/>
              <w:rPr>
                <w:rFonts w:ascii="Tahoma" w:hAnsi="Tahoma" w:cs="Tahoma"/>
                <w:sz w:val="22"/>
                <w:szCs w:val="22"/>
              </w:rPr>
            </w:pPr>
            <w:r>
              <w:rPr>
                <w:rFonts w:ascii="Tahoma" w:hAnsi="Tahoma" w:cs="Tahoma"/>
                <w:b/>
                <w:sz w:val="22"/>
                <w:szCs w:val="22"/>
              </w:rPr>
              <w:lastRenderedPageBreak/>
              <w:t>Techninis ir profesinis pajėgumas</w:t>
            </w:r>
          </w:p>
        </w:tc>
      </w:tr>
      <w:tr w:rsidR="008B2939" w:rsidRPr="007F23B4" w14:paraId="703FDFA7" w14:textId="77777777" w:rsidTr="0034777A">
        <w:tc>
          <w:tcPr>
            <w:tcW w:w="590" w:type="dxa"/>
          </w:tcPr>
          <w:p w14:paraId="6702E231" w14:textId="77777777" w:rsidR="008B2939" w:rsidRPr="007F23B4" w:rsidRDefault="008B2939" w:rsidP="0034777A">
            <w:pPr>
              <w:spacing w:after="0" w:line="256" w:lineRule="auto"/>
              <w:rPr>
                <w:rFonts w:ascii="Tahoma" w:eastAsiaTheme="minorHAnsi" w:hAnsi="Tahoma" w:cs="Tahoma"/>
                <w:sz w:val="22"/>
                <w:szCs w:val="22"/>
              </w:rPr>
            </w:pPr>
            <w:r w:rsidRPr="007F23B4">
              <w:rPr>
                <w:rFonts w:ascii="Tahoma" w:eastAsiaTheme="minorHAnsi" w:hAnsi="Tahoma" w:cs="Tahoma"/>
                <w:sz w:val="22"/>
                <w:szCs w:val="22"/>
              </w:rPr>
              <w:t>2.</w:t>
            </w:r>
          </w:p>
        </w:tc>
        <w:tc>
          <w:tcPr>
            <w:tcW w:w="4664" w:type="dxa"/>
          </w:tcPr>
          <w:p w14:paraId="74AC5394" w14:textId="77777777" w:rsidR="008B2939" w:rsidRPr="007F23B4" w:rsidRDefault="008B2939" w:rsidP="0034777A">
            <w:pPr>
              <w:pStyle w:val="NormalLent"/>
              <w:rPr>
                <w:rFonts w:ascii="Tahoma" w:hAnsi="Tahoma" w:cs="Tahoma"/>
                <w:sz w:val="22"/>
                <w:szCs w:val="22"/>
              </w:rPr>
            </w:pPr>
            <w:r w:rsidRPr="007F23B4">
              <w:rPr>
                <w:rFonts w:ascii="Tahoma" w:hAnsi="Tahoma" w:cs="Tahoma"/>
                <w:sz w:val="22"/>
                <w:szCs w:val="22"/>
              </w:rPr>
              <w:t xml:space="preserve">Tiekėjas </w:t>
            </w:r>
            <w:r w:rsidRPr="007F23B4">
              <w:rPr>
                <w:rFonts w:ascii="Tahoma" w:hAnsi="Tahoma" w:cs="Tahoma"/>
                <w:bCs/>
                <w:sz w:val="22"/>
                <w:szCs w:val="22"/>
              </w:rPr>
              <w:t>turi turėti (arba gali pasitelkti) kvalifikuotus už pirkimo sutarties vykdymą atsakingus specialistus.</w:t>
            </w:r>
            <w:r w:rsidRPr="007F23B4">
              <w:rPr>
                <w:rFonts w:ascii="Tahoma" w:hAnsi="Tahoma" w:cs="Tahoma"/>
                <w:sz w:val="22"/>
                <w:szCs w:val="22"/>
              </w:rPr>
              <w:t xml:space="preserve"> Specialistai turi atitikti šiuos žemiau nurodytus kvalifikacijos reikalavimus:</w:t>
            </w:r>
          </w:p>
          <w:p w14:paraId="7177DD0C" w14:textId="57D38A32" w:rsidR="008B2939" w:rsidRPr="007F23B4" w:rsidRDefault="008B2939" w:rsidP="00276FE0">
            <w:pPr>
              <w:spacing w:after="0" w:line="240" w:lineRule="auto"/>
              <w:jc w:val="both"/>
              <w:rPr>
                <w:rFonts w:ascii="Tahoma" w:hAnsi="Tahoma" w:cs="Tahoma"/>
                <w:sz w:val="22"/>
                <w:szCs w:val="22"/>
                <w:lang w:eastAsia="en-US"/>
              </w:rPr>
            </w:pPr>
            <w:r w:rsidRPr="007F23B4">
              <w:rPr>
                <w:rFonts w:ascii="Tahoma" w:hAnsi="Tahoma" w:cs="Tahoma"/>
                <w:b/>
                <w:bCs/>
                <w:color w:val="000000"/>
                <w:sz w:val="22"/>
                <w:szCs w:val="22"/>
              </w:rPr>
              <w:t>Pastaba.</w:t>
            </w:r>
            <w:r w:rsidRPr="007F23B4">
              <w:rPr>
                <w:rFonts w:ascii="Tahoma" w:hAnsi="Tahoma" w:cs="Tahoma"/>
                <w:bCs/>
                <w:color w:val="000000"/>
                <w:sz w:val="22"/>
                <w:szCs w:val="22"/>
              </w:rPr>
              <w:t xml:space="preserve"> </w:t>
            </w:r>
            <w:r w:rsidRPr="007F23B4">
              <w:rPr>
                <w:rFonts w:ascii="Tahoma" w:hAnsi="Tahoma" w:cs="Tahoma"/>
                <w:bCs/>
                <w:sz w:val="22"/>
                <w:szCs w:val="22"/>
              </w:rPr>
              <w:t xml:space="preserve">Perkančioji organizacija 2.1-2.2 </w:t>
            </w:r>
            <w:r w:rsidR="00276FE0" w:rsidRPr="0010717B">
              <w:rPr>
                <w:rFonts w:ascii="Tahoma" w:hAnsi="Tahoma" w:cs="Tahoma"/>
                <w:bCs/>
                <w:sz w:val="22"/>
                <w:szCs w:val="22"/>
                <w:lang w:val="af-ZA"/>
              </w:rPr>
              <w:t xml:space="preserve">papunkčiuose nurodo reikalaujamas kompetencijas, o tiekėjas turi pateikti </w:t>
            </w:r>
            <w:r w:rsidR="00276FE0">
              <w:rPr>
                <w:rFonts w:ascii="Tahoma" w:hAnsi="Tahoma" w:cs="Tahoma"/>
                <w:bCs/>
                <w:sz w:val="22"/>
                <w:szCs w:val="22"/>
                <w:lang w:val="af-ZA"/>
              </w:rPr>
              <w:t>siūlomą</w:t>
            </w:r>
            <w:r w:rsidR="00276FE0" w:rsidRPr="0010717B">
              <w:rPr>
                <w:rFonts w:ascii="Tahoma" w:hAnsi="Tahoma" w:cs="Tahoma"/>
                <w:bCs/>
                <w:sz w:val="22"/>
                <w:szCs w:val="22"/>
                <w:lang w:val="af-ZA"/>
              </w:rPr>
              <w:t xml:space="preserve"> reikalaujamas kompetencijas atitinkančių specialistų skaičių. Tas pats asmuo galės vykdyti kelių specialistų funkcijas.</w:t>
            </w:r>
          </w:p>
        </w:tc>
        <w:tc>
          <w:tcPr>
            <w:tcW w:w="4380" w:type="dxa"/>
          </w:tcPr>
          <w:p w14:paraId="703AFCDA" w14:textId="77777777" w:rsidR="00830178" w:rsidRPr="007F23B4" w:rsidRDefault="00830178" w:rsidP="00830178">
            <w:pPr>
              <w:tabs>
                <w:tab w:val="left" w:pos="220"/>
                <w:tab w:val="left" w:pos="464"/>
              </w:tabs>
              <w:spacing w:after="0" w:line="240" w:lineRule="auto"/>
              <w:jc w:val="both"/>
              <w:rPr>
                <w:rFonts w:ascii="Tahoma" w:hAnsi="Tahoma" w:cs="Tahoma"/>
                <w:color w:val="000000"/>
                <w:sz w:val="22"/>
                <w:szCs w:val="22"/>
              </w:rPr>
            </w:pPr>
            <w:r w:rsidRPr="007F23B4">
              <w:rPr>
                <w:rFonts w:ascii="Tahoma" w:hAnsi="Tahoma" w:cs="Tahoma"/>
                <w:color w:val="000000"/>
                <w:sz w:val="22"/>
                <w:szCs w:val="22"/>
              </w:rPr>
              <w:t>Pateikiama:</w:t>
            </w:r>
          </w:p>
          <w:p w14:paraId="00D1ABE9" w14:textId="77777777" w:rsidR="00830178" w:rsidRDefault="00830178" w:rsidP="00830178">
            <w:pPr>
              <w:pStyle w:val="ListParagraph"/>
              <w:tabs>
                <w:tab w:val="left" w:pos="305"/>
              </w:tabs>
              <w:spacing w:after="0" w:line="240" w:lineRule="auto"/>
              <w:ind w:left="34"/>
              <w:jc w:val="both"/>
              <w:rPr>
                <w:rFonts w:ascii="Tahoma" w:hAnsi="Tahoma" w:cs="Tahoma"/>
                <w:sz w:val="22"/>
                <w:szCs w:val="22"/>
              </w:rPr>
            </w:pPr>
          </w:p>
          <w:p w14:paraId="1E680B4D" w14:textId="3204E4FE" w:rsidR="008B2939" w:rsidRPr="007F23B4" w:rsidRDefault="008B2939" w:rsidP="0034777A">
            <w:pPr>
              <w:pStyle w:val="ListParagraph"/>
              <w:numPr>
                <w:ilvl w:val="3"/>
                <w:numId w:val="3"/>
              </w:numPr>
              <w:tabs>
                <w:tab w:val="left" w:pos="305"/>
              </w:tabs>
              <w:spacing w:after="0" w:line="240" w:lineRule="auto"/>
              <w:ind w:left="34" w:firstLine="0"/>
              <w:jc w:val="both"/>
              <w:rPr>
                <w:rFonts w:ascii="Tahoma" w:hAnsi="Tahoma" w:cs="Tahoma"/>
                <w:sz w:val="22"/>
                <w:szCs w:val="22"/>
              </w:rPr>
            </w:pPr>
            <w:r w:rsidRPr="007F23B4">
              <w:rPr>
                <w:rFonts w:ascii="Tahoma" w:hAnsi="Tahoma" w:cs="Tahoma"/>
                <w:sz w:val="22"/>
                <w:szCs w:val="22"/>
              </w:rPr>
              <w:t xml:space="preserve">Siūlomų specialistų sąrašas parengtas pagal formą Sąlygų </w:t>
            </w:r>
            <w:r w:rsidR="00CF1A1B">
              <w:rPr>
                <w:rFonts w:ascii="Tahoma" w:hAnsi="Tahoma" w:cs="Tahoma"/>
                <w:sz w:val="22"/>
                <w:szCs w:val="22"/>
              </w:rPr>
              <w:t>11</w:t>
            </w:r>
            <w:r w:rsidRPr="007F23B4">
              <w:rPr>
                <w:rFonts w:ascii="Tahoma" w:hAnsi="Tahoma" w:cs="Tahoma"/>
                <w:sz w:val="22"/>
                <w:szCs w:val="22"/>
              </w:rPr>
              <w:t xml:space="preserve"> priede pateiktą formą. </w:t>
            </w:r>
          </w:p>
          <w:p w14:paraId="188638DB" w14:textId="77777777" w:rsidR="008B2939" w:rsidRPr="007F23B4" w:rsidRDefault="008B2939" w:rsidP="0034777A">
            <w:pPr>
              <w:pStyle w:val="ListParagraph"/>
              <w:numPr>
                <w:ilvl w:val="3"/>
                <w:numId w:val="3"/>
              </w:numPr>
              <w:tabs>
                <w:tab w:val="left" w:pos="305"/>
              </w:tabs>
              <w:spacing w:after="0" w:line="240" w:lineRule="auto"/>
              <w:ind w:left="0" w:firstLine="0"/>
              <w:jc w:val="both"/>
              <w:rPr>
                <w:rFonts w:ascii="Tahoma" w:hAnsi="Tahoma" w:cs="Tahoma"/>
                <w:sz w:val="22"/>
                <w:szCs w:val="22"/>
              </w:rPr>
            </w:pPr>
            <w:r w:rsidRPr="007F23B4">
              <w:rPr>
                <w:rFonts w:ascii="Tahoma" w:hAnsi="Tahoma" w:cs="Tahoma"/>
                <w:iCs/>
                <w:sz w:val="22"/>
                <w:szCs w:val="22"/>
              </w:rPr>
              <w:t>Tuo atveju, jei specialistas nėra paslaugų teikėjo darbuotojas</w:t>
            </w:r>
            <w:r w:rsidRPr="007F23B4">
              <w:rPr>
                <w:rFonts w:ascii="Tahoma" w:hAnsi="Tahoma" w:cs="Tahoma"/>
                <w:sz w:val="22"/>
                <w:szCs w:val="22"/>
              </w:rPr>
              <w:t xml:space="preserve">, pateikiamas specialisto  sutikimas paslaugų teikėjui laimėjus konkursą ir pasirašius viešojo pirkimo sutartį </w:t>
            </w:r>
            <w:r w:rsidRPr="007F23B4">
              <w:rPr>
                <w:rFonts w:ascii="Tahoma" w:hAnsi="Tahoma" w:cs="Tahoma"/>
                <w:iCs/>
                <w:sz w:val="22"/>
                <w:szCs w:val="22"/>
              </w:rPr>
              <w:t>vykdyti jam priskirtas pareigas</w:t>
            </w:r>
            <w:r w:rsidRPr="007F23B4">
              <w:rPr>
                <w:rFonts w:ascii="Tahoma" w:hAnsi="Tahoma" w:cs="Tahoma"/>
                <w:sz w:val="22"/>
                <w:szCs w:val="22"/>
              </w:rPr>
              <w:t>.</w:t>
            </w:r>
          </w:p>
        </w:tc>
      </w:tr>
      <w:tr w:rsidR="008B2939" w:rsidRPr="007F23B4" w14:paraId="61CDEAC5" w14:textId="77777777" w:rsidTr="0034777A">
        <w:tc>
          <w:tcPr>
            <w:tcW w:w="590" w:type="dxa"/>
          </w:tcPr>
          <w:p w14:paraId="5D740F6A" w14:textId="77777777" w:rsidR="008B2939" w:rsidRPr="007F23B4" w:rsidRDefault="008B2939" w:rsidP="0034777A">
            <w:pPr>
              <w:spacing w:after="0" w:line="256" w:lineRule="auto"/>
              <w:rPr>
                <w:rFonts w:ascii="Tahoma" w:eastAsiaTheme="minorHAnsi" w:hAnsi="Tahoma" w:cs="Tahoma"/>
                <w:sz w:val="22"/>
                <w:szCs w:val="22"/>
              </w:rPr>
            </w:pPr>
            <w:r w:rsidRPr="007F23B4">
              <w:rPr>
                <w:rFonts w:ascii="Tahoma" w:eastAsiaTheme="minorHAnsi" w:hAnsi="Tahoma" w:cs="Tahoma"/>
                <w:sz w:val="22"/>
                <w:szCs w:val="22"/>
              </w:rPr>
              <w:t>2.1.</w:t>
            </w:r>
          </w:p>
        </w:tc>
        <w:tc>
          <w:tcPr>
            <w:tcW w:w="4664" w:type="dxa"/>
          </w:tcPr>
          <w:p w14:paraId="48803830" w14:textId="1E4ABC75" w:rsidR="008B2939" w:rsidRPr="007F23B4" w:rsidRDefault="00276FE0" w:rsidP="0034777A">
            <w:pPr>
              <w:pStyle w:val="NormalWeb"/>
              <w:spacing w:before="0" w:beforeAutospacing="0" w:after="0" w:afterAutospacing="0"/>
              <w:jc w:val="both"/>
              <w:rPr>
                <w:rFonts w:ascii="Tahoma" w:eastAsia="Times New Roman" w:hAnsi="Tahoma" w:cs="Tahoma"/>
                <w:b/>
                <w:sz w:val="22"/>
                <w:szCs w:val="22"/>
              </w:rPr>
            </w:pPr>
            <w:r>
              <w:rPr>
                <w:rFonts w:ascii="Tahoma" w:eastAsia="Times New Roman" w:hAnsi="Tahoma" w:cs="Tahoma"/>
                <w:b/>
                <w:sz w:val="22"/>
                <w:szCs w:val="22"/>
              </w:rPr>
              <w:t xml:space="preserve">Specialistas Nr. 1 - </w:t>
            </w:r>
            <w:r w:rsidR="008B2939">
              <w:rPr>
                <w:rFonts w:ascii="Tahoma" w:eastAsia="Times New Roman" w:hAnsi="Tahoma" w:cs="Tahoma"/>
                <w:b/>
                <w:sz w:val="22"/>
                <w:szCs w:val="22"/>
              </w:rPr>
              <w:t xml:space="preserve">Duomenų bazių specialistas </w:t>
            </w:r>
            <w:r w:rsidR="008B2939" w:rsidRPr="00276FE0">
              <w:rPr>
                <w:rFonts w:ascii="Tahoma" w:eastAsia="Times New Roman" w:hAnsi="Tahoma" w:cs="Tahoma"/>
                <w:bCs/>
                <w:sz w:val="22"/>
                <w:szCs w:val="22"/>
              </w:rPr>
              <w:t>turi</w:t>
            </w:r>
            <w:r w:rsidRPr="00276FE0">
              <w:rPr>
                <w:rFonts w:ascii="Tahoma" w:eastAsia="Times New Roman" w:hAnsi="Tahoma" w:cs="Tahoma"/>
                <w:bCs/>
                <w:sz w:val="22"/>
                <w:szCs w:val="22"/>
              </w:rPr>
              <w:t xml:space="preserve"> </w:t>
            </w:r>
            <w:r w:rsidR="00DC1ECD">
              <w:rPr>
                <w:rFonts w:ascii="Tahoma" w:eastAsia="Times New Roman" w:hAnsi="Tahoma" w:cs="Tahoma"/>
                <w:bCs/>
                <w:sz w:val="22"/>
                <w:szCs w:val="22"/>
              </w:rPr>
              <w:t>būti</w:t>
            </w:r>
            <w:r w:rsidR="008B2939" w:rsidRPr="00276FE0">
              <w:rPr>
                <w:rFonts w:ascii="Tahoma" w:eastAsia="Times New Roman" w:hAnsi="Tahoma" w:cs="Tahoma"/>
                <w:bCs/>
                <w:sz w:val="22"/>
                <w:szCs w:val="22"/>
              </w:rPr>
              <w:t>:</w:t>
            </w:r>
          </w:p>
          <w:p w14:paraId="79F86BBD" w14:textId="342CA414" w:rsidR="008B2939" w:rsidRPr="007F23B4" w:rsidRDefault="00276FE0" w:rsidP="0034777A">
            <w:pPr>
              <w:pStyle w:val="NormalWeb"/>
              <w:spacing w:before="0" w:beforeAutospacing="0" w:after="0" w:afterAutospacing="0"/>
              <w:jc w:val="both"/>
              <w:rPr>
                <w:rFonts w:ascii="Tahoma" w:hAnsi="Tahoma" w:cs="Tahoma"/>
                <w:sz w:val="22"/>
                <w:szCs w:val="22"/>
                <w:lang w:eastAsia="ar-SA"/>
              </w:rPr>
            </w:pPr>
            <w:r>
              <w:rPr>
                <w:rFonts w:ascii="Tahoma" w:hAnsi="Tahoma" w:cs="Tahoma"/>
                <w:sz w:val="22"/>
                <w:szCs w:val="22"/>
                <w:lang w:eastAsia="ar-SA"/>
              </w:rPr>
              <w:t>į</w:t>
            </w:r>
            <w:r w:rsidR="008B2939" w:rsidRPr="007F23B4">
              <w:rPr>
                <w:rFonts w:ascii="Tahoma" w:hAnsi="Tahoma" w:cs="Tahoma"/>
                <w:sz w:val="22"/>
                <w:szCs w:val="22"/>
                <w:lang w:eastAsia="ar-SA"/>
              </w:rPr>
              <w:t xml:space="preserve">vykdęs bent </w:t>
            </w:r>
            <w:r w:rsidR="00DC1ECD">
              <w:rPr>
                <w:rFonts w:ascii="Tahoma" w:hAnsi="Tahoma" w:cs="Tahoma"/>
                <w:sz w:val="22"/>
                <w:szCs w:val="22"/>
                <w:lang w:val="en-US" w:eastAsia="ar-SA"/>
              </w:rPr>
              <w:t>1</w:t>
            </w:r>
            <w:r w:rsidR="008B2939" w:rsidRPr="007F23B4">
              <w:rPr>
                <w:rFonts w:ascii="Tahoma" w:hAnsi="Tahoma" w:cs="Tahoma"/>
                <w:sz w:val="22"/>
                <w:szCs w:val="22"/>
                <w:lang w:eastAsia="ar-SA"/>
              </w:rPr>
              <w:t xml:space="preserve"> </w:t>
            </w:r>
            <w:proofErr w:type="spellStart"/>
            <w:r w:rsidR="008B2939" w:rsidRPr="007F23B4">
              <w:rPr>
                <w:rFonts w:ascii="Tahoma" w:hAnsi="Tahoma" w:cs="Tahoma"/>
                <w:sz w:val="22"/>
                <w:szCs w:val="22"/>
                <w:lang w:eastAsia="ar-SA"/>
              </w:rPr>
              <w:t>Oracle</w:t>
            </w:r>
            <w:proofErr w:type="spellEnd"/>
            <w:r w:rsidR="008B2939" w:rsidRPr="007F23B4">
              <w:rPr>
                <w:rFonts w:ascii="Tahoma" w:hAnsi="Tahoma" w:cs="Tahoma"/>
                <w:sz w:val="22"/>
                <w:szCs w:val="22"/>
                <w:lang w:eastAsia="ar-SA"/>
              </w:rPr>
              <w:t xml:space="preserve"> migravim</w:t>
            </w:r>
            <w:r w:rsidR="008B2939">
              <w:rPr>
                <w:rFonts w:ascii="Tahoma" w:hAnsi="Tahoma" w:cs="Tahoma"/>
                <w:sz w:val="22"/>
                <w:szCs w:val="22"/>
                <w:lang w:eastAsia="ar-SA"/>
              </w:rPr>
              <w:t>ą</w:t>
            </w:r>
            <w:r w:rsidR="008B2939" w:rsidRPr="007F23B4">
              <w:rPr>
                <w:rFonts w:ascii="Tahoma" w:hAnsi="Tahoma" w:cs="Tahoma"/>
                <w:sz w:val="22"/>
                <w:szCs w:val="22"/>
                <w:lang w:eastAsia="ar-SA"/>
              </w:rPr>
              <w:t xml:space="preserve"> ir/ar konvertavim</w:t>
            </w:r>
            <w:r w:rsidR="008B2939">
              <w:rPr>
                <w:rFonts w:ascii="Tahoma" w:hAnsi="Tahoma" w:cs="Tahoma"/>
                <w:sz w:val="22"/>
                <w:szCs w:val="22"/>
                <w:lang w:eastAsia="ar-SA"/>
              </w:rPr>
              <w:t>ą</w:t>
            </w:r>
            <w:r w:rsidR="008B2939" w:rsidRPr="007F23B4">
              <w:rPr>
                <w:rFonts w:ascii="Tahoma" w:hAnsi="Tahoma" w:cs="Tahoma"/>
                <w:sz w:val="22"/>
                <w:szCs w:val="22"/>
                <w:lang w:eastAsia="ar-SA"/>
              </w:rPr>
              <w:t xml:space="preserve">, keičiant duomenų bazės koduotę į universalią UTF-8 tipo koduotę, </w:t>
            </w:r>
            <w:r w:rsidR="008B2939">
              <w:rPr>
                <w:rFonts w:ascii="Tahoma" w:hAnsi="Tahoma" w:cs="Tahoma"/>
                <w:sz w:val="22"/>
                <w:szCs w:val="22"/>
                <w:lang w:eastAsia="ar-SA"/>
              </w:rPr>
              <w:t>projekto metu</w:t>
            </w:r>
            <w:r w:rsidR="008B2939" w:rsidRPr="007F23B4">
              <w:rPr>
                <w:rFonts w:ascii="Tahoma" w:hAnsi="Tahoma" w:cs="Tahoma"/>
                <w:sz w:val="22"/>
                <w:szCs w:val="22"/>
                <w:lang w:eastAsia="ar-SA"/>
              </w:rPr>
              <w:t xml:space="preserve"> naudojo </w:t>
            </w:r>
            <w:proofErr w:type="spellStart"/>
            <w:r w:rsidR="008B2939" w:rsidRPr="007F23B4">
              <w:rPr>
                <w:rFonts w:ascii="Tahoma" w:hAnsi="Tahoma" w:cs="Tahoma"/>
                <w:sz w:val="22"/>
                <w:szCs w:val="22"/>
                <w:lang w:eastAsia="ar-SA"/>
              </w:rPr>
              <w:t>Oracle</w:t>
            </w:r>
            <w:proofErr w:type="spellEnd"/>
            <w:r w:rsidR="008B2939" w:rsidRPr="007F23B4">
              <w:rPr>
                <w:rFonts w:ascii="Tahoma" w:hAnsi="Tahoma" w:cs="Tahoma"/>
                <w:sz w:val="22"/>
                <w:szCs w:val="22"/>
                <w:lang w:eastAsia="ar-SA"/>
              </w:rPr>
              <w:t xml:space="preserve"> </w:t>
            </w:r>
            <w:proofErr w:type="spellStart"/>
            <w:r w:rsidR="008B2939" w:rsidRPr="007F23B4">
              <w:rPr>
                <w:rFonts w:ascii="Tahoma" w:hAnsi="Tahoma" w:cs="Tahoma"/>
                <w:sz w:val="22"/>
                <w:szCs w:val="22"/>
                <w:lang w:eastAsia="ar-SA"/>
              </w:rPr>
              <w:t>GoldenGate</w:t>
            </w:r>
            <w:proofErr w:type="spellEnd"/>
            <w:r w:rsidR="008B2939" w:rsidRPr="007F23B4">
              <w:rPr>
                <w:rFonts w:ascii="Tahoma" w:hAnsi="Tahoma" w:cs="Tahoma"/>
                <w:sz w:val="22"/>
                <w:szCs w:val="22"/>
                <w:lang w:eastAsia="ar-SA"/>
              </w:rPr>
              <w:t xml:space="preserve"> įrankius duomenų ir transakcijų replikavimui, transformavimui ir/ar sinchronizavimui tarp atskirų </w:t>
            </w:r>
            <w:proofErr w:type="spellStart"/>
            <w:r w:rsidR="008B2939" w:rsidRPr="007F23B4">
              <w:rPr>
                <w:rFonts w:ascii="Tahoma" w:hAnsi="Tahoma" w:cs="Tahoma"/>
                <w:sz w:val="22"/>
                <w:szCs w:val="22"/>
                <w:lang w:eastAsia="ar-SA"/>
              </w:rPr>
              <w:t>Oracle</w:t>
            </w:r>
            <w:proofErr w:type="spellEnd"/>
            <w:r w:rsidR="008B2939" w:rsidRPr="007F23B4">
              <w:rPr>
                <w:rFonts w:ascii="Tahoma" w:hAnsi="Tahoma" w:cs="Tahoma"/>
                <w:sz w:val="22"/>
                <w:szCs w:val="22"/>
                <w:lang w:eastAsia="ar-SA"/>
              </w:rPr>
              <w:t xml:space="preserve"> duomenų bazių</w:t>
            </w:r>
            <w:r w:rsidR="008B2939">
              <w:rPr>
                <w:rFonts w:ascii="Tahoma" w:hAnsi="Tahoma" w:cs="Tahoma"/>
                <w:sz w:val="22"/>
                <w:szCs w:val="22"/>
                <w:lang w:eastAsia="ar-SA"/>
              </w:rPr>
              <w:t xml:space="preserve"> (</w:t>
            </w:r>
            <w:proofErr w:type="spellStart"/>
            <w:r w:rsidR="008B2939">
              <w:rPr>
                <w:rFonts w:ascii="Tahoma" w:hAnsi="Tahoma" w:cs="Tahoma"/>
                <w:sz w:val="22"/>
                <w:szCs w:val="22"/>
                <w:lang w:eastAsia="ar-SA"/>
              </w:rPr>
              <w:t>Oracle</w:t>
            </w:r>
            <w:proofErr w:type="spellEnd"/>
            <w:r w:rsidR="008B2939">
              <w:rPr>
                <w:rFonts w:ascii="Tahoma" w:hAnsi="Tahoma" w:cs="Tahoma"/>
                <w:sz w:val="22"/>
                <w:szCs w:val="22"/>
                <w:lang w:eastAsia="ar-SA"/>
              </w:rPr>
              <w:t xml:space="preserve"> duomenų bazė turi būti didesnė </w:t>
            </w:r>
            <w:r w:rsidR="008B2939" w:rsidRPr="007F23B4">
              <w:rPr>
                <w:rFonts w:ascii="Tahoma" w:hAnsi="Tahoma" w:cs="Tahoma"/>
                <w:sz w:val="22"/>
                <w:szCs w:val="22"/>
                <w:lang w:eastAsia="ar-SA"/>
              </w:rPr>
              <w:t xml:space="preserve">nei 1 TB </w:t>
            </w:r>
            <w:r w:rsidR="008B2939">
              <w:rPr>
                <w:rFonts w:ascii="Tahoma" w:hAnsi="Tahoma" w:cs="Tahoma"/>
                <w:sz w:val="22"/>
                <w:szCs w:val="22"/>
                <w:lang w:eastAsia="ar-SA"/>
              </w:rPr>
              <w:t>dydžio).</w:t>
            </w:r>
          </w:p>
        </w:tc>
        <w:tc>
          <w:tcPr>
            <w:tcW w:w="4380" w:type="dxa"/>
          </w:tcPr>
          <w:p w14:paraId="4A4A3DDA" w14:textId="77777777" w:rsidR="008B2939" w:rsidRPr="007F23B4" w:rsidRDefault="008B2939" w:rsidP="0034777A">
            <w:pPr>
              <w:tabs>
                <w:tab w:val="left" w:pos="220"/>
                <w:tab w:val="left" w:pos="464"/>
              </w:tabs>
              <w:spacing w:after="0" w:line="240" w:lineRule="auto"/>
              <w:jc w:val="both"/>
              <w:rPr>
                <w:rFonts w:ascii="Tahoma" w:hAnsi="Tahoma" w:cs="Tahoma"/>
                <w:color w:val="000000"/>
                <w:sz w:val="22"/>
                <w:szCs w:val="22"/>
              </w:rPr>
            </w:pPr>
            <w:r w:rsidRPr="007F23B4">
              <w:rPr>
                <w:rFonts w:ascii="Tahoma" w:hAnsi="Tahoma" w:cs="Tahoma"/>
                <w:color w:val="000000"/>
                <w:sz w:val="22"/>
                <w:szCs w:val="22"/>
              </w:rPr>
              <w:t>Pateikiama:</w:t>
            </w:r>
          </w:p>
          <w:p w14:paraId="1D33A858" w14:textId="3023FF79" w:rsidR="008B2939" w:rsidRPr="007F23B4" w:rsidRDefault="008B2939" w:rsidP="0034777A">
            <w:pPr>
              <w:tabs>
                <w:tab w:val="left" w:pos="220"/>
                <w:tab w:val="left" w:pos="464"/>
              </w:tabs>
              <w:spacing w:after="0" w:line="240" w:lineRule="auto"/>
              <w:jc w:val="both"/>
              <w:rPr>
                <w:rFonts w:ascii="Tahoma" w:hAnsi="Tahoma" w:cs="Tahoma"/>
                <w:color w:val="000000"/>
                <w:sz w:val="22"/>
                <w:szCs w:val="22"/>
              </w:rPr>
            </w:pPr>
            <w:r w:rsidRPr="007F23B4">
              <w:rPr>
                <w:rFonts w:ascii="Tahoma" w:hAnsi="Tahoma" w:cs="Tahoma"/>
                <w:color w:val="000000"/>
                <w:sz w:val="22"/>
                <w:szCs w:val="22"/>
              </w:rPr>
              <w:t xml:space="preserve">Perkančiosios organizacijos nustatytos formos pažyma, parengta pagal  pirkimo sąlygų </w:t>
            </w:r>
            <w:r w:rsidR="00CF1A1B">
              <w:rPr>
                <w:rFonts w:ascii="Tahoma" w:hAnsi="Tahoma" w:cs="Tahoma"/>
                <w:color w:val="000000"/>
                <w:sz w:val="22"/>
                <w:szCs w:val="22"/>
              </w:rPr>
              <w:t>12</w:t>
            </w:r>
            <w:r w:rsidRPr="007F23B4">
              <w:rPr>
                <w:rFonts w:ascii="Tahoma" w:hAnsi="Tahoma" w:cs="Tahoma"/>
                <w:color w:val="000000"/>
                <w:sz w:val="22"/>
                <w:szCs w:val="22"/>
              </w:rPr>
              <w:t xml:space="preserve"> priede pateiktą formą.</w:t>
            </w:r>
          </w:p>
        </w:tc>
      </w:tr>
      <w:tr w:rsidR="008B2939" w:rsidRPr="007F23B4" w14:paraId="6AD85CD4" w14:textId="77777777" w:rsidTr="0034777A">
        <w:tc>
          <w:tcPr>
            <w:tcW w:w="590" w:type="dxa"/>
          </w:tcPr>
          <w:p w14:paraId="33B46740" w14:textId="77777777" w:rsidR="008B2939" w:rsidRPr="007F23B4" w:rsidRDefault="008B2939" w:rsidP="0034777A">
            <w:pPr>
              <w:spacing w:after="0" w:line="256" w:lineRule="auto"/>
              <w:rPr>
                <w:rFonts w:ascii="Tahoma" w:eastAsiaTheme="minorHAnsi" w:hAnsi="Tahoma" w:cs="Tahoma"/>
                <w:sz w:val="22"/>
                <w:szCs w:val="22"/>
              </w:rPr>
            </w:pPr>
            <w:r w:rsidRPr="007F23B4">
              <w:rPr>
                <w:rFonts w:ascii="Tahoma" w:eastAsiaTheme="minorHAnsi" w:hAnsi="Tahoma" w:cs="Tahoma"/>
                <w:sz w:val="22"/>
                <w:szCs w:val="22"/>
              </w:rPr>
              <w:t>2.2.</w:t>
            </w:r>
          </w:p>
        </w:tc>
        <w:tc>
          <w:tcPr>
            <w:tcW w:w="4664" w:type="dxa"/>
          </w:tcPr>
          <w:p w14:paraId="198EF3F9" w14:textId="2F9F695C" w:rsidR="008B2939" w:rsidRPr="008B2939" w:rsidRDefault="00276FE0" w:rsidP="00C32FF0">
            <w:pPr>
              <w:pStyle w:val="NormalWeb"/>
              <w:spacing w:before="0" w:beforeAutospacing="0" w:after="0" w:afterAutospacing="0"/>
              <w:jc w:val="both"/>
              <w:rPr>
                <w:rFonts w:ascii="Tahoma" w:hAnsi="Tahoma" w:cs="Tahoma"/>
                <w:sz w:val="22"/>
                <w:szCs w:val="22"/>
                <w:lang w:eastAsia="ar-SA"/>
              </w:rPr>
            </w:pPr>
            <w:r>
              <w:rPr>
                <w:rFonts w:ascii="Tahoma" w:eastAsia="Times New Roman" w:hAnsi="Tahoma" w:cs="Tahoma"/>
                <w:b/>
                <w:sz w:val="22"/>
                <w:szCs w:val="22"/>
              </w:rPr>
              <w:t xml:space="preserve">Specialistas Nr. 2 - Duomenų bazių specialistas </w:t>
            </w:r>
            <w:r w:rsidR="008B2939" w:rsidRPr="00276FE0">
              <w:rPr>
                <w:rFonts w:ascii="Tahoma" w:eastAsia="Times New Roman" w:hAnsi="Tahoma" w:cs="Tahoma"/>
                <w:bCs/>
                <w:sz w:val="22"/>
                <w:szCs w:val="22"/>
              </w:rPr>
              <w:t>turi</w:t>
            </w:r>
            <w:r w:rsidR="008B2939" w:rsidRPr="00276FE0">
              <w:rPr>
                <w:rFonts w:ascii="Tahoma" w:hAnsi="Tahoma" w:cs="Tahoma"/>
                <w:bCs/>
                <w:sz w:val="22"/>
                <w:szCs w:val="22"/>
                <w:lang w:eastAsia="ar-SA"/>
              </w:rPr>
              <w:t>:</w:t>
            </w:r>
          </w:p>
          <w:p w14:paraId="1C324DEF" w14:textId="6C1A30D9" w:rsidR="008B2939" w:rsidRPr="008B2939" w:rsidRDefault="008B2939" w:rsidP="00C32FF0">
            <w:pPr>
              <w:pStyle w:val="NormalWeb"/>
              <w:numPr>
                <w:ilvl w:val="0"/>
                <w:numId w:val="9"/>
              </w:numPr>
              <w:tabs>
                <w:tab w:val="left" w:pos="714"/>
                <w:tab w:val="left" w:pos="1281"/>
              </w:tabs>
              <w:spacing w:before="0" w:beforeAutospacing="0" w:after="0" w:afterAutospacing="0"/>
              <w:ind w:left="6" w:firstLine="425"/>
              <w:jc w:val="both"/>
              <w:rPr>
                <w:rFonts w:ascii="Tahoma" w:hAnsi="Tahoma" w:cs="Tahoma"/>
                <w:sz w:val="22"/>
                <w:szCs w:val="22"/>
                <w:lang w:eastAsia="ar-SA"/>
              </w:rPr>
            </w:pPr>
            <w:proofErr w:type="spellStart"/>
            <w:r w:rsidRPr="008B2939">
              <w:rPr>
                <w:rFonts w:ascii="Tahoma" w:hAnsi="Tahoma" w:cs="Tahoma"/>
                <w:sz w:val="22"/>
                <w:szCs w:val="22"/>
                <w:lang w:eastAsia="ar-SA"/>
              </w:rPr>
              <w:t>Oracle</w:t>
            </w:r>
            <w:proofErr w:type="spellEnd"/>
            <w:r w:rsidRPr="008B2939">
              <w:rPr>
                <w:rFonts w:ascii="Tahoma" w:hAnsi="Tahoma" w:cs="Tahoma"/>
                <w:sz w:val="22"/>
                <w:szCs w:val="22"/>
                <w:lang w:eastAsia="ar-SA"/>
              </w:rPr>
              <w:t xml:space="preserve"> duomenų bazės struktūr</w:t>
            </w:r>
            <w:r w:rsidR="00F73D64">
              <w:rPr>
                <w:rFonts w:ascii="Tahoma" w:hAnsi="Tahoma" w:cs="Tahoma"/>
                <w:sz w:val="22"/>
                <w:szCs w:val="22"/>
                <w:lang w:eastAsia="ar-SA"/>
              </w:rPr>
              <w:t>os</w:t>
            </w:r>
            <w:r w:rsidRPr="008B2939">
              <w:rPr>
                <w:rFonts w:ascii="Tahoma" w:hAnsi="Tahoma" w:cs="Tahoma"/>
                <w:sz w:val="22"/>
                <w:szCs w:val="22"/>
                <w:lang w:eastAsia="ar-SA"/>
              </w:rPr>
              <w:t xml:space="preserve">, įskaitant failų, indeksų, lentelių erdvių ir duomenų struktūrų </w:t>
            </w:r>
            <w:r w:rsidR="00F73D64" w:rsidRPr="008B2939">
              <w:rPr>
                <w:rFonts w:ascii="Tahoma" w:hAnsi="Tahoma" w:cs="Tahoma"/>
                <w:sz w:val="22"/>
                <w:szCs w:val="22"/>
                <w:lang w:eastAsia="ar-SA"/>
              </w:rPr>
              <w:t>valdym</w:t>
            </w:r>
            <w:r w:rsidR="00F73D64">
              <w:rPr>
                <w:rFonts w:ascii="Tahoma" w:hAnsi="Tahoma" w:cs="Tahoma"/>
                <w:sz w:val="22"/>
                <w:szCs w:val="22"/>
                <w:lang w:eastAsia="ar-SA"/>
              </w:rPr>
              <w:t>o išmanymas</w:t>
            </w:r>
            <w:r w:rsidRPr="008B2939">
              <w:rPr>
                <w:rFonts w:ascii="Tahoma" w:hAnsi="Tahoma" w:cs="Tahoma"/>
                <w:sz w:val="22"/>
                <w:szCs w:val="22"/>
                <w:lang w:eastAsia="ar-SA"/>
              </w:rPr>
              <w:t>.</w:t>
            </w:r>
          </w:p>
          <w:p w14:paraId="50E47F53" w14:textId="44794BDB" w:rsidR="008B2939" w:rsidRPr="008B2939" w:rsidRDefault="00F73D64" w:rsidP="00165815">
            <w:pPr>
              <w:pStyle w:val="NormalWeb"/>
              <w:numPr>
                <w:ilvl w:val="0"/>
                <w:numId w:val="9"/>
              </w:numPr>
              <w:tabs>
                <w:tab w:val="left" w:pos="714"/>
                <w:tab w:val="left" w:pos="1281"/>
              </w:tabs>
              <w:spacing w:after="0"/>
              <w:ind w:left="5" w:firstLine="425"/>
              <w:jc w:val="both"/>
              <w:rPr>
                <w:rFonts w:ascii="Tahoma" w:hAnsi="Tahoma" w:cs="Tahoma"/>
                <w:sz w:val="22"/>
                <w:szCs w:val="22"/>
                <w:lang w:eastAsia="ar-SA"/>
              </w:rPr>
            </w:pPr>
            <w:r>
              <w:rPr>
                <w:rFonts w:ascii="Tahoma" w:hAnsi="Tahoma" w:cs="Tahoma"/>
                <w:sz w:val="22"/>
                <w:szCs w:val="22"/>
                <w:lang w:eastAsia="ar-SA"/>
              </w:rPr>
              <w:t xml:space="preserve">Duomenų bazių išteklių bei jos </w:t>
            </w:r>
            <w:r w:rsidR="008B2939" w:rsidRPr="008B2939">
              <w:rPr>
                <w:rFonts w:ascii="Tahoma" w:hAnsi="Tahoma" w:cs="Tahoma"/>
                <w:sz w:val="22"/>
                <w:szCs w:val="22"/>
                <w:lang w:eastAsia="ar-SA"/>
              </w:rPr>
              <w:t xml:space="preserve">vartotojų </w:t>
            </w:r>
            <w:r w:rsidRPr="008B2939">
              <w:rPr>
                <w:rFonts w:ascii="Tahoma" w:hAnsi="Tahoma" w:cs="Tahoma"/>
                <w:sz w:val="22"/>
                <w:szCs w:val="22"/>
                <w:lang w:eastAsia="ar-SA"/>
              </w:rPr>
              <w:t>teis</w:t>
            </w:r>
            <w:r>
              <w:rPr>
                <w:rFonts w:ascii="Tahoma" w:hAnsi="Tahoma" w:cs="Tahoma"/>
                <w:sz w:val="22"/>
                <w:szCs w:val="22"/>
                <w:lang w:eastAsia="ar-SA"/>
              </w:rPr>
              <w:t>ių valdymo išmanymas</w:t>
            </w:r>
            <w:r w:rsidR="008B2939" w:rsidRPr="008B2939">
              <w:rPr>
                <w:rFonts w:ascii="Tahoma" w:hAnsi="Tahoma" w:cs="Tahoma"/>
                <w:sz w:val="22"/>
                <w:szCs w:val="22"/>
                <w:lang w:eastAsia="ar-SA"/>
              </w:rPr>
              <w:t>.</w:t>
            </w:r>
          </w:p>
          <w:p w14:paraId="68F56127" w14:textId="2C9DDA3B" w:rsidR="008B2939" w:rsidRPr="008B2939" w:rsidRDefault="0035575A" w:rsidP="00165815">
            <w:pPr>
              <w:pStyle w:val="NormalWeb"/>
              <w:numPr>
                <w:ilvl w:val="0"/>
                <w:numId w:val="9"/>
              </w:numPr>
              <w:tabs>
                <w:tab w:val="left" w:pos="714"/>
                <w:tab w:val="left" w:pos="1281"/>
              </w:tabs>
              <w:spacing w:after="0"/>
              <w:ind w:left="5" w:firstLine="425"/>
              <w:jc w:val="both"/>
              <w:rPr>
                <w:rFonts w:ascii="Tahoma" w:hAnsi="Tahoma" w:cs="Tahoma"/>
                <w:sz w:val="22"/>
                <w:szCs w:val="22"/>
                <w:lang w:eastAsia="ar-SA"/>
              </w:rPr>
            </w:pPr>
            <w:r>
              <w:rPr>
                <w:rFonts w:ascii="Tahoma" w:hAnsi="Tahoma" w:cs="Tahoma"/>
                <w:sz w:val="22"/>
                <w:szCs w:val="22"/>
                <w:lang w:eastAsia="ar-SA"/>
              </w:rPr>
              <w:t>A</w:t>
            </w:r>
            <w:r w:rsidR="008B2939" w:rsidRPr="008B2939">
              <w:rPr>
                <w:rFonts w:ascii="Tahoma" w:hAnsi="Tahoma" w:cs="Tahoma"/>
                <w:sz w:val="22"/>
                <w:szCs w:val="22"/>
                <w:lang w:eastAsia="ar-SA"/>
              </w:rPr>
              <w:t xml:space="preserve">tsarginių kopijų </w:t>
            </w:r>
            <w:r w:rsidRPr="008B2939">
              <w:rPr>
                <w:rFonts w:ascii="Tahoma" w:hAnsi="Tahoma" w:cs="Tahoma"/>
                <w:sz w:val="22"/>
                <w:szCs w:val="22"/>
                <w:lang w:eastAsia="ar-SA"/>
              </w:rPr>
              <w:t>kūrim</w:t>
            </w:r>
            <w:r>
              <w:rPr>
                <w:rFonts w:ascii="Tahoma" w:hAnsi="Tahoma" w:cs="Tahoma"/>
                <w:sz w:val="22"/>
                <w:szCs w:val="22"/>
                <w:lang w:eastAsia="ar-SA"/>
              </w:rPr>
              <w:t>o</w:t>
            </w:r>
            <w:r w:rsidRPr="008B2939">
              <w:rPr>
                <w:rFonts w:ascii="Tahoma" w:hAnsi="Tahoma" w:cs="Tahoma"/>
                <w:sz w:val="22"/>
                <w:szCs w:val="22"/>
                <w:lang w:eastAsia="ar-SA"/>
              </w:rPr>
              <w:t xml:space="preserve"> </w:t>
            </w:r>
            <w:r w:rsidR="008B2939" w:rsidRPr="008B2939">
              <w:rPr>
                <w:rFonts w:ascii="Tahoma" w:hAnsi="Tahoma" w:cs="Tahoma"/>
                <w:sz w:val="22"/>
                <w:szCs w:val="22"/>
                <w:lang w:eastAsia="ar-SA"/>
              </w:rPr>
              <w:t>ir duomenų atkūrim</w:t>
            </w:r>
            <w:r>
              <w:rPr>
                <w:rFonts w:ascii="Tahoma" w:hAnsi="Tahoma" w:cs="Tahoma"/>
                <w:sz w:val="22"/>
                <w:szCs w:val="22"/>
                <w:lang w:eastAsia="ar-SA"/>
              </w:rPr>
              <w:t>o</w:t>
            </w:r>
            <w:r w:rsidR="008B2939" w:rsidRPr="008B2939">
              <w:rPr>
                <w:rFonts w:ascii="Tahoma" w:hAnsi="Tahoma" w:cs="Tahoma"/>
                <w:sz w:val="22"/>
                <w:szCs w:val="22"/>
                <w:lang w:eastAsia="ar-SA"/>
              </w:rPr>
              <w:t>, naudojant pažangius atkūrimo įrankius</w:t>
            </w:r>
            <w:r>
              <w:rPr>
                <w:rFonts w:ascii="Tahoma" w:hAnsi="Tahoma" w:cs="Tahoma"/>
                <w:sz w:val="22"/>
                <w:szCs w:val="22"/>
                <w:lang w:eastAsia="ar-SA"/>
              </w:rPr>
              <w:t xml:space="preserve"> išmanymas</w:t>
            </w:r>
            <w:r w:rsidR="008B2939" w:rsidRPr="008B2939">
              <w:rPr>
                <w:rFonts w:ascii="Tahoma" w:hAnsi="Tahoma" w:cs="Tahoma"/>
                <w:sz w:val="22"/>
                <w:szCs w:val="22"/>
                <w:lang w:eastAsia="ar-SA"/>
              </w:rPr>
              <w:t>.</w:t>
            </w:r>
          </w:p>
          <w:p w14:paraId="289CF261" w14:textId="256E2268" w:rsidR="008B2939" w:rsidRPr="008B2939" w:rsidRDefault="0035575A" w:rsidP="00165815">
            <w:pPr>
              <w:pStyle w:val="NormalWeb"/>
              <w:numPr>
                <w:ilvl w:val="0"/>
                <w:numId w:val="9"/>
              </w:numPr>
              <w:tabs>
                <w:tab w:val="left" w:pos="714"/>
                <w:tab w:val="left" w:pos="1281"/>
              </w:tabs>
              <w:spacing w:after="0"/>
              <w:ind w:left="5" w:firstLine="425"/>
              <w:jc w:val="both"/>
              <w:rPr>
                <w:rFonts w:ascii="Tahoma" w:hAnsi="Tahoma" w:cs="Tahoma"/>
                <w:sz w:val="22"/>
                <w:szCs w:val="22"/>
                <w:lang w:eastAsia="ar-SA"/>
              </w:rPr>
            </w:pPr>
            <w:r>
              <w:rPr>
                <w:rFonts w:ascii="Tahoma" w:hAnsi="Tahoma" w:cs="Tahoma"/>
                <w:sz w:val="22"/>
                <w:szCs w:val="22"/>
                <w:lang w:eastAsia="ar-SA"/>
              </w:rPr>
              <w:t xml:space="preserve">Išmanymas </w:t>
            </w:r>
            <w:r w:rsidR="008B2939" w:rsidRPr="008B2939">
              <w:rPr>
                <w:rFonts w:ascii="Tahoma" w:hAnsi="Tahoma" w:cs="Tahoma"/>
                <w:sz w:val="22"/>
                <w:szCs w:val="22"/>
                <w:lang w:eastAsia="ar-SA"/>
              </w:rPr>
              <w:t xml:space="preserve">apie </w:t>
            </w:r>
            <w:proofErr w:type="spellStart"/>
            <w:r w:rsidR="008B2939" w:rsidRPr="008B2939">
              <w:rPr>
                <w:rFonts w:ascii="Tahoma" w:hAnsi="Tahoma" w:cs="Tahoma"/>
                <w:sz w:val="22"/>
                <w:szCs w:val="22"/>
                <w:lang w:eastAsia="ar-SA"/>
              </w:rPr>
              <w:t>Oracle</w:t>
            </w:r>
            <w:proofErr w:type="spellEnd"/>
            <w:r w:rsidR="008B2939" w:rsidRPr="008B2939">
              <w:rPr>
                <w:rFonts w:ascii="Tahoma" w:hAnsi="Tahoma" w:cs="Tahoma"/>
                <w:sz w:val="22"/>
                <w:szCs w:val="22"/>
                <w:lang w:eastAsia="ar-SA"/>
              </w:rPr>
              <w:t xml:space="preserve"> našumo optimizavimą, įskaitant darbo eigos valdymą ir atminties optimizavimą.</w:t>
            </w:r>
          </w:p>
          <w:p w14:paraId="280B4B95" w14:textId="6DC8290F" w:rsidR="008B2939" w:rsidRPr="008B2939" w:rsidRDefault="0035575A" w:rsidP="00165815">
            <w:pPr>
              <w:pStyle w:val="NormalWeb"/>
              <w:numPr>
                <w:ilvl w:val="0"/>
                <w:numId w:val="9"/>
              </w:numPr>
              <w:tabs>
                <w:tab w:val="left" w:pos="714"/>
                <w:tab w:val="left" w:pos="1281"/>
              </w:tabs>
              <w:spacing w:after="0"/>
              <w:ind w:left="5" w:firstLine="425"/>
              <w:jc w:val="both"/>
              <w:rPr>
                <w:rFonts w:ascii="Tahoma" w:hAnsi="Tahoma" w:cs="Tahoma"/>
                <w:sz w:val="22"/>
                <w:szCs w:val="22"/>
                <w:lang w:eastAsia="ar-SA"/>
              </w:rPr>
            </w:pPr>
            <w:r>
              <w:rPr>
                <w:rFonts w:ascii="Tahoma" w:hAnsi="Tahoma" w:cs="Tahoma"/>
                <w:sz w:val="22"/>
                <w:szCs w:val="22"/>
                <w:lang w:eastAsia="ar-SA"/>
              </w:rPr>
              <w:t xml:space="preserve">Gebėjimas </w:t>
            </w:r>
            <w:r w:rsidR="008B2939" w:rsidRPr="008B2939">
              <w:rPr>
                <w:rFonts w:ascii="Tahoma" w:hAnsi="Tahoma" w:cs="Tahoma"/>
                <w:sz w:val="22"/>
                <w:szCs w:val="22"/>
                <w:lang w:eastAsia="ar-SA"/>
              </w:rPr>
              <w:t>užtikrinti duomenų saugumą, įskaitant šifravimo ir prieigos valdymą.</w:t>
            </w:r>
          </w:p>
          <w:p w14:paraId="545F4C86" w14:textId="397A8C8F" w:rsidR="008B2939" w:rsidRPr="008B2939" w:rsidRDefault="0035575A" w:rsidP="00165815">
            <w:pPr>
              <w:pStyle w:val="NormalWeb"/>
              <w:numPr>
                <w:ilvl w:val="0"/>
                <w:numId w:val="9"/>
              </w:numPr>
              <w:tabs>
                <w:tab w:val="left" w:pos="714"/>
                <w:tab w:val="left" w:pos="1281"/>
              </w:tabs>
              <w:spacing w:after="0"/>
              <w:ind w:left="5" w:firstLine="425"/>
              <w:jc w:val="both"/>
              <w:rPr>
                <w:rFonts w:ascii="Tahoma" w:hAnsi="Tahoma" w:cs="Tahoma"/>
                <w:sz w:val="22"/>
                <w:szCs w:val="22"/>
                <w:lang w:eastAsia="ar-SA"/>
              </w:rPr>
            </w:pPr>
            <w:r>
              <w:rPr>
                <w:rFonts w:ascii="Tahoma" w:hAnsi="Tahoma" w:cs="Tahoma"/>
                <w:sz w:val="22"/>
                <w:szCs w:val="22"/>
                <w:lang w:eastAsia="ar-SA"/>
              </w:rPr>
              <w:t>S</w:t>
            </w:r>
            <w:r w:rsidR="008B2939" w:rsidRPr="008B2939">
              <w:rPr>
                <w:rFonts w:ascii="Tahoma" w:hAnsi="Tahoma" w:cs="Tahoma"/>
                <w:sz w:val="22"/>
                <w:szCs w:val="22"/>
                <w:lang w:eastAsia="ar-SA"/>
              </w:rPr>
              <w:t>udėting</w:t>
            </w:r>
            <w:r>
              <w:rPr>
                <w:rFonts w:ascii="Tahoma" w:hAnsi="Tahoma" w:cs="Tahoma"/>
                <w:sz w:val="22"/>
                <w:szCs w:val="22"/>
                <w:lang w:eastAsia="ar-SA"/>
              </w:rPr>
              <w:t>ų</w:t>
            </w:r>
            <w:r w:rsidR="008B2939" w:rsidRPr="008B2939">
              <w:rPr>
                <w:rFonts w:ascii="Tahoma" w:hAnsi="Tahoma" w:cs="Tahoma"/>
                <w:sz w:val="22"/>
                <w:szCs w:val="22"/>
                <w:lang w:eastAsia="ar-SA"/>
              </w:rPr>
              <w:t xml:space="preserve"> duomenų </w:t>
            </w:r>
            <w:r w:rsidRPr="008B2939">
              <w:rPr>
                <w:rFonts w:ascii="Tahoma" w:hAnsi="Tahoma" w:cs="Tahoma"/>
                <w:sz w:val="22"/>
                <w:szCs w:val="22"/>
                <w:lang w:eastAsia="ar-SA"/>
              </w:rPr>
              <w:t>baz</w:t>
            </w:r>
            <w:r>
              <w:rPr>
                <w:rFonts w:ascii="Tahoma" w:hAnsi="Tahoma" w:cs="Tahoma"/>
                <w:sz w:val="22"/>
                <w:szCs w:val="22"/>
                <w:lang w:eastAsia="ar-SA"/>
              </w:rPr>
              <w:t>ių</w:t>
            </w:r>
            <w:r w:rsidRPr="008B2939">
              <w:rPr>
                <w:rFonts w:ascii="Tahoma" w:hAnsi="Tahoma" w:cs="Tahoma"/>
                <w:sz w:val="22"/>
                <w:szCs w:val="22"/>
                <w:lang w:eastAsia="ar-SA"/>
              </w:rPr>
              <w:t xml:space="preserve"> migracij</w:t>
            </w:r>
            <w:r>
              <w:rPr>
                <w:rFonts w:ascii="Tahoma" w:hAnsi="Tahoma" w:cs="Tahoma"/>
                <w:sz w:val="22"/>
                <w:szCs w:val="22"/>
                <w:lang w:eastAsia="ar-SA"/>
              </w:rPr>
              <w:t>os</w:t>
            </w:r>
            <w:r w:rsidRPr="008B2939">
              <w:rPr>
                <w:rFonts w:ascii="Tahoma" w:hAnsi="Tahoma" w:cs="Tahoma"/>
                <w:sz w:val="22"/>
                <w:szCs w:val="22"/>
                <w:lang w:eastAsia="ar-SA"/>
              </w:rPr>
              <w:t xml:space="preserve"> </w:t>
            </w:r>
            <w:r w:rsidR="008B2939" w:rsidRPr="008B2939">
              <w:rPr>
                <w:rFonts w:ascii="Tahoma" w:hAnsi="Tahoma" w:cs="Tahoma"/>
                <w:sz w:val="22"/>
                <w:szCs w:val="22"/>
                <w:lang w:eastAsia="ar-SA"/>
              </w:rPr>
              <w:t xml:space="preserve">ir versijų </w:t>
            </w:r>
            <w:r w:rsidRPr="008B2939">
              <w:rPr>
                <w:rFonts w:ascii="Tahoma" w:hAnsi="Tahoma" w:cs="Tahoma"/>
                <w:sz w:val="22"/>
                <w:szCs w:val="22"/>
                <w:lang w:eastAsia="ar-SA"/>
              </w:rPr>
              <w:t>atnaujinim</w:t>
            </w:r>
            <w:r>
              <w:rPr>
                <w:rFonts w:ascii="Tahoma" w:hAnsi="Tahoma" w:cs="Tahoma"/>
                <w:sz w:val="22"/>
                <w:szCs w:val="22"/>
                <w:lang w:eastAsia="ar-SA"/>
              </w:rPr>
              <w:t>o išmanymas</w:t>
            </w:r>
            <w:r w:rsidR="008B2939" w:rsidRPr="008B2939">
              <w:rPr>
                <w:rFonts w:ascii="Tahoma" w:hAnsi="Tahoma" w:cs="Tahoma"/>
                <w:sz w:val="22"/>
                <w:szCs w:val="22"/>
                <w:lang w:eastAsia="ar-SA"/>
              </w:rPr>
              <w:t>.</w:t>
            </w:r>
          </w:p>
          <w:p w14:paraId="67078FC3" w14:textId="4411F8FA" w:rsidR="008B2939" w:rsidRPr="008B2939" w:rsidRDefault="0035575A" w:rsidP="00165815">
            <w:pPr>
              <w:pStyle w:val="NormalWeb"/>
              <w:numPr>
                <w:ilvl w:val="0"/>
                <w:numId w:val="9"/>
              </w:numPr>
              <w:tabs>
                <w:tab w:val="left" w:pos="714"/>
                <w:tab w:val="left" w:pos="1281"/>
              </w:tabs>
              <w:spacing w:after="0"/>
              <w:ind w:left="5" w:firstLine="425"/>
              <w:jc w:val="both"/>
              <w:rPr>
                <w:rFonts w:ascii="Tahoma" w:hAnsi="Tahoma" w:cs="Tahoma"/>
                <w:sz w:val="22"/>
                <w:szCs w:val="22"/>
                <w:lang w:eastAsia="ar-SA"/>
              </w:rPr>
            </w:pPr>
            <w:r>
              <w:rPr>
                <w:rFonts w:ascii="Tahoma" w:hAnsi="Tahoma" w:cs="Tahoma"/>
                <w:sz w:val="22"/>
                <w:szCs w:val="22"/>
                <w:lang w:eastAsia="ar-SA"/>
              </w:rPr>
              <w:t xml:space="preserve">Žinios apie duomenų bazės aukštam prieinamumui užtikrinti naudojamas </w:t>
            </w:r>
            <w:r w:rsidRPr="008B2939">
              <w:rPr>
                <w:rFonts w:ascii="Tahoma" w:hAnsi="Tahoma" w:cs="Tahoma"/>
                <w:sz w:val="22"/>
                <w:szCs w:val="22"/>
                <w:lang w:eastAsia="ar-SA"/>
              </w:rPr>
              <w:t>technologij</w:t>
            </w:r>
            <w:r>
              <w:rPr>
                <w:rFonts w:ascii="Tahoma" w:hAnsi="Tahoma" w:cs="Tahoma"/>
                <w:sz w:val="22"/>
                <w:szCs w:val="22"/>
                <w:lang w:eastAsia="ar-SA"/>
              </w:rPr>
              <w:t>as.</w:t>
            </w:r>
          </w:p>
          <w:p w14:paraId="686B1300" w14:textId="241B1DA4" w:rsidR="008B2939" w:rsidRPr="0050159F" w:rsidRDefault="0035575A" w:rsidP="00165815">
            <w:pPr>
              <w:pStyle w:val="NormalWeb"/>
              <w:numPr>
                <w:ilvl w:val="0"/>
                <w:numId w:val="9"/>
              </w:numPr>
              <w:tabs>
                <w:tab w:val="left" w:pos="714"/>
                <w:tab w:val="left" w:pos="1281"/>
              </w:tabs>
              <w:spacing w:after="0"/>
              <w:ind w:left="5" w:firstLine="425"/>
              <w:jc w:val="both"/>
              <w:rPr>
                <w:rFonts w:ascii="Tahoma" w:hAnsi="Tahoma" w:cs="Tahoma"/>
                <w:sz w:val="22"/>
                <w:szCs w:val="22"/>
                <w:lang w:val="en-US" w:eastAsia="ar-SA"/>
              </w:rPr>
            </w:pPr>
            <w:r>
              <w:rPr>
                <w:rFonts w:ascii="Tahoma" w:hAnsi="Tahoma" w:cs="Tahoma"/>
                <w:sz w:val="22"/>
                <w:szCs w:val="22"/>
                <w:lang w:eastAsia="ar-SA"/>
              </w:rPr>
              <w:t xml:space="preserve">Gebėjimas </w:t>
            </w:r>
            <w:r w:rsidR="008B2939" w:rsidRPr="008B2939">
              <w:rPr>
                <w:rFonts w:ascii="Tahoma" w:hAnsi="Tahoma" w:cs="Tahoma"/>
                <w:sz w:val="22"/>
                <w:szCs w:val="22"/>
                <w:lang w:eastAsia="ar-SA"/>
              </w:rPr>
              <w:t>analizuoti ir spręsti sudėtingas problemas</w:t>
            </w:r>
            <w:r>
              <w:rPr>
                <w:rFonts w:ascii="Tahoma" w:hAnsi="Tahoma" w:cs="Tahoma"/>
                <w:sz w:val="22"/>
                <w:szCs w:val="22"/>
                <w:lang w:eastAsia="ar-SA"/>
              </w:rPr>
              <w:t xml:space="preserve"> ir incidentus</w:t>
            </w:r>
            <w:r w:rsidR="008B2939" w:rsidRPr="008B2939">
              <w:rPr>
                <w:rFonts w:ascii="Tahoma" w:hAnsi="Tahoma" w:cs="Tahoma"/>
                <w:sz w:val="22"/>
                <w:szCs w:val="22"/>
                <w:lang w:eastAsia="ar-SA"/>
              </w:rPr>
              <w:t>, susijusi</w:t>
            </w:r>
            <w:r>
              <w:rPr>
                <w:rFonts w:ascii="Tahoma" w:hAnsi="Tahoma" w:cs="Tahoma"/>
                <w:sz w:val="22"/>
                <w:szCs w:val="22"/>
                <w:lang w:eastAsia="ar-SA"/>
              </w:rPr>
              <w:t>u</w:t>
            </w:r>
            <w:r w:rsidR="008B2939" w:rsidRPr="008B2939">
              <w:rPr>
                <w:rFonts w:ascii="Tahoma" w:hAnsi="Tahoma" w:cs="Tahoma"/>
                <w:sz w:val="22"/>
                <w:szCs w:val="22"/>
                <w:lang w:eastAsia="ar-SA"/>
              </w:rPr>
              <w:t xml:space="preserve">s su </w:t>
            </w:r>
            <w:proofErr w:type="spellStart"/>
            <w:r w:rsidR="008B2939" w:rsidRPr="008B2939">
              <w:rPr>
                <w:rFonts w:ascii="Tahoma" w:hAnsi="Tahoma" w:cs="Tahoma"/>
                <w:sz w:val="22"/>
                <w:szCs w:val="22"/>
                <w:lang w:eastAsia="ar-SA"/>
              </w:rPr>
              <w:t>Oracle</w:t>
            </w:r>
            <w:proofErr w:type="spellEnd"/>
            <w:r w:rsidR="008B2939" w:rsidRPr="008B2939">
              <w:rPr>
                <w:rFonts w:ascii="Tahoma" w:hAnsi="Tahoma" w:cs="Tahoma"/>
                <w:sz w:val="22"/>
                <w:szCs w:val="22"/>
                <w:lang w:eastAsia="ar-SA"/>
              </w:rPr>
              <w:t xml:space="preserve"> duomenų bazės veikimu</w:t>
            </w:r>
            <w:r>
              <w:rPr>
                <w:rFonts w:ascii="Tahoma" w:hAnsi="Tahoma" w:cs="Tahoma"/>
                <w:sz w:val="22"/>
                <w:szCs w:val="22"/>
                <w:lang w:eastAsia="ar-SA"/>
              </w:rPr>
              <w:t>.</w:t>
            </w:r>
            <w:r w:rsidR="008B2939" w:rsidRPr="008B2939">
              <w:rPr>
                <w:rFonts w:ascii="Tahoma" w:hAnsi="Tahoma" w:cs="Tahoma"/>
                <w:sz w:val="22"/>
                <w:szCs w:val="22"/>
                <w:lang w:eastAsia="ar-SA"/>
              </w:rPr>
              <w:tab/>
            </w:r>
          </w:p>
        </w:tc>
        <w:tc>
          <w:tcPr>
            <w:tcW w:w="4380" w:type="dxa"/>
          </w:tcPr>
          <w:p w14:paraId="6FD64342" w14:textId="77777777" w:rsidR="008B2939" w:rsidRPr="008B2939" w:rsidRDefault="008B2939" w:rsidP="008B2939">
            <w:pPr>
              <w:pStyle w:val="NormalWeb"/>
              <w:spacing w:after="0"/>
              <w:jc w:val="both"/>
              <w:rPr>
                <w:rFonts w:ascii="Tahoma" w:hAnsi="Tahoma" w:cs="Tahoma"/>
                <w:sz w:val="22"/>
                <w:szCs w:val="22"/>
                <w:lang w:eastAsia="ar-SA"/>
              </w:rPr>
            </w:pPr>
            <w:r w:rsidRPr="008B2939">
              <w:rPr>
                <w:rFonts w:ascii="Tahoma" w:hAnsi="Tahoma" w:cs="Tahoma"/>
                <w:sz w:val="22"/>
                <w:szCs w:val="22"/>
                <w:lang w:eastAsia="ar-SA"/>
              </w:rPr>
              <w:t>Pateikiama:</w:t>
            </w:r>
          </w:p>
          <w:p w14:paraId="09DF3A0F" w14:textId="77777777" w:rsidR="008B2939" w:rsidRPr="008B2939" w:rsidRDefault="008B2939" w:rsidP="008B2939">
            <w:pPr>
              <w:pStyle w:val="NormalWeb"/>
              <w:spacing w:after="0"/>
              <w:jc w:val="both"/>
              <w:rPr>
                <w:rFonts w:ascii="Tahoma" w:hAnsi="Tahoma" w:cs="Tahoma"/>
                <w:sz w:val="22"/>
                <w:szCs w:val="22"/>
                <w:lang w:eastAsia="ar-SA"/>
              </w:rPr>
            </w:pPr>
            <w:r w:rsidRPr="008B2939">
              <w:rPr>
                <w:rFonts w:ascii="Tahoma" w:hAnsi="Tahoma" w:cs="Tahoma"/>
                <w:sz w:val="22"/>
                <w:szCs w:val="22"/>
                <w:lang w:eastAsia="ar-SA"/>
              </w:rPr>
              <w:t>Preziumuojama, kad reikalaujamas kompetencijas patvirtina šis sertifikatas:</w:t>
            </w:r>
          </w:p>
          <w:p w14:paraId="53C30752" w14:textId="321BE211" w:rsidR="008B2939" w:rsidRPr="008B2939" w:rsidRDefault="008B2939" w:rsidP="008B2939">
            <w:pPr>
              <w:pStyle w:val="NormalWeb"/>
              <w:spacing w:after="0"/>
              <w:jc w:val="both"/>
              <w:rPr>
                <w:rFonts w:ascii="Tahoma" w:hAnsi="Tahoma" w:cs="Tahoma"/>
                <w:sz w:val="22"/>
                <w:szCs w:val="22"/>
                <w:lang w:eastAsia="ar-SA"/>
              </w:rPr>
            </w:pPr>
            <w:r w:rsidRPr="008B2939">
              <w:rPr>
                <w:rFonts w:ascii="Tahoma" w:hAnsi="Tahoma" w:cs="Tahoma"/>
                <w:sz w:val="22"/>
                <w:szCs w:val="22"/>
                <w:lang w:eastAsia="ar-SA"/>
              </w:rPr>
              <w:t xml:space="preserve">- </w:t>
            </w:r>
            <w:r w:rsidRPr="008B2939">
              <w:rPr>
                <w:rFonts w:ascii="Tahoma" w:hAnsi="Tahoma" w:cs="Tahoma"/>
                <w:sz w:val="22"/>
                <w:szCs w:val="22"/>
                <w:lang w:val="en-US" w:eastAsia="ar-SA"/>
              </w:rPr>
              <w:t>Oracle Certified Master</w:t>
            </w:r>
            <w:r w:rsidR="00DC1ECD">
              <w:rPr>
                <w:rFonts w:ascii="Tahoma" w:hAnsi="Tahoma" w:cs="Tahoma"/>
                <w:sz w:val="22"/>
                <w:szCs w:val="22"/>
                <w:lang w:val="en-US" w:eastAsia="ar-SA"/>
              </w:rPr>
              <w:t xml:space="preserve"> </w:t>
            </w:r>
            <w:proofErr w:type="spellStart"/>
            <w:r w:rsidR="00DC1ECD">
              <w:rPr>
                <w:rFonts w:ascii="Tahoma" w:hAnsi="Tahoma" w:cs="Tahoma"/>
                <w:sz w:val="22"/>
                <w:szCs w:val="22"/>
                <w:lang w:val="en-US" w:eastAsia="ar-SA"/>
              </w:rPr>
              <w:t>sertifikatas</w:t>
            </w:r>
            <w:proofErr w:type="spellEnd"/>
            <w:r w:rsidR="00DC1ECD">
              <w:rPr>
                <w:rFonts w:ascii="Tahoma" w:hAnsi="Tahoma" w:cs="Tahoma"/>
                <w:sz w:val="22"/>
                <w:szCs w:val="22"/>
                <w:lang w:val="en-US" w:eastAsia="ar-SA"/>
              </w:rPr>
              <w:t>.</w:t>
            </w:r>
          </w:p>
          <w:p w14:paraId="7BFCC5A1" w14:textId="77777777" w:rsidR="008B2939" w:rsidRPr="008B2939" w:rsidRDefault="008B2939" w:rsidP="008B2939">
            <w:pPr>
              <w:pStyle w:val="NormalWeb"/>
              <w:spacing w:after="0"/>
              <w:jc w:val="both"/>
              <w:rPr>
                <w:rFonts w:ascii="Tahoma" w:hAnsi="Tahoma" w:cs="Tahoma"/>
                <w:sz w:val="22"/>
                <w:szCs w:val="22"/>
                <w:lang w:eastAsia="ar-SA"/>
              </w:rPr>
            </w:pPr>
            <w:r w:rsidRPr="008B2939">
              <w:rPr>
                <w:rFonts w:ascii="Tahoma" w:hAnsi="Tahoma" w:cs="Tahoma"/>
                <w:sz w:val="22"/>
                <w:szCs w:val="22"/>
                <w:lang w:eastAsia="ar-SA"/>
              </w:rPr>
              <w:t>PASTABA. Tiekėjas gali teikti ir kitus, nei nurodyta, reikalaujamą kvalifikaciją patvirtinančius sertifikatus ar dokumentus, tačiau tokiu atveju tiekėjas turi įrodyti, kad pateiktas sertifikatas ar dokumentas įrodo reikalaujamą kvalifikaciją.</w:t>
            </w:r>
          </w:p>
          <w:p w14:paraId="42F27752" w14:textId="7D51C0CF" w:rsidR="008B2939" w:rsidRPr="00F41C76" w:rsidRDefault="008B2939" w:rsidP="0034777A">
            <w:pPr>
              <w:tabs>
                <w:tab w:val="left" w:pos="323"/>
              </w:tabs>
              <w:spacing w:after="0" w:line="240" w:lineRule="auto"/>
              <w:ind w:left="33"/>
              <w:jc w:val="both"/>
              <w:rPr>
                <w:rFonts w:ascii="Tahoma" w:eastAsia="Times New Roman" w:hAnsi="Tahoma" w:cs="Tahoma"/>
                <w:sz w:val="22"/>
                <w:szCs w:val="22"/>
              </w:rPr>
            </w:pPr>
          </w:p>
        </w:tc>
      </w:tr>
    </w:tbl>
    <w:p w14:paraId="6324FA10" w14:textId="500F6E0C" w:rsidR="008B2939" w:rsidRPr="00F41C76" w:rsidRDefault="008B2939" w:rsidP="008B2939">
      <w:pPr>
        <w:tabs>
          <w:tab w:val="left" w:pos="720"/>
        </w:tabs>
        <w:spacing w:after="0" w:line="240" w:lineRule="auto"/>
        <w:ind w:firstLine="567"/>
        <w:jc w:val="both"/>
        <w:rPr>
          <w:rFonts w:ascii="Tahoma" w:eastAsia="Calibri" w:hAnsi="Tahoma" w:cs="Tahoma"/>
          <w:sz w:val="22"/>
          <w:szCs w:val="22"/>
          <w:lang w:eastAsia="en-US"/>
        </w:rPr>
      </w:pPr>
    </w:p>
    <w:p w14:paraId="710C160B" w14:textId="77777777" w:rsidR="00CF1A1B" w:rsidRPr="000E7DA6" w:rsidRDefault="00CF1A1B" w:rsidP="00CF1A1B">
      <w:pPr>
        <w:pStyle w:val="ListParagraph"/>
        <w:numPr>
          <w:ilvl w:val="0"/>
          <w:numId w:val="10"/>
        </w:numPr>
        <w:spacing w:line="20" w:lineRule="atLeast"/>
        <w:ind w:left="0" w:firstLine="567"/>
        <w:jc w:val="both"/>
        <w:rPr>
          <w:rFonts w:ascii="Tahoma" w:eastAsiaTheme="minorHAnsi" w:hAnsi="Tahoma" w:cs="Tahoma"/>
        </w:rPr>
      </w:pPr>
      <w:r w:rsidRPr="000E7DA6">
        <w:rPr>
          <w:rFonts w:ascii="Tahoma" w:hAnsi="Tahoma" w:cs="Tahoma"/>
        </w:rPr>
        <w:t>Tiekėjų atitiktis kvalifikacijos reikalavimams vertinama vadovaujantis Pirkimo sąlygose 22 skyriuje nustatyta pasiūlymų vertinimo tvarka ir Viešųjų pirkimų tarnybos parengtomis metodinėmis priemonėmis</w:t>
      </w:r>
      <w:r>
        <w:rPr>
          <w:rStyle w:val="FootnoteReference"/>
          <w:rFonts w:ascii="Tahoma" w:hAnsi="Tahoma" w:cs="Tahoma"/>
        </w:rPr>
        <w:footnoteReference w:id="2"/>
      </w:r>
      <w:r w:rsidRPr="000E7DA6">
        <w:rPr>
          <w:rFonts w:ascii="Tahoma" w:hAnsi="Tahoma" w:cs="Tahoma"/>
        </w:rPr>
        <w:t>.</w:t>
      </w:r>
    </w:p>
    <w:p w14:paraId="77B68CD1" w14:textId="77777777" w:rsidR="00CF1A1B" w:rsidRPr="000E7DA6" w:rsidRDefault="00CF1A1B" w:rsidP="00CF1A1B">
      <w:pPr>
        <w:pStyle w:val="ListParagraph"/>
        <w:numPr>
          <w:ilvl w:val="0"/>
          <w:numId w:val="10"/>
        </w:numPr>
        <w:spacing w:line="20" w:lineRule="atLeast"/>
        <w:ind w:left="0" w:firstLine="567"/>
        <w:jc w:val="both"/>
        <w:rPr>
          <w:rFonts w:ascii="Tahoma" w:eastAsiaTheme="minorHAnsi" w:hAnsi="Tahoma" w:cs="Tahoma"/>
        </w:rPr>
      </w:pPr>
      <w:r w:rsidRPr="00921C7C">
        <w:rPr>
          <w:rFonts w:ascii="Tahoma" w:eastAsia="Calibri" w:hAnsi="Tahoma" w:cs="Tahoma"/>
        </w:rPr>
        <w:t>Tiekėjų kvalifikacijos patikslinimai/papildymai/paaiškinimai atliekami vadovaujantis 2022 m. gruodžio 30 d. Viešųjų pirkimų tarnybos direktoriaus įsakymu patvirtintomis taisyklėmis Nr. 1S-240 „Dėl pasiūlymų patikslinimo, papildymo ar paaiškinimo taisyklių patvirtinimo“</w:t>
      </w:r>
      <w:r w:rsidRPr="00921C7C">
        <w:rPr>
          <w:rFonts w:ascii="Tahoma" w:eastAsia="Calibri" w:hAnsi="Tahoma" w:cs="Tahoma"/>
          <w:vertAlign w:val="superscript"/>
        </w:rPr>
        <w:footnoteReference w:customMarkFollows="1" w:id="3"/>
        <w:t>[</w:t>
      </w:r>
      <w:r>
        <w:rPr>
          <w:rFonts w:ascii="Tahoma" w:eastAsia="Calibri" w:hAnsi="Tahoma" w:cs="Tahoma"/>
          <w:vertAlign w:val="superscript"/>
        </w:rPr>
        <w:t>2</w:t>
      </w:r>
      <w:r w:rsidRPr="00921C7C">
        <w:rPr>
          <w:rFonts w:ascii="Tahoma" w:eastAsia="Calibri" w:hAnsi="Tahoma" w:cs="Tahoma"/>
          <w:vertAlign w:val="superscript"/>
        </w:rPr>
        <w:t>]</w:t>
      </w:r>
      <w:r w:rsidRPr="00921C7C">
        <w:rPr>
          <w:rFonts w:ascii="Tahoma" w:eastAsia="Calibri" w:hAnsi="Tahoma" w:cs="Tahoma"/>
        </w:rPr>
        <w:t>.</w:t>
      </w:r>
      <w:r w:rsidRPr="000E7DA6">
        <w:rPr>
          <w:rFonts w:ascii="Tahoma" w:hAnsi="Tahoma" w:cs="Tahoma"/>
        </w:rPr>
        <w:t xml:space="preserve"> </w:t>
      </w:r>
    </w:p>
    <w:p w14:paraId="314532A0" w14:textId="77777777" w:rsidR="00CF1A1B" w:rsidRPr="000E7DA6" w:rsidRDefault="00CF1A1B" w:rsidP="00CF1A1B">
      <w:pPr>
        <w:pStyle w:val="ListParagraph"/>
        <w:numPr>
          <w:ilvl w:val="0"/>
          <w:numId w:val="10"/>
        </w:numPr>
        <w:spacing w:line="20" w:lineRule="atLeast"/>
        <w:ind w:left="0" w:firstLine="567"/>
        <w:jc w:val="both"/>
        <w:rPr>
          <w:rFonts w:ascii="Tahoma" w:eastAsiaTheme="minorHAnsi" w:hAnsi="Tahoma" w:cs="Tahoma"/>
        </w:rPr>
      </w:pPr>
      <w:r w:rsidRPr="000E7DA6">
        <w:rPr>
          <w:rFonts w:ascii="Tahoma" w:eastAsiaTheme="minorHAnsi" w:hAnsi="Tahoma" w:cs="Tahoma"/>
        </w:rPr>
        <w:t>Kitos pastabos:</w:t>
      </w:r>
    </w:p>
    <w:p w14:paraId="46B3F1FA" w14:textId="77777777" w:rsidR="00CF1A1B" w:rsidRDefault="00CF1A1B" w:rsidP="00CF1A1B">
      <w:pPr>
        <w:pStyle w:val="ListParagraph"/>
        <w:numPr>
          <w:ilvl w:val="0"/>
          <w:numId w:val="11"/>
        </w:numPr>
        <w:spacing w:line="20" w:lineRule="atLeast"/>
        <w:ind w:left="0" w:firstLine="567"/>
        <w:jc w:val="both"/>
        <w:rPr>
          <w:rFonts w:ascii="Tahoma" w:eastAsiaTheme="minorHAnsi" w:hAnsi="Tahoma" w:cs="Tahoma"/>
        </w:rPr>
      </w:pPr>
      <w:r w:rsidRPr="00F84CA1">
        <w:rPr>
          <w:rFonts w:ascii="Tahoma" w:eastAsiaTheme="minorHAnsi" w:hAnsi="Tahoma" w:cs="Tahoma"/>
        </w:rPr>
        <w:t>jeigu pasiūlymą teikia ūkio subjektų grupė – reikalavimą turi atitikti ūkio subjektų grupės nario (-</w:t>
      </w:r>
      <w:proofErr w:type="spellStart"/>
      <w:r w:rsidRPr="00F84CA1">
        <w:rPr>
          <w:rFonts w:ascii="Tahoma" w:eastAsiaTheme="minorHAnsi" w:hAnsi="Tahoma" w:cs="Tahoma"/>
        </w:rPr>
        <w:t>ių</w:t>
      </w:r>
      <w:proofErr w:type="spellEnd"/>
      <w:r w:rsidRPr="00F84CA1">
        <w:rPr>
          <w:rFonts w:ascii="Tahoma" w:eastAsiaTheme="minorHAnsi" w:hAnsi="Tahoma" w:cs="Tahoma"/>
        </w:rPr>
        <w:t>) specialistai, atsižvelgiant į jų prisiimamus įsipareigojimus pirkimo sutarčiai vykdyti;</w:t>
      </w:r>
    </w:p>
    <w:p w14:paraId="0056D319" w14:textId="77777777" w:rsidR="00CF1A1B" w:rsidRPr="00FA6F09" w:rsidRDefault="00CF1A1B" w:rsidP="00CF1A1B">
      <w:pPr>
        <w:pStyle w:val="ListParagraph"/>
        <w:numPr>
          <w:ilvl w:val="0"/>
          <w:numId w:val="11"/>
        </w:numPr>
        <w:spacing w:line="20" w:lineRule="atLeast"/>
        <w:ind w:left="0" w:firstLine="567"/>
        <w:jc w:val="both"/>
        <w:rPr>
          <w:rFonts w:ascii="Tahoma" w:eastAsiaTheme="minorHAnsi" w:hAnsi="Tahoma" w:cs="Tahoma"/>
        </w:rPr>
      </w:pPr>
      <w:r w:rsidRPr="00F84CA1">
        <w:rPr>
          <w:rFonts w:ascii="Tahoma" w:eastAsiaTheme="minorHAnsi" w:hAnsi="Tahoma" w:cs="Tahoma"/>
        </w:rPr>
        <w:t xml:space="preserve">tiekėjas gali </w:t>
      </w:r>
      <w:r w:rsidRPr="00FA6F09">
        <w:rPr>
          <w:rFonts w:ascii="Tahoma" w:eastAsiaTheme="minorHAnsi" w:hAnsi="Tahoma" w:cs="Tahoma"/>
        </w:rPr>
        <w:t>remtis kitų ūkio subjektų pajėgumu tik tuo atveju, jeigu tie subjektai (jų darbuotojai) patys vykdys tą pirkimo sutarties dalį, kuriai reikia jų turimo pajėgumo;</w:t>
      </w:r>
    </w:p>
    <w:p w14:paraId="1DED204E" w14:textId="77777777" w:rsidR="00CF1A1B" w:rsidRPr="00FA6F09" w:rsidRDefault="00CF1A1B" w:rsidP="00CF1A1B">
      <w:pPr>
        <w:numPr>
          <w:ilvl w:val="0"/>
          <w:numId w:val="11"/>
        </w:numPr>
        <w:spacing w:line="20" w:lineRule="atLeast"/>
        <w:ind w:left="0" w:firstLine="567"/>
        <w:contextualSpacing/>
        <w:jc w:val="both"/>
        <w:rPr>
          <w:rFonts w:ascii="Tahoma" w:eastAsiaTheme="minorHAnsi" w:hAnsi="Tahoma" w:cs="Tahoma"/>
        </w:rPr>
      </w:pPr>
      <w:r w:rsidRPr="00FA6F09">
        <w:rPr>
          <w:rFonts w:ascii="Tahoma" w:eastAsiaTheme="minorHAnsi" w:hAnsi="Tahoma" w:cs="Tahoma"/>
        </w:rPr>
        <w:t>Subtiekėjas – tiekėjo pirkimo sutarties vykdymui pasitelkiamas trečiasis asmuo, kurio kvalifikacija tiekėjas nesiremia, kad atitiktų kvalifikacijos reikalavimu.</w:t>
      </w:r>
    </w:p>
    <w:p w14:paraId="7D3A536A" w14:textId="0E84BC01" w:rsidR="00CF1A1B" w:rsidRPr="00CF1A1B" w:rsidRDefault="00CF1A1B" w:rsidP="00CF1A1B">
      <w:pPr>
        <w:numPr>
          <w:ilvl w:val="0"/>
          <w:numId w:val="10"/>
        </w:numPr>
        <w:spacing w:before="240" w:after="0" w:line="240" w:lineRule="auto"/>
        <w:ind w:left="0" w:firstLine="567"/>
        <w:contextualSpacing/>
        <w:jc w:val="both"/>
        <w:rPr>
          <w:rFonts w:ascii="Tahoma" w:eastAsiaTheme="minorHAnsi" w:hAnsi="Tahoma" w:cs="Tahoma"/>
          <w:lang w:eastAsia="en-US"/>
        </w:rPr>
      </w:pPr>
      <w:r w:rsidRPr="00FA6F09">
        <w:rPr>
          <w:rFonts w:ascii="Tahoma" w:eastAsia="Calibri" w:hAnsi="Tahoma" w:cs="Tahoma"/>
          <w:lang w:eastAsia="en-US"/>
        </w:rPr>
        <w:t xml:space="preserve">Perkančioji organizacija nereikalauja, kad tiekėjai laikytųsi energijos vartojimo efektyvumo ir (arba) </w:t>
      </w:r>
      <w:r w:rsidRPr="00576826">
        <w:rPr>
          <w:rFonts w:ascii="Tahoma" w:eastAsia="Calibri" w:hAnsi="Tahoma" w:cs="Tahoma"/>
          <w:iCs/>
          <w:lang w:eastAsia="en-US"/>
        </w:rPr>
        <w:t>aplinkos apsaugos ir (arba) socialinių kriterijų.</w:t>
      </w:r>
    </w:p>
    <w:p w14:paraId="6037ECD9" w14:textId="77777777" w:rsidR="00CF1A1B" w:rsidRDefault="00CF1A1B" w:rsidP="00CF1A1B">
      <w:pPr>
        <w:numPr>
          <w:ilvl w:val="0"/>
          <w:numId w:val="10"/>
        </w:numPr>
        <w:spacing w:before="240" w:after="0" w:line="240" w:lineRule="auto"/>
        <w:ind w:left="0" w:firstLine="567"/>
        <w:contextualSpacing/>
        <w:jc w:val="both"/>
        <w:rPr>
          <w:rFonts w:ascii="Tahoma" w:eastAsiaTheme="minorHAnsi" w:hAnsi="Tahoma" w:cs="Tahoma"/>
          <w:lang w:eastAsia="en-US"/>
        </w:rPr>
      </w:pPr>
      <w:r w:rsidRPr="00FA6F09">
        <w:rPr>
          <w:rFonts w:ascii="Tahoma" w:hAnsi="Tahoma" w:cs="Tahoma"/>
        </w:rPr>
        <w:t>Šiame priede reikalaujama kvalifikacija ir (arba) atitiktis energijos vartojimo ir (arba) aplinkos apsaugos ir (arba) socialinių kriterijų reikalavimams turi būti įgyta iki pasiūlymų pateikimo termino pabaigos.</w:t>
      </w:r>
    </w:p>
    <w:p w14:paraId="0CA1E9EA" w14:textId="3C067EB6" w:rsidR="00CF1A1B" w:rsidRPr="00CF1A1B" w:rsidRDefault="00CF1A1B" w:rsidP="00CF1A1B">
      <w:pPr>
        <w:spacing w:before="240" w:after="0" w:line="240" w:lineRule="auto"/>
        <w:ind w:left="567"/>
        <w:contextualSpacing/>
        <w:jc w:val="center"/>
        <w:rPr>
          <w:rFonts w:ascii="Tahoma" w:eastAsiaTheme="minorHAnsi" w:hAnsi="Tahoma" w:cs="Tahoma"/>
          <w:lang w:eastAsia="en-US"/>
        </w:rPr>
      </w:pPr>
      <w:r w:rsidRPr="00CF1A1B">
        <w:rPr>
          <w:rFonts w:ascii="Tahoma" w:eastAsiaTheme="minorHAnsi" w:hAnsi="Tahoma" w:cs="Tahoma"/>
          <w:lang w:eastAsia="en-US"/>
        </w:rPr>
        <w:t>__________</w:t>
      </w:r>
    </w:p>
    <w:p w14:paraId="1C9A26B5" w14:textId="77777777" w:rsidR="008B2939" w:rsidRPr="00F41C76" w:rsidRDefault="008B2939" w:rsidP="008B2939">
      <w:pPr>
        <w:rPr>
          <w:rFonts w:ascii="Tahoma" w:hAnsi="Tahoma" w:cs="Tahoma"/>
          <w:sz w:val="22"/>
          <w:szCs w:val="22"/>
        </w:rPr>
      </w:pPr>
    </w:p>
    <w:p w14:paraId="7CF02C30" w14:textId="77777777" w:rsidR="002A7375" w:rsidRPr="008B2939" w:rsidRDefault="002A7375">
      <w:pPr>
        <w:rPr>
          <w:rFonts w:ascii="Tahoma" w:hAnsi="Tahoma" w:cs="Tahoma"/>
          <w:sz w:val="22"/>
          <w:szCs w:val="22"/>
        </w:rPr>
      </w:pPr>
    </w:p>
    <w:sectPr w:rsidR="002A7375" w:rsidRPr="008B2939"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06085" w14:textId="77777777" w:rsidR="0013108C" w:rsidRDefault="0013108C" w:rsidP="00DD3A79">
      <w:pPr>
        <w:spacing w:line="240" w:lineRule="auto"/>
      </w:pPr>
      <w:r>
        <w:separator/>
      </w:r>
    </w:p>
  </w:endnote>
  <w:endnote w:type="continuationSeparator" w:id="0">
    <w:p w14:paraId="0FBA6A5E" w14:textId="77777777" w:rsidR="0013108C" w:rsidRDefault="0013108C" w:rsidP="00DD3A79">
      <w:pPr>
        <w:spacing w:line="240" w:lineRule="auto"/>
      </w:pPr>
      <w:r>
        <w:continuationSeparator/>
      </w:r>
    </w:p>
  </w:endnote>
  <w:endnote w:type="continuationNotice" w:id="1">
    <w:p w14:paraId="002C4A15" w14:textId="77777777" w:rsidR="0013108C" w:rsidRDefault="00131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7C81B" w14:textId="77777777" w:rsidR="0013108C" w:rsidRDefault="0013108C" w:rsidP="00DD3A79">
      <w:pPr>
        <w:spacing w:line="240" w:lineRule="auto"/>
      </w:pPr>
      <w:r>
        <w:separator/>
      </w:r>
    </w:p>
  </w:footnote>
  <w:footnote w:type="continuationSeparator" w:id="0">
    <w:p w14:paraId="371F33D5" w14:textId="77777777" w:rsidR="0013108C" w:rsidRDefault="0013108C" w:rsidP="00DD3A79">
      <w:pPr>
        <w:spacing w:line="240" w:lineRule="auto"/>
      </w:pPr>
      <w:r>
        <w:continuationSeparator/>
      </w:r>
    </w:p>
  </w:footnote>
  <w:footnote w:type="continuationNotice" w:id="1">
    <w:p w14:paraId="7BD40A20" w14:textId="77777777" w:rsidR="0013108C" w:rsidRDefault="0013108C">
      <w:pPr>
        <w:spacing w:after="0" w:line="240" w:lineRule="auto"/>
      </w:pPr>
    </w:p>
  </w:footnote>
  <w:footnote w:id="2">
    <w:p w14:paraId="3A977E3D" w14:textId="77777777" w:rsidR="00CF1A1B" w:rsidRPr="008A14F2" w:rsidRDefault="00CF1A1B" w:rsidP="00CF1A1B">
      <w:pPr>
        <w:pStyle w:val="FootnoteText"/>
        <w:jc w:val="both"/>
        <w:rPr>
          <w:rFonts w:ascii="Tahoma" w:hAnsi="Tahoma" w:cs="Tahoma"/>
          <w:sz w:val="18"/>
          <w:szCs w:val="18"/>
        </w:rPr>
      </w:pPr>
      <w:r w:rsidRPr="008A14F2">
        <w:rPr>
          <w:rStyle w:val="FootnoteReference"/>
          <w:rFonts w:ascii="Tahoma" w:hAnsi="Tahoma" w:cs="Tahoma"/>
          <w:sz w:val="18"/>
          <w:szCs w:val="18"/>
        </w:rPr>
        <w:footnoteRef/>
      </w:r>
      <w:r w:rsidRPr="008A14F2">
        <w:rPr>
          <w:rFonts w:ascii="Tahoma" w:hAnsi="Tahoma" w:cs="Tahoma"/>
          <w:sz w:val="18"/>
          <w:szCs w:val="18"/>
        </w:rPr>
        <w:t xml:space="preserve"> Tiekėjo pašalinimo pagrindų, kvalifikacijos, kokybės vadybos sistemos ir aplinkos apsaugos vadybos sistemos standartų vertinimo procedūrų vadovas </w:t>
      </w:r>
      <w:hyperlink r:id="rId1" w:history="1">
        <w:r w:rsidRPr="008A14F2">
          <w:rPr>
            <w:rStyle w:val="Hyperlink"/>
            <w:rFonts w:ascii="Tahoma" w:hAnsi="Tahoma" w:cs="Tahoma"/>
            <w:sz w:val="18"/>
            <w:szCs w:val="18"/>
          </w:rPr>
          <w:t>https://vpt.lrv.lt/uploads/vpt/documents/files/mp/Proceduru_vadovas.pdf</w:t>
        </w:r>
      </w:hyperlink>
    </w:p>
  </w:footnote>
  <w:footnote w:id="3">
    <w:p w14:paraId="60D2C7E5" w14:textId="77777777" w:rsidR="00CF1A1B" w:rsidRPr="00921C7C" w:rsidRDefault="00CF1A1B" w:rsidP="00CF1A1B">
      <w:pPr>
        <w:pStyle w:val="FootnoteText"/>
        <w:jc w:val="both"/>
        <w:rPr>
          <w:rFonts w:eastAsia="Calibri"/>
        </w:rPr>
      </w:pPr>
      <w:r w:rsidRPr="008A14F2">
        <w:rPr>
          <w:rStyle w:val="FootnoteReference"/>
          <w:rFonts w:ascii="Tahoma" w:hAnsi="Tahoma" w:cs="Tahoma"/>
          <w:sz w:val="18"/>
          <w:szCs w:val="18"/>
        </w:rPr>
        <w:t>[</w:t>
      </w:r>
      <w:r>
        <w:rPr>
          <w:rStyle w:val="FootnoteReference"/>
          <w:rFonts w:ascii="Tahoma" w:hAnsi="Tahoma" w:cs="Tahoma"/>
          <w:sz w:val="18"/>
          <w:szCs w:val="18"/>
        </w:rPr>
        <w:t>2</w:t>
      </w:r>
      <w:r w:rsidRPr="008A14F2">
        <w:rPr>
          <w:rStyle w:val="FootnoteReference"/>
          <w:rFonts w:ascii="Tahoma" w:hAnsi="Tahoma" w:cs="Tahoma"/>
          <w:sz w:val="18"/>
          <w:szCs w:val="18"/>
        </w:rPr>
        <w:t>]</w:t>
      </w:r>
      <w:r w:rsidRPr="008A14F2">
        <w:rPr>
          <w:rFonts w:ascii="Tahoma" w:hAnsi="Tahoma" w:cs="Tahoma"/>
          <w:sz w:val="18"/>
          <w:szCs w:val="18"/>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24DC39DB" w14:textId="4B5D6C43"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2FA44952"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42E89"/>
    <w:multiLevelType w:val="hybridMultilevel"/>
    <w:tmpl w:val="2072FB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F5AE5"/>
    <w:multiLevelType w:val="hybridMultilevel"/>
    <w:tmpl w:val="0936BD96"/>
    <w:lvl w:ilvl="0" w:tplc="FAAC3CAA">
      <w:start w:val="1"/>
      <w:numFmt w:val="decimal"/>
      <w:lvlText w:val="%1)"/>
      <w:lvlJc w:val="left"/>
      <w:pPr>
        <w:ind w:left="360" w:hanging="360"/>
      </w:pPr>
      <w:rPr>
        <w:rFonts w:ascii="Times New Roman" w:hAnsi="Times New Roman" w:cs="Times New Roman"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9E500E96">
      <w:start w:val="1"/>
      <w:numFmt w:val="lowerLetter"/>
      <w:lvlText w:val="%4)"/>
      <w:lvlJc w:val="left"/>
      <w:pPr>
        <w:ind w:left="2520" w:hanging="360"/>
      </w:pPr>
      <w:rPr>
        <w:rFonts w:ascii="Tahoma" w:eastAsia="Times New Roman" w:hAnsi="Tahoma" w:cs="Tahoma" w:hint="default"/>
      </w:r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1C291639"/>
    <w:multiLevelType w:val="hybridMultilevel"/>
    <w:tmpl w:val="B3ECE850"/>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AB3043"/>
    <w:multiLevelType w:val="hybridMultilevel"/>
    <w:tmpl w:val="8452D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54D37B60"/>
    <w:multiLevelType w:val="hybridMultilevel"/>
    <w:tmpl w:val="BDCE2F1C"/>
    <w:lvl w:ilvl="0" w:tplc="194A7A9E">
      <w:start w:val="10"/>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2F7661"/>
    <w:multiLevelType w:val="hybridMultilevel"/>
    <w:tmpl w:val="D1928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0686A1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865A9AC2"/>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9117A7"/>
    <w:multiLevelType w:val="hybridMultilevel"/>
    <w:tmpl w:val="B15A3E1A"/>
    <w:lvl w:ilvl="0" w:tplc="AE5A54C6">
      <w:start w:val="1"/>
      <w:numFmt w:val="decimal"/>
      <w:lvlText w:val="%1."/>
      <w:lvlJc w:val="left"/>
      <w:pPr>
        <w:ind w:left="720" w:hanging="360"/>
      </w:pPr>
      <w:rPr>
        <w:rFonts w:ascii="Arial" w:hAnsi="Arial" w:cs="Arial"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FDE3A14"/>
    <w:multiLevelType w:val="hybridMultilevel"/>
    <w:tmpl w:val="A34E7D28"/>
    <w:lvl w:ilvl="0" w:tplc="CF36F216">
      <w:start w:val="1"/>
      <w:numFmt w:val="bullet"/>
      <w:lvlText w:val=""/>
      <w:lvlJc w:val="left"/>
      <w:pPr>
        <w:ind w:left="720" w:hanging="360"/>
      </w:pPr>
      <w:rPr>
        <w:rFonts w:ascii="Symbol" w:hAnsi="Symbol"/>
      </w:rPr>
    </w:lvl>
    <w:lvl w:ilvl="1" w:tplc="FD9003C4">
      <w:start w:val="1"/>
      <w:numFmt w:val="bullet"/>
      <w:lvlText w:val=""/>
      <w:lvlJc w:val="left"/>
      <w:pPr>
        <w:ind w:left="720" w:hanging="360"/>
      </w:pPr>
      <w:rPr>
        <w:rFonts w:ascii="Symbol" w:hAnsi="Symbol"/>
      </w:rPr>
    </w:lvl>
    <w:lvl w:ilvl="2" w:tplc="D4682434">
      <w:start w:val="1"/>
      <w:numFmt w:val="bullet"/>
      <w:lvlText w:val=""/>
      <w:lvlJc w:val="left"/>
      <w:pPr>
        <w:ind w:left="720" w:hanging="360"/>
      </w:pPr>
      <w:rPr>
        <w:rFonts w:ascii="Symbol" w:hAnsi="Symbol"/>
      </w:rPr>
    </w:lvl>
    <w:lvl w:ilvl="3" w:tplc="5C7EC162">
      <w:start w:val="1"/>
      <w:numFmt w:val="bullet"/>
      <w:lvlText w:val=""/>
      <w:lvlJc w:val="left"/>
      <w:pPr>
        <w:ind w:left="720" w:hanging="360"/>
      </w:pPr>
      <w:rPr>
        <w:rFonts w:ascii="Symbol" w:hAnsi="Symbol"/>
      </w:rPr>
    </w:lvl>
    <w:lvl w:ilvl="4" w:tplc="52DEA85A">
      <w:start w:val="1"/>
      <w:numFmt w:val="bullet"/>
      <w:lvlText w:val=""/>
      <w:lvlJc w:val="left"/>
      <w:pPr>
        <w:ind w:left="720" w:hanging="360"/>
      </w:pPr>
      <w:rPr>
        <w:rFonts w:ascii="Symbol" w:hAnsi="Symbol"/>
      </w:rPr>
    </w:lvl>
    <w:lvl w:ilvl="5" w:tplc="F8E052B4">
      <w:start w:val="1"/>
      <w:numFmt w:val="bullet"/>
      <w:lvlText w:val=""/>
      <w:lvlJc w:val="left"/>
      <w:pPr>
        <w:ind w:left="720" w:hanging="360"/>
      </w:pPr>
      <w:rPr>
        <w:rFonts w:ascii="Symbol" w:hAnsi="Symbol"/>
      </w:rPr>
    </w:lvl>
    <w:lvl w:ilvl="6" w:tplc="3D881704">
      <w:start w:val="1"/>
      <w:numFmt w:val="bullet"/>
      <w:lvlText w:val=""/>
      <w:lvlJc w:val="left"/>
      <w:pPr>
        <w:ind w:left="720" w:hanging="360"/>
      </w:pPr>
      <w:rPr>
        <w:rFonts w:ascii="Symbol" w:hAnsi="Symbol"/>
      </w:rPr>
    </w:lvl>
    <w:lvl w:ilvl="7" w:tplc="3BB4F72A">
      <w:start w:val="1"/>
      <w:numFmt w:val="bullet"/>
      <w:lvlText w:val=""/>
      <w:lvlJc w:val="left"/>
      <w:pPr>
        <w:ind w:left="720" w:hanging="360"/>
      </w:pPr>
      <w:rPr>
        <w:rFonts w:ascii="Symbol" w:hAnsi="Symbol"/>
      </w:rPr>
    </w:lvl>
    <w:lvl w:ilvl="8" w:tplc="8D8CD2A4">
      <w:start w:val="1"/>
      <w:numFmt w:val="bullet"/>
      <w:lvlText w:val=""/>
      <w:lvlJc w:val="left"/>
      <w:pPr>
        <w:ind w:left="720" w:hanging="360"/>
      </w:pPr>
      <w:rPr>
        <w:rFonts w:ascii="Symbol" w:hAnsi="Symbol"/>
      </w:rPr>
    </w:lvl>
  </w:abstractNum>
  <w:num w:numId="1" w16cid:durableId="745762616">
    <w:abstractNumId w:val="8"/>
  </w:num>
  <w:num w:numId="2" w16cid:durableId="1357730849">
    <w:abstractNumId w:val="3"/>
  </w:num>
  <w:num w:numId="3" w16cid:durableId="2105686541">
    <w:abstractNumId w:val="1"/>
  </w:num>
  <w:num w:numId="4" w16cid:durableId="796413393">
    <w:abstractNumId w:val="10"/>
  </w:num>
  <w:num w:numId="5" w16cid:durableId="49620819">
    <w:abstractNumId w:val="0"/>
  </w:num>
  <w:num w:numId="6" w16cid:durableId="372274131">
    <w:abstractNumId w:val="4"/>
  </w:num>
  <w:num w:numId="7" w16cid:durableId="1069184723">
    <w:abstractNumId w:val="2"/>
  </w:num>
  <w:num w:numId="8" w16cid:durableId="1107846069">
    <w:abstractNumId w:val="11"/>
  </w:num>
  <w:num w:numId="9" w16cid:durableId="1018894512">
    <w:abstractNumId w:val="7"/>
  </w:num>
  <w:num w:numId="10" w16cid:durableId="1588610708">
    <w:abstractNumId w:val="9"/>
  </w:num>
  <w:num w:numId="11" w16cid:durableId="2125028345">
    <w:abstractNumId w:val="5"/>
  </w:num>
  <w:num w:numId="12" w16cid:durableId="1008019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06"/>
    <w:rsid w:val="000124D3"/>
    <w:rsid w:val="0003278B"/>
    <w:rsid w:val="00043333"/>
    <w:rsid w:val="00044B43"/>
    <w:rsid w:val="00052537"/>
    <w:rsid w:val="00060A92"/>
    <w:rsid w:val="00077274"/>
    <w:rsid w:val="00082ECF"/>
    <w:rsid w:val="00083B57"/>
    <w:rsid w:val="00092927"/>
    <w:rsid w:val="00096423"/>
    <w:rsid w:val="000A3D5F"/>
    <w:rsid w:val="000B2C4C"/>
    <w:rsid w:val="000C1DFF"/>
    <w:rsid w:val="000D5B80"/>
    <w:rsid w:val="000E266A"/>
    <w:rsid w:val="000F35D2"/>
    <w:rsid w:val="000F6835"/>
    <w:rsid w:val="00104708"/>
    <w:rsid w:val="00111889"/>
    <w:rsid w:val="00120CBC"/>
    <w:rsid w:val="00126899"/>
    <w:rsid w:val="0013108C"/>
    <w:rsid w:val="001523DD"/>
    <w:rsid w:val="001547B6"/>
    <w:rsid w:val="001607A0"/>
    <w:rsid w:val="00165815"/>
    <w:rsid w:val="00187416"/>
    <w:rsid w:val="001B120C"/>
    <w:rsid w:val="001B6698"/>
    <w:rsid w:val="001E04DA"/>
    <w:rsid w:val="001E6A6C"/>
    <w:rsid w:val="001E7637"/>
    <w:rsid w:val="001F33FB"/>
    <w:rsid w:val="002054BF"/>
    <w:rsid w:val="00264AC3"/>
    <w:rsid w:val="00270516"/>
    <w:rsid w:val="00276FE0"/>
    <w:rsid w:val="00285E42"/>
    <w:rsid w:val="0029307A"/>
    <w:rsid w:val="002974AE"/>
    <w:rsid w:val="002A7375"/>
    <w:rsid w:val="002D484B"/>
    <w:rsid w:val="00313FEC"/>
    <w:rsid w:val="00350C29"/>
    <w:rsid w:val="0035130D"/>
    <w:rsid w:val="003518AA"/>
    <w:rsid w:val="0035575A"/>
    <w:rsid w:val="003577D4"/>
    <w:rsid w:val="00363DB2"/>
    <w:rsid w:val="00371FCC"/>
    <w:rsid w:val="00372446"/>
    <w:rsid w:val="00381D1D"/>
    <w:rsid w:val="003E48E6"/>
    <w:rsid w:val="003E542E"/>
    <w:rsid w:val="003F1808"/>
    <w:rsid w:val="003F55D9"/>
    <w:rsid w:val="00454D98"/>
    <w:rsid w:val="00492371"/>
    <w:rsid w:val="00497E52"/>
    <w:rsid w:val="004C2A1B"/>
    <w:rsid w:val="004D00E8"/>
    <w:rsid w:val="004E67FD"/>
    <w:rsid w:val="0050159F"/>
    <w:rsid w:val="00502F0D"/>
    <w:rsid w:val="00521592"/>
    <w:rsid w:val="00534347"/>
    <w:rsid w:val="00535863"/>
    <w:rsid w:val="00557864"/>
    <w:rsid w:val="00570D30"/>
    <w:rsid w:val="00576826"/>
    <w:rsid w:val="005970B9"/>
    <w:rsid w:val="005C2437"/>
    <w:rsid w:val="0061494F"/>
    <w:rsid w:val="0061595B"/>
    <w:rsid w:val="00632285"/>
    <w:rsid w:val="00633090"/>
    <w:rsid w:val="00645EFE"/>
    <w:rsid w:val="00654ABE"/>
    <w:rsid w:val="00667C02"/>
    <w:rsid w:val="00670F2A"/>
    <w:rsid w:val="00672D56"/>
    <w:rsid w:val="006A7FDE"/>
    <w:rsid w:val="006D483D"/>
    <w:rsid w:val="006D5F66"/>
    <w:rsid w:val="006E2389"/>
    <w:rsid w:val="006F7B67"/>
    <w:rsid w:val="007014E6"/>
    <w:rsid w:val="00711DCB"/>
    <w:rsid w:val="00724315"/>
    <w:rsid w:val="00731D92"/>
    <w:rsid w:val="00733D13"/>
    <w:rsid w:val="00735363"/>
    <w:rsid w:val="007478F8"/>
    <w:rsid w:val="00757D89"/>
    <w:rsid w:val="00775899"/>
    <w:rsid w:val="00780D8D"/>
    <w:rsid w:val="007D0F57"/>
    <w:rsid w:val="007E6834"/>
    <w:rsid w:val="007F23B4"/>
    <w:rsid w:val="00830178"/>
    <w:rsid w:val="008361BF"/>
    <w:rsid w:val="008435F7"/>
    <w:rsid w:val="008551B0"/>
    <w:rsid w:val="00857669"/>
    <w:rsid w:val="00866416"/>
    <w:rsid w:val="0087660A"/>
    <w:rsid w:val="008861E4"/>
    <w:rsid w:val="00894E4D"/>
    <w:rsid w:val="008A7E47"/>
    <w:rsid w:val="008B2939"/>
    <w:rsid w:val="008B5C10"/>
    <w:rsid w:val="008B6451"/>
    <w:rsid w:val="008B7F9E"/>
    <w:rsid w:val="008F40B2"/>
    <w:rsid w:val="008F44D7"/>
    <w:rsid w:val="00900070"/>
    <w:rsid w:val="009061AC"/>
    <w:rsid w:val="00925362"/>
    <w:rsid w:val="009A07C1"/>
    <w:rsid w:val="009C1E72"/>
    <w:rsid w:val="009E666A"/>
    <w:rsid w:val="009F2552"/>
    <w:rsid w:val="009F732A"/>
    <w:rsid w:val="00A048FB"/>
    <w:rsid w:val="00A066D4"/>
    <w:rsid w:val="00A1560C"/>
    <w:rsid w:val="00A461AA"/>
    <w:rsid w:val="00A5059E"/>
    <w:rsid w:val="00A55A96"/>
    <w:rsid w:val="00A765ED"/>
    <w:rsid w:val="00A93A80"/>
    <w:rsid w:val="00AA74F5"/>
    <w:rsid w:val="00AB57A3"/>
    <w:rsid w:val="00AC627E"/>
    <w:rsid w:val="00AC65A7"/>
    <w:rsid w:val="00AD61F2"/>
    <w:rsid w:val="00AD76A3"/>
    <w:rsid w:val="00B143B7"/>
    <w:rsid w:val="00B175BF"/>
    <w:rsid w:val="00B21149"/>
    <w:rsid w:val="00B27FCC"/>
    <w:rsid w:val="00B7022C"/>
    <w:rsid w:val="00B743C8"/>
    <w:rsid w:val="00B76466"/>
    <w:rsid w:val="00B97092"/>
    <w:rsid w:val="00BA4BFA"/>
    <w:rsid w:val="00BC69EF"/>
    <w:rsid w:val="00BE0DF2"/>
    <w:rsid w:val="00BE2006"/>
    <w:rsid w:val="00C038D9"/>
    <w:rsid w:val="00C05083"/>
    <w:rsid w:val="00C12343"/>
    <w:rsid w:val="00C144CD"/>
    <w:rsid w:val="00C30F37"/>
    <w:rsid w:val="00C32FF0"/>
    <w:rsid w:val="00C51168"/>
    <w:rsid w:val="00C63B9D"/>
    <w:rsid w:val="00C65712"/>
    <w:rsid w:val="00C75C4C"/>
    <w:rsid w:val="00C974DB"/>
    <w:rsid w:val="00CA210E"/>
    <w:rsid w:val="00CA653A"/>
    <w:rsid w:val="00CB3094"/>
    <w:rsid w:val="00CB4702"/>
    <w:rsid w:val="00CC153A"/>
    <w:rsid w:val="00CC5703"/>
    <w:rsid w:val="00CD17C7"/>
    <w:rsid w:val="00CE739E"/>
    <w:rsid w:val="00CF1A1B"/>
    <w:rsid w:val="00CF248E"/>
    <w:rsid w:val="00D15353"/>
    <w:rsid w:val="00D34489"/>
    <w:rsid w:val="00D4378F"/>
    <w:rsid w:val="00D5266E"/>
    <w:rsid w:val="00D54089"/>
    <w:rsid w:val="00D5658F"/>
    <w:rsid w:val="00D64228"/>
    <w:rsid w:val="00D651A6"/>
    <w:rsid w:val="00D97749"/>
    <w:rsid w:val="00DA53F8"/>
    <w:rsid w:val="00DB4A32"/>
    <w:rsid w:val="00DB4ABF"/>
    <w:rsid w:val="00DC1ECD"/>
    <w:rsid w:val="00DD3A79"/>
    <w:rsid w:val="00E10B82"/>
    <w:rsid w:val="00E57A1A"/>
    <w:rsid w:val="00E85F01"/>
    <w:rsid w:val="00EA2D77"/>
    <w:rsid w:val="00ED3C57"/>
    <w:rsid w:val="00EE1F39"/>
    <w:rsid w:val="00F2779D"/>
    <w:rsid w:val="00F34A2E"/>
    <w:rsid w:val="00F350AC"/>
    <w:rsid w:val="00F37882"/>
    <w:rsid w:val="00F41C1A"/>
    <w:rsid w:val="00F433F6"/>
    <w:rsid w:val="00F6092E"/>
    <w:rsid w:val="00F67CCF"/>
    <w:rsid w:val="00F73D64"/>
    <w:rsid w:val="00F9075A"/>
    <w:rsid w:val="00F91F32"/>
    <w:rsid w:val="00F97D84"/>
    <w:rsid w:val="00FA7755"/>
    <w:rsid w:val="00FB68E8"/>
    <w:rsid w:val="00FD615C"/>
    <w:rsid w:val="00FD7DC7"/>
    <w:rsid w:val="00FE4A6B"/>
    <w:rsid w:val="00FE6F0C"/>
    <w:rsid w:val="06C4C3B2"/>
    <w:rsid w:val="077837E9"/>
    <w:rsid w:val="15798B19"/>
    <w:rsid w:val="1BFDB9A4"/>
    <w:rsid w:val="28EE19EC"/>
    <w:rsid w:val="3500C827"/>
    <w:rsid w:val="3EC0B290"/>
    <w:rsid w:val="466DB1E6"/>
    <w:rsid w:val="4A50563A"/>
    <w:rsid w:val="5DE7D250"/>
    <w:rsid w:val="6529D490"/>
    <w:rsid w:val="65D9152C"/>
    <w:rsid w:val="6957F810"/>
    <w:rsid w:val="7566F066"/>
    <w:rsid w:val="76649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44548"/>
  <w15:chartTrackingRefBased/>
  <w15:docId w15:val="{4AC42FF9-FD17-4D1C-9A9E-7D9F4132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9E"/>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BE20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20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20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20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20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20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0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0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0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BE20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E20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E200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E200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E200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E20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20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20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20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2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BE2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BE20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2006"/>
    <w:pPr>
      <w:spacing w:before="160"/>
      <w:jc w:val="center"/>
    </w:pPr>
    <w:rPr>
      <w:i/>
      <w:iCs/>
      <w:color w:val="404040" w:themeColor="text1" w:themeTint="BF"/>
    </w:rPr>
  </w:style>
  <w:style w:type="character" w:customStyle="1" w:styleId="QuoteChar">
    <w:name w:val="Quote Char"/>
    <w:basedOn w:val="DefaultParagraphFont"/>
    <w:link w:val="Quote"/>
    <w:uiPriority w:val="29"/>
    <w:rsid w:val="00BE200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BE2006"/>
    <w:pPr>
      <w:ind w:left="720"/>
      <w:contextualSpacing/>
    </w:pPr>
  </w:style>
  <w:style w:type="character" w:styleId="IntenseEmphasis">
    <w:name w:val="Intense Emphasis"/>
    <w:basedOn w:val="DefaultParagraphFont"/>
    <w:uiPriority w:val="21"/>
    <w:qFormat/>
    <w:rsid w:val="00BE2006"/>
    <w:rPr>
      <w:i/>
      <w:iCs/>
      <w:color w:val="2E74B5" w:themeColor="accent1" w:themeShade="BF"/>
    </w:rPr>
  </w:style>
  <w:style w:type="paragraph" w:styleId="IntenseQuote">
    <w:name w:val="Intense Quote"/>
    <w:basedOn w:val="Normal"/>
    <w:next w:val="Normal"/>
    <w:link w:val="IntenseQuoteChar"/>
    <w:uiPriority w:val="30"/>
    <w:qFormat/>
    <w:rsid w:val="00BE20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2006"/>
    <w:rPr>
      <w:i/>
      <w:iCs/>
      <w:color w:val="2E74B5" w:themeColor="accent1" w:themeShade="BF"/>
    </w:rPr>
  </w:style>
  <w:style w:type="character" w:styleId="IntenseReference">
    <w:name w:val="Intense Reference"/>
    <w:basedOn w:val="DefaultParagraphFont"/>
    <w:uiPriority w:val="32"/>
    <w:qFormat/>
    <w:rsid w:val="00BE2006"/>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B7F9E"/>
  </w:style>
  <w:style w:type="paragraph" w:styleId="NormalWeb">
    <w:name w:val="Normal (Web)"/>
    <w:basedOn w:val="Normal"/>
    <w:uiPriority w:val="99"/>
    <w:unhideWhenUsed/>
    <w:rsid w:val="008B7F9E"/>
    <w:pPr>
      <w:spacing w:before="100" w:beforeAutospacing="1" w:after="100" w:afterAutospacing="1"/>
    </w:pPr>
  </w:style>
  <w:style w:type="table" w:customStyle="1" w:styleId="TableGrid3">
    <w:name w:val="Table Grid3"/>
    <w:basedOn w:val="TableNormal"/>
    <w:next w:val="TableGrid"/>
    <w:uiPriority w:val="39"/>
    <w:rsid w:val="008B7F9E"/>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B7F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nt">
    <w:name w:val="Normal Lent"/>
    <w:basedOn w:val="Normal"/>
    <w:uiPriority w:val="99"/>
    <w:rsid w:val="00350C29"/>
    <w:pPr>
      <w:spacing w:after="0" w:line="240" w:lineRule="auto"/>
      <w:jc w:val="both"/>
    </w:pPr>
    <w:rPr>
      <w:rFonts w:ascii="Times New Roman" w:eastAsia="Calibri" w:hAnsi="Times New Roman" w:cs="Times New Roman"/>
      <w:sz w:val="24"/>
      <w:szCs w:val="20"/>
      <w:lang w:eastAsia="en-US"/>
    </w:rPr>
  </w:style>
  <w:style w:type="character" w:styleId="CommentReference">
    <w:name w:val="annotation reference"/>
    <w:basedOn w:val="DefaultParagraphFont"/>
    <w:uiPriority w:val="99"/>
    <w:semiHidden/>
    <w:unhideWhenUsed/>
    <w:rsid w:val="00350C29"/>
    <w:rPr>
      <w:sz w:val="16"/>
      <w:szCs w:val="16"/>
    </w:rPr>
  </w:style>
  <w:style w:type="paragraph" w:styleId="CommentText">
    <w:name w:val="annotation text"/>
    <w:basedOn w:val="Normal"/>
    <w:link w:val="CommentTextChar"/>
    <w:uiPriority w:val="99"/>
    <w:unhideWhenUsed/>
    <w:rsid w:val="00350C29"/>
    <w:pPr>
      <w:spacing w:line="240" w:lineRule="auto"/>
    </w:pPr>
    <w:rPr>
      <w:sz w:val="20"/>
      <w:szCs w:val="20"/>
    </w:rPr>
  </w:style>
  <w:style w:type="character" w:customStyle="1" w:styleId="CommentTextChar">
    <w:name w:val="Comment Text Char"/>
    <w:basedOn w:val="DefaultParagraphFont"/>
    <w:link w:val="CommentText"/>
    <w:uiPriority w:val="99"/>
    <w:rsid w:val="00350C29"/>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350C29"/>
    <w:rPr>
      <w:b/>
      <w:bCs/>
    </w:rPr>
  </w:style>
  <w:style w:type="character" w:customStyle="1" w:styleId="CommentSubjectChar">
    <w:name w:val="Comment Subject Char"/>
    <w:basedOn w:val="CommentTextChar"/>
    <w:link w:val="CommentSubject"/>
    <w:uiPriority w:val="99"/>
    <w:semiHidden/>
    <w:rsid w:val="00350C29"/>
    <w:rPr>
      <w:rFonts w:asciiTheme="minorHAnsi" w:eastAsiaTheme="minorEastAsia" w:hAnsiTheme="minorHAnsi"/>
      <w:b/>
      <w:bCs/>
      <w:kern w:val="0"/>
      <w:sz w:val="20"/>
      <w:szCs w:val="20"/>
      <w:lang w:eastAsia="lt-LT"/>
      <w14:ligatures w14:val="none"/>
    </w:rPr>
  </w:style>
  <w:style w:type="character" w:styleId="Mention">
    <w:name w:val="Mention"/>
    <w:basedOn w:val="DefaultParagraphFont"/>
    <w:uiPriority w:val="99"/>
    <w:unhideWhenUsed/>
    <w:rsid w:val="008F40B2"/>
    <w:rPr>
      <w:color w:val="2B579A"/>
      <w:shd w:val="clear" w:color="auto" w:fill="E1DFDD"/>
    </w:rPr>
  </w:style>
  <w:style w:type="character" w:styleId="Hyperlink">
    <w:name w:val="Hyperlink"/>
    <w:basedOn w:val="DefaultParagraphFont"/>
    <w:uiPriority w:val="99"/>
    <w:unhideWhenUsed/>
    <w:rsid w:val="008A7E47"/>
    <w:rPr>
      <w:color w:val="0563C1" w:themeColor="hyperlink"/>
      <w:u w:val="single"/>
    </w:rPr>
  </w:style>
  <w:style w:type="character" w:styleId="UnresolvedMention">
    <w:name w:val="Unresolved Mention"/>
    <w:basedOn w:val="DefaultParagraphFont"/>
    <w:uiPriority w:val="99"/>
    <w:semiHidden/>
    <w:unhideWhenUsed/>
    <w:rsid w:val="008A7E47"/>
    <w:rPr>
      <w:color w:val="605E5C"/>
      <w:shd w:val="clear" w:color="auto" w:fill="E1DFDD"/>
    </w:rPr>
  </w:style>
  <w:style w:type="paragraph" w:styleId="Revision">
    <w:name w:val="Revision"/>
    <w:hidden/>
    <w:uiPriority w:val="99"/>
    <w:semiHidden/>
    <w:rsid w:val="00120CBC"/>
    <w:pPr>
      <w:spacing w:line="240" w:lineRule="auto"/>
      <w:ind w:firstLine="0"/>
    </w:pPr>
    <w:rPr>
      <w:rFonts w:asciiTheme="minorHAnsi" w:eastAsiaTheme="minorEastAsia" w:hAnsiTheme="minorHAnsi"/>
      <w:kern w:val="0"/>
      <w:sz w:val="21"/>
      <w:szCs w:val="21"/>
      <w:lang w:eastAsia="lt-LT"/>
      <w14:ligatures w14:val="none"/>
    </w:rPr>
  </w:style>
  <w:style w:type="table" w:customStyle="1" w:styleId="TableGrid31">
    <w:name w:val="Table Grid31"/>
    <w:basedOn w:val="TableNormal"/>
    <w:next w:val="TableGrid"/>
    <w:uiPriority w:val="39"/>
    <w:rsid w:val="00CF1A1B"/>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CF1A1B"/>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F1A1B"/>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CF1A1B"/>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F1A1B"/>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71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Proceduru_vadov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5306</Words>
  <Characters>3025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Aidas Gudavičius</cp:lastModifiedBy>
  <cp:revision>10</cp:revision>
  <dcterms:created xsi:type="dcterms:W3CDTF">2024-11-20T12:39:00Z</dcterms:created>
  <dcterms:modified xsi:type="dcterms:W3CDTF">2024-11-29T08:59:00Z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2024-06-05T12:12:05Z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c53c7cad-342c-4b0b-a799-6838cf3cc90b</vt:lpwstr>
  </property>
  <property fmtid="{D5CDD505-2E9C-101B-9397-08002B2CF9AE}" pid="8" name="MSIP_Label_179ca552-b207-4d72-8d58-818aee87ca18_ContentBits">
    <vt:lpwstr>0</vt:lpwstr>
  </property>
</Properties>
</file>