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2F2364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CC36" w14:textId="77777777" w:rsidR="00DC62D4" w:rsidRDefault="00DC62D4" w:rsidP="00387992">
      <w:pPr>
        <w:spacing w:after="0" w:line="240" w:lineRule="auto"/>
      </w:pPr>
      <w:r>
        <w:separator/>
      </w:r>
    </w:p>
  </w:endnote>
  <w:endnote w:type="continuationSeparator" w:id="0">
    <w:p w14:paraId="0E2BF950" w14:textId="77777777" w:rsidR="00DC62D4" w:rsidRDefault="00DC62D4" w:rsidP="00387992">
      <w:pPr>
        <w:spacing w:after="0" w:line="240" w:lineRule="auto"/>
      </w:pPr>
      <w:r>
        <w:continuationSeparator/>
      </w:r>
    </w:p>
  </w:endnote>
  <w:endnote w:type="continuationNotice" w:id="1">
    <w:p w14:paraId="7E7A8F6F" w14:textId="77777777" w:rsidR="00DC62D4" w:rsidRDefault="00DC6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2EBF" w14:textId="77777777" w:rsidR="00DC62D4" w:rsidRDefault="00DC62D4" w:rsidP="00387992">
      <w:pPr>
        <w:spacing w:after="0" w:line="240" w:lineRule="auto"/>
      </w:pPr>
      <w:r>
        <w:separator/>
      </w:r>
    </w:p>
  </w:footnote>
  <w:footnote w:type="continuationSeparator" w:id="0">
    <w:p w14:paraId="0B5F77A1" w14:textId="77777777" w:rsidR="00DC62D4" w:rsidRDefault="00DC62D4" w:rsidP="00387992">
      <w:pPr>
        <w:spacing w:after="0" w:line="240" w:lineRule="auto"/>
      </w:pPr>
      <w:r>
        <w:continuationSeparator/>
      </w:r>
    </w:p>
  </w:footnote>
  <w:footnote w:type="continuationNotice" w:id="1">
    <w:p w14:paraId="2177629C" w14:textId="77777777" w:rsidR="00DC62D4" w:rsidRDefault="00DC6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 TP/_layouts/15/DocIdRedir.aspx?ID=PVIS-1689388691-141</Url>
      <Description>PVIS-1689388691-141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PVIS-1689388691-141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AD709-B487-4B7B-8EBA-2E4D100D7995}"/>
</file>

<file path=customXml/itemProps3.xml><?xml version="1.0" encoding="utf-8"?>
<ds:datastoreItem xmlns:ds="http://schemas.openxmlformats.org/officeDocument/2006/customXml" ds:itemID="{1D4ABB70-9A04-4AFB-B3ED-C3F2CD3F9060}"/>
</file>

<file path=customXml/itemProps4.xml><?xml version="1.0" encoding="utf-8"?>
<ds:datastoreItem xmlns:ds="http://schemas.openxmlformats.org/officeDocument/2006/customXml" ds:itemID="{212E94EF-A5A2-46B8-9FDF-73BA5F26BA85}"/>
</file>

<file path=customXml/itemProps5.xml><?xml version="1.0" encoding="utf-8"?>
<ds:datastoreItem xmlns:ds="http://schemas.openxmlformats.org/officeDocument/2006/customXml" ds:itemID="{DA44451A-EEF8-41CE-8389-37C320EDB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7359</Words>
  <Characters>4195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Mantas Bieliauskas</cp:lastModifiedBy>
  <cp:revision>2</cp:revision>
  <cp:lastPrinted>2014-04-02T13:30:00Z</cp:lastPrinted>
  <dcterms:created xsi:type="dcterms:W3CDTF">2022-12-23T10:42:00Z</dcterms:created>
  <dcterms:modified xsi:type="dcterms:W3CDTF">2022-12-23T10:42:00Z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9550f56b-63cf-401f-ac2c-0afca91864d7</vt:lpwstr>
  </property>
</Properties>
</file>