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APPROVED by</w:t>
            </w:r>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w:t>
            </w:r>
          </w:p>
          <w:p w14:paraId="3B80710F" w14:textId="126363CA" w:rsidR="00675CA0" w:rsidRDefault="00675CA0" w:rsidP="00675CA0">
            <w:pPr>
              <w:spacing w:line="252" w:lineRule="auto"/>
              <w:ind w:right="-1"/>
              <w:rPr>
                <w:rFonts w:ascii="Trebuchet MS" w:hAnsi="Trebuchet MS" w:cs="Arial"/>
                <w:sz w:val="18"/>
                <w:szCs w:val="18"/>
                <w:lang w:val="en-US" w:eastAsia="en-US"/>
              </w:rPr>
            </w:pPr>
            <w:r>
              <w:rPr>
                <w:rFonts w:ascii="Trebuchet MS" w:hAnsi="Trebuchet MS" w:cs="Arial"/>
                <w:sz w:val="18"/>
                <w:szCs w:val="18"/>
                <w:lang w:eastAsia="en-US"/>
              </w:rPr>
              <w:t xml:space="preserve">May </w:t>
            </w:r>
            <w:r>
              <w:rPr>
                <w:rFonts w:ascii="Trebuchet MS" w:hAnsi="Trebuchet MS" w:cs="Arial"/>
                <w:sz w:val="18"/>
                <w:szCs w:val="18"/>
                <w:lang w:val="en-US" w:eastAsia="en-US"/>
              </w:rPr>
              <w:t>29</w:t>
            </w:r>
          </w:p>
          <w:p w14:paraId="497E2A42" w14:textId="77777777" w:rsidR="00675CA0" w:rsidRDefault="00675CA0"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Transmission grid department</w:t>
            </w:r>
          </w:p>
          <w:p w14:paraId="2C25E5FB" w14:textId="291AEAD2" w:rsidR="00675CA0" w:rsidRPr="00675CA0" w:rsidRDefault="00675CA0" w:rsidP="00675CA0">
            <w:pPr>
              <w:tabs>
                <w:tab w:val="left" w:pos="3555"/>
              </w:tabs>
              <w:rPr>
                <w:rFonts w:ascii="Trebuchet MS" w:hAnsi="Trebuchet MS" w:cs="Arial"/>
                <w:sz w:val="18"/>
                <w:szCs w:val="18"/>
                <w:lang w:val="en-US" w:eastAsia="en-US"/>
              </w:rPr>
            </w:pPr>
            <w:r>
              <w:rPr>
                <w:rFonts w:ascii="Trebuchet MS" w:hAnsi="Trebuchet MS" w:cs="Arial"/>
                <w:sz w:val="18"/>
                <w:szCs w:val="18"/>
                <w:lang w:eastAsia="en-US"/>
              </w:rPr>
              <w:t>director direction No. 20NU-183</w:t>
            </w:r>
          </w:p>
        </w:tc>
        <w:tc>
          <w:tcPr>
            <w:tcW w:w="3260" w:type="dxa"/>
          </w:tcPr>
          <w:p w14:paraId="095865CC"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 m.</w:t>
            </w:r>
          </w:p>
          <w:p w14:paraId="1F45EDAC" w14:textId="501B03A2"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 xml:space="preserve">Gegužės </w:t>
            </w:r>
            <w:r>
              <w:rPr>
                <w:rFonts w:ascii="Trebuchet MS" w:hAnsi="Trebuchet MS" w:cs="Arial"/>
                <w:sz w:val="18"/>
                <w:szCs w:val="18"/>
                <w:lang w:val="en-US" w:eastAsia="en-US"/>
              </w:rPr>
              <w:t>29 d.</w:t>
            </w:r>
          </w:p>
          <w:p w14:paraId="573AD35A" w14:textId="267554CD"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Perdavimo tinklo departamento direktoriaus nurodymu Nr. 20NU-183</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6FD2A33B"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Seq. No.</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Eligibility confirmation of the proposed device, equipment, product or material</w:t>
            </w:r>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Parameter</w:t>
            </w:r>
            <w:r w:rsidRPr="00721DC8">
              <w:rPr>
                <w:rFonts w:ascii="Trebuchet MS" w:hAnsi="Trebuchet MS" w:cs="Arial"/>
                <w:sz w:val="18"/>
                <w:szCs w:val="18"/>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Nuoroda į Rangovo pasiūlymo dokumentus/ Link to Supplier’s proposal documents</w:t>
            </w:r>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Priedo pavadinimas ar Nr./ Annex name or N</w:t>
            </w:r>
            <w:r w:rsidR="003F1A9D" w:rsidRPr="00721DC8">
              <w:rPr>
                <w:rFonts w:ascii="Trebuchet MS" w:hAnsi="Trebuchet MS" w:cs="Arial"/>
                <w:bCs/>
                <w:sz w:val="18"/>
                <w:szCs w:val="18"/>
              </w:rPr>
              <w:t>o</w:t>
            </w:r>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Pg. No</w:t>
            </w:r>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665FB66"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plieninėmis vijų šerdimis laidai</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400-110 kV voltage range overhead lines uninsulated aluminium steel reinforced conductors</w:t>
            </w:r>
          </w:p>
        </w:tc>
        <w:tc>
          <w:tcPr>
            <w:tcW w:w="3687" w:type="dxa"/>
            <w:vMerge w:val="restart"/>
            <w:shd w:val="clear" w:color="auto" w:fill="FFFFFF" w:themeFill="background1"/>
            <w:vAlign w:val="center"/>
          </w:tcPr>
          <w:p w14:paraId="14C20B5F" w14:textId="0538A24B"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r w:rsidRPr="00721DC8">
              <w:rPr>
                <w:rFonts w:ascii="Trebuchet MS" w:hAnsi="Trebuchet MS"/>
                <w:sz w:val="18"/>
                <w:szCs w:val="18"/>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r w:rsidRPr="00721DC8">
              <w:rPr>
                <w:rFonts w:ascii="Trebuchet MS" w:hAnsi="Trebuchet MS" w:cs="Arial"/>
                <w:sz w:val="18"/>
                <w:szCs w:val="18"/>
              </w:rPr>
              <w:t>Device and gear marking</w:t>
            </w:r>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r w:rsidRPr="00721DC8">
              <w:rPr>
                <w:rFonts w:ascii="Trebuchet MS" w:hAnsi="Trebuchet MS" w:cs="Arial"/>
                <w:sz w:val="18"/>
                <w:szCs w:val="18"/>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r w:rsidRPr="00721DC8">
              <w:rPr>
                <w:rFonts w:ascii="Trebuchet MS" w:hAnsi="Trebuchet MS" w:cs="Arial"/>
                <w:sz w:val="18"/>
                <w:szCs w:val="18"/>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Standartai:/ Standards:</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 xml:space="preserve">Gamintojo kokybės vadybos sistema turi būti įvertinta sertifikatu/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Charakteristikos turi atitikti ir bandymai turi atitikti standarto reikalavimus/ Characteristics and tests shall meet requirements of the standard</w:t>
            </w:r>
          </w:p>
        </w:tc>
        <w:tc>
          <w:tcPr>
            <w:tcW w:w="3687" w:type="dxa"/>
            <w:vAlign w:val="center"/>
          </w:tcPr>
          <w:p w14:paraId="3F872087" w14:textId="75E309CA" w:rsidR="00F5718B" w:rsidRPr="00721DC8" w:rsidRDefault="00F5718B" w:rsidP="00F5718B">
            <w:pPr>
              <w:jc w:val="center"/>
              <w:rPr>
                <w:rFonts w:ascii="Trebuchet MS" w:hAnsi="Trebuchet MS" w:cs="Arial"/>
                <w:sz w:val="20"/>
                <w:szCs w:val="20"/>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p>
        </w:tc>
        <w:tc>
          <w:tcPr>
            <w:tcW w:w="3687" w:type="dxa"/>
            <w:vAlign w:val="center"/>
          </w:tcPr>
          <w:p w14:paraId="3DF7A54C" w14:textId="77777777"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r w:rsidRPr="00721DC8">
              <w:rPr>
                <w:rFonts w:ascii="Trebuchet MS" w:hAnsi="Trebuchet MS" w:cs="Arial"/>
                <w:b/>
                <w:sz w:val="18"/>
                <w:szCs w:val="18"/>
                <w:lang w:val="en-US"/>
              </w:rPr>
              <w:t>Elektromechaninės charakteristikos:/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Aluminum alloy wire’s class according to IEC 60889</w:t>
            </w:r>
          </w:p>
        </w:tc>
        <w:tc>
          <w:tcPr>
            <w:tcW w:w="3687" w:type="dxa"/>
            <w:vAlign w:val="center"/>
          </w:tcPr>
          <w:p w14:paraId="2ACACA73" w14:textId="3916E0B5"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ir/and c) arba/or d)</w:t>
            </w:r>
            <w:r w:rsidR="00C803F1" w:rsidRPr="00721DC8">
              <w:rPr>
                <w:rFonts w:ascii="Trebuchet MS" w:hAnsi="Trebuchet MS" w:cs="Arial"/>
                <w:sz w:val="20"/>
                <w:szCs w:val="20"/>
                <w:vertAlign w:val="superscript"/>
                <w:lang w:val="en-US"/>
              </w:rPr>
              <w:t>*</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r w:rsidRPr="00721DC8">
              <w:rPr>
                <w:rFonts w:ascii="Trebuchet MS" w:hAnsi="Trebuchet MS" w:cs="Arial"/>
                <w:sz w:val="18"/>
                <w:szCs w:val="18"/>
                <w:lang w:val="en-US"/>
              </w:rPr>
              <w:t>Cinku padengtų plieninių vijų klasė pagal EN 50189/ Zinc coated steel wire’s class according to EN 50189</w:t>
            </w:r>
          </w:p>
        </w:tc>
        <w:tc>
          <w:tcPr>
            <w:tcW w:w="3687" w:type="dxa"/>
            <w:vAlign w:val="center"/>
          </w:tcPr>
          <w:p w14:paraId="1617C781" w14:textId="3DB75E2A"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ir/and c) arba/or d)*</w:t>
            </w:r>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r w:rsidRPr="00721DC8">
              <w:rPr>
                <w:rFonts w:ascii="Trebuchet MS" w:hAnsi="Trebuchet MS" w:cs="Arial"/>
                <w:sz w:val="18"/>
                <w:szCs w:val="18"/>
                <w:lang w:val="en-US"/>
              </w:rPr>
              <w:t>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p>
          <w:p w14:paraId="711D4766" w14:textId="2BF7DEE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p>
          <w:p w14:paraId="0B491190" w14:textId="5F2F338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p>
          <w:p w14:paraId="0D337E62"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p>
          <w:p w14:paraId="0B842A81" w14:textId="30D9E784"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p>
          <w:p w14:paraId="685F537A" w14:textId="3293826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p>
          <w:p w14:paraId="2C126D80"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p>
          <w:p w14:paraId="59FF9CD8"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p>
          <w:p w14:paraId="40D597DD" w14:textId="5FFD8B65"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1CD9787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lang w:val="en-US"/>
              </w:rPr>
              <w:t>Laido elastingumo modulis/ Modulus of elasticity of complete conductor, MPa∙10</w:t>
            </w:r>
            <w:r w:rsidRPr="00721DC8">
              <w:rPr>
                <w:rFonts w:ascii="Trebuchet MS" w:hAnsi="Trebuchet MS" w:cs="Arial"/>
                <w:sz w:val="18"/>
                <w:szCs w:val="18"/>
                <w:vertAlign w:val="superscript"/>
                <w:lang w:val="en-US"/>
              </w:rPr>
              <w:t>3</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b) ir/and c)</w:t>
            </w:r>
          </w:p>
          <w:p w14:paraId="649E8D95" w14:textId="5DEF076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 70 (304,6; 356,7;</w:t>
            </w:r>
          </w:p>
          <w:p w14:paraId="31AA882A"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381,7) </w:t>
            </w:r>
            <w:r w:rsidRPr="00721DC8">
              <w:rPr>
                <w:rFonts w:ascii="Trebuchet MS" w:hAnsi="Trebuchet MS" w:cs="Arial"/>
                <w:sz w:val="20"/>
                <w:szCs w:val="20"/>
                <w:vertAlign w:val="superscript"/>
              </w:rPr>
              <w:t>b) ir/and c)</w:t>
            </w:r>
          </w:p>
          <w:p w14:paraId="76367079"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b) ir/and c)</w:t>
            </w:r>
          </w:p>
          <w:p w14:paraId="1390A0A9" w14:textId="2185BB29"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b) ir/and 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Laido linijinis plėtimosi koeficientas/ Coefficient of linear expansion of conductor,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4F34D7A2" w14:textId="77777777" w:rsidR="00DC521A" w:rsidRPr="00721DC8" w:rsidRDefault="00DC521A" w:rsidP="00DC521A">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19,3∙10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(121,6; 151,1; 183,8; 243,1; 304,6; 356,7; 381,7; 402,3) </w:t>
            </w:r>
            <w:r w:rsidRPr="00721DC8">
              <w:rPr>
                <w:rFonts w:ascii="Trebuchet MS" w:hAnsi="Trebuchet MS" w:cs="Arial"/>
                <w:sz w:val="20"/>
                <w:szCs w:val="20"/>
                <w:vertAlign w:val="superscript"/>
                <w:lang w:val="en-US"/>
              </w:rPr>
              <w:t xml:space="preserve"> b)</w:t>
            </w:r>
          </w:p>
          <w:p w14:paraId="24D941D5" w14:textId="39413027"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,1∙10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77777777" w:rsidR="00DC521A" w:rsidRPr="00721DC8" w:rsidRDefault="00DC521A" w:rsidP="00DC521A">
            <w:pPr>
              <w:jc w:val="center"/>
              <w:rPr>
                <w:rFonts w:ascii="Trebuchet MS" w:hAnsi="Trebuchet MS"/>
                <w:sz w:val="18"/>
                <w:szCs w:val="18"/>
              </w:rPr>
            </w:pPr>
          </w:p>
        </w:tc>
        <w:tc>
          <w:tcPr>
            <w:tcW w:w="2406" w:type="dxa"/>
            <w:vAlign w:val="center"/>
          </w:tcPr>
          <w:p w14:paraId="70CEDF88" w14:textId="77777777"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Minimum conductor breaking load, kN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ir/and c)</w:t>
            </w:r>
          </w:p>
          <w:p w14:paraId="6E106ED4"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ir/and c)</w:t>
            </w:r>
          </w:p>
          <w:p w14:paraId="0778B261"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ir/and c)</w:t>
            </w:r>
          </w:p>
          <w:p w14:paraId="3C5FF45A"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ir/and c)</w:t>
            </w:r>
          </w:p>
          <w:p w14:paraId="482DF49D"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ir/and c)</w:t>
            </w:r>
          </w:p>
          <w:p w14:paraId="260E15A9"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ir/and c)</w:t>
            </w:r>
          </w:p>
          <w:p w14:paraId="0561BA15"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ir/and c)</w:t>
            </w:r>
          </w:p>
          <w:p w14:paraId="112C684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ir/and c)</w:t>
            </w:r>
          </w:p>
          <w:p w14:paraId="64A9BB34" w14:textId="6FA88164"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ir/and c)</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Maximum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7043673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/and</w:t>
            </w:r>
            <w:r w:rsidR="004F08CB" w:rsidRPr="00721DC8">
              <w:rPr>
                <w:rFonts w:ascii="Trebuchet MS" w:hAnsi="Trebuchet MS" w:cs="Arial"/>
                <w:sz w:val="20"/>
                <w:szCs w:val="20"/>
                <w:vertAlign w:val="superscript"/>
              </w:rPr>
              <w:t xml:space="preserve"> c</w:t>
            </w:r>
            <w:r w:rsidRPr="00721DC8">
              <w:rPr>
                <w:rFonts w:ascii="Trebuchet MS" w:hAnsi="Trebuchet MS" w:cs="Arial"/>
                <w:sz w:val="20"/>
                <w:szCs w:val="20"/>
                <w:vertAlign w:val="superscript"/>
              </w:rPr>
              <w:t>)</w:t>
            </w:r>
            <w:r w:rsidR="004F08CB" w:rsidRPr="00721DC8">
              <w:rPr>
                <w:rFonts w:ascii="Trebuchet MS" w:hAnsi="Trebuchet MS" w:cs="Arial"/>
                <w:sz w:val="20"/>
                <w:szCs w:val="20"/>
                <w:vertAlign w:val="superscript"/>
              </w:rPr>
              <w:t xml:space="preserve"> arba</w:t>
            </w:r>
            <w:r w:rsidR="00402F0A" w:rsidRPr="00721DC8">
              <w:rPr>
                <w:rFonts w:ascii="Trebuchet MS" w:hAnsi="Trebuchet MS" w:cs="Arial"/>
                <w:sz w:val="20"/>
                <w:szCs w:val="20"/>
                <w:vertAlign w:val="superscript"/>
              </w:rPr>
              <w:t>/or</w:t>
            </w:r>
            <w:r w:rsidR="00A73E97"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d</w:t>
            </w:r>
            <w:r w:rsidR="00A73E97" w:rsidRPr="00721DC8">
              <w:rPr>
                <w:rFonts w:ascii="Trebuchet MS" w:hAnsi="Trebuchet MS" w:cs="Arial"/>
                <w:sz w:val="20"/>
                <w:szCs w:val="20"/>
                <w:vertAlign w:val="superscript"/>
              </w:rPr>
              <w:t>)</w:t>
            </w:r>
            <w:r w:rsidR="001D686D" w:rsidRPr="00721DC8">
              <w:rPr>
                <w:rFonts w:ascii="Trebuchet MS" w:hAnsi="Trebuchet MS" w:cs="Arial"/>
                <w:sz w:val="20"/>
                <w:szCs w:val="20"/>
                <w:vertAlign w:val="superscript"/>
              </w:rPr>
              <w:t>*</w:t>
            </w:r>
          </w:p>
          <w:p w14:paraId="5773F7F5" w14:textId="64DBABF4"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ir/and c) arba/or d)</w:t>
            </w:r>
            <w:r w:rsidR="001D686D" w:rsidRPr="00721DC8">
              <w:rPr>
                <w:rFonts w:ascii="Trebuchet MS" w:hAnsi="Trebuchet MS" w:cs="Arial"/>
                <w:sz w:val="20"/>
                <w:szCs w:val="20"/>
                <w:vertAlign w:val="superscript"/>
              </w:rPr>
              <w:t>*</w:t>
            </w:r>
          </w:p>
          <w:p w14:paraId="16FC62B3" w14:textId="5A609CF6"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ir/and c) arba/or d)</w:t>
            </w:r>
            <w:r w:rsidR="001D686D" w:rsidRPr="00721DC8">
              <w:rPr>
                <w:rFonts w:ascii="Trebuchet MS" w:hAnsi="Trebuchet MS" w:cs="Arial"/>
                <w:sz w:val="20"/>
                <w:szCs w:val="20"/>
                <w:vertAlign w:val="superscript"/>
              </w:rPr>
              <w:t>*</w:t>
            </w:r>
          </w:p>
          <w:p w14:paraId="6B6327B2" w14:textId="735A77B8"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ir/and c) arba/or d)</w:t>
            </w:r>
            <w:r w:rsidR="001D686D" w:rsidRPr="00721DC8">
              <w:rPr>
                <w:rFonts w:ascii="Trebuchet MS" w:hAnsi="Trebuchet MS" w:cs="Arial"/>
                <w:sz w:val="20"/>
                <w:szCs w:val="20"/>
                <w:vertAlign w:val="superscript"/>
              </w:rPr>
              <w:t>*</w:t>
            </w:r>
          </w:p>
          <w:p w14:paraId="55F6BA1E" w14:textId="70AFC50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ir/and c) arba/or d)</w:t>
            </w:r>
            <w:r w:rsidR="001D686D" w:rsidRPr="00721DC8">
              <w:rPr>
                <w:rFonts w:ascii="Trebuchet MS" w:hAnsi="Trebuchet MS" w:cs="Arial"/>
                <w:sz w:val="20"/>
                <w:szCs w:val="20"/>
                <w:vertAlign w:val="superscript"/>
              </w:rPr>
              <w:t>*</w:t>
            </w:r>
          </w:p>
          <w:p w14:paraId="754F04CF" w14:textId="222783A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ir/and c) arba/or d)</w:t>
            </w:r>
            <w:r w:rsidR="001D686D" w:rsidRPr="00721DC8">
              <w:rPr>
                <w:rFonts w:ascii="Trebuchet MS" w:hAnsi="Trebuchet MS" w:cs="Arial"/>
                <w:sz w:val="20"/>
                <w:szCs w:val="20"/>
                <w:vertAlign w:val="superscript"/>
              </w:rPr>
              <w:t>*</w:t>
            </w:r>
          </w:p>
          <w:p w14:paraId="73787953" w14:textId="60F16D5C"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ir/and c) arba/or d)</w:t>
            </w:r>
            <w:r w:rsidR="001D686D" w:rsidRPr="00721DC8">
              <w:rPr>
                <w:rFonts w:ascii="Trebuchet MS" w:hAnsi="Trebuchet MS" w:cs="Arial"/>
                <w:sz w:val="20"/>
                <w:szCs w:val="20"/>
                <w:vertAlign w:val="superscript"/>
              </w:rPr>
              <w:t>*</w:t>
            </w:r>
          </w:p>
          <w:p w14:paraId="28591890" w14:textId="28FD5344"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b) ir/and c) arba/or d)</w:t>
            </w:r>
            <w:r w:rsidR="001D686D" w:rsidRPr="00721DC8">
              <w:rPr>
                <w:rFonts w:ascii="Trebuchet MS" w:hAnsi="Trebuchet MS" w:cs="Arial"/>
                <w:sz w:val="20"/>
                <w:szCs w:val="20"/>
                <w:vertAlign w:val="superscript"/>
              </w:rPr>
              <w:t>*</w:t>
            </w:r>
          </w:p>
          <w:p w14:paraId="0AC6A3E6" w14:textId="19702050"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b) ir/and c) arba/or d)</w:t>
            </w:r>
            <w:r w:rsidR="001D686D" w:rsidRPr="00721DC8">
              <w:rPr>
                <w:rFonts w:ascii="Trebuchet MS" w:hAnsi="Trebuchet MS" w:cs="Arial"/>
                <w:sz w:val="20"/>
                <w:szCs w:val="20"/>
                <w:vertAlign w:val="superscript"/>
              </w:rPr>
              <w:t>*</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3D3629A"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r w:rsidRPr="00721DC8">
              <w:rPr>
                <w:rFonts w:ascii="Trebuchet MS" w:hAnsi="Trebuchet MS" w:cs="Arial"/>
                <w:sz w:val="18"/>
                <w:szCs w:val="18"/>
              </w:rPr>
              <w:t>Grease dropping point temperature</w:t>
            </w:r>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ir/and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A71AC1">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lang w:val="en-US"/>
              </w:rPr>
              <w:t>Gamintojas gali vadovautis standartais ir sertifikatais lygiaverčiais šiuose reikalavimuose nurodytiems LST EN, LST EN ISO standartams ir ISO sertifikatams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Manufacturers declaration of conformity, official manufacturers quotation document (summary of technical parameters) for exact object (procurement), operating documentation, factory drawing or publicly available document describing technical data of equipment (brochure, catalog).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Laboratorijos, akredituotos pagal ISO/IEC 17025 standarto reikalavimus, atliktų tokios pačios</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konstrukcijos laido tipo bandymų protokolo kopija</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Copy of the type tests protocol on conductor of the same design, provided by laboratory accredited according to ISO/IEC 17025;</w:t>
            </w:r>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r w:rsidRPr="00721DC8">
              <w:rPr>
                <w:rFonts w:ascii="Trebuchet MS" w:hAnsi="Trebuchet MS" w:cs="Arial"/>
                <w:sz w:val="18"/>
                <w:szCs w:val="18"/>
                <w:lang w:val="en-US"/>
              </w:rPr>
              <w:t>Atliktos tokios pačios konstrukcijos laido</w:t>
            </w:r>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(type A) or equivalent standard, so the Contractor must provide a copy of the accreditation certificate for that inspection body.</w:t>
            </w:r>
            <w:r w:rsidR="00D32249" w:rsidRPr="00721DC8">
              <w:rPr>
                <w:rFonts w:ascii="Trebuchet MS" w:hAnsi="Trebuchet MS" w:cs="Arial"/>
                <w:sz w:val="18"/>
                <w:szCs w:val="18"/>
              </w:rPr>
              <w:t xml:space="preserve"> The accreditation of the inspection body must be valid at the time of the type tests.</w:t>
            </w:r>
          </w:p>
          <w:p w14:paraId="677A76F4" w14:textId="234F9B08" w:rsidR="001220FF" w:rsidRPr="00721DC8" w:rsidRDefault="008C3DD1" w:rsidP="00384AFF">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lastRenderedPageBreak/>
              <w:t>d)</w:t>
            </w:r>
            <w:r w:rsidRPr="00721DC8">
              <w:rPr>
                <w:rFonts w:ascii="Trebuchet MS" w:hAnsi="Trebuchet MS" w:cs="Arial"/>
                <w:sz w:val="18"/>
                <w:szCs w:val="18"/>
                <w:lang w:val="en-US"/>
              </w:rPr>
              <w:t xml:space="preserve">  </w:t>
            </w:r>
            <w:r w:rsidR="00130A9F" w:rsidRPr="00721DC8">
              <w:rPr>
                <w:rFonts w:ascii="Trebuchet MS" w:hAnsi="Trebuchet MS" w:cs="Arial"/>
                <w:sz w:val="18"/>
                <w:szCs w:val="18"/>
                <w:lang w:val="en-US"/>
              </w:rPr>
              <w:t>Tiekiamo konkretaus</w:t>
            </w:r>
            <w:r w:rsidR="00C803F1" w:rsidRPr="00721DC8">
              <w:rPr>
                <w:rFonts w:ascii="Trebuchet MS" w:hAnsi="Trebuchet MS" w:cs="Arial"/>
                <w:sz w:val="18"/>
                <w:szCs w:val="18"/>
                <w:lang w:val="en-US"/>
              </w:rPr>
              <w:t xml:space="preserve"> laido arba</w:t>
            </w:r>
            <w:r w:rsidR="004F08CB" w:rsidRPr="00721DC8">
              <w:rPr>
                <w:rFonts w:ascii="Trebuchet MS" w:hAnsi="Trebuchet MS" w:cs="Arial"/>
                <w:sz w:val="18"/>
                <w:szCs w:val="18"/>
                <w:lang w:val="en-US"/>
              </w:rPr>
              <w:t xml:space="preserve"> gaminio</w:t>
            </w:r>
            <w:r w:rsidR="00C803F1" w:rsidRPr="00721DC8">
              <w:rPr>
                <w:rFonts w:ascii="Trebuchet MS" w:hAnsi="Trebuchet MS" w:cs="Arial"/>
                <w:sz w:val="18"/>
                <w:szCs w:val="18"/>
                <w:lang w:val="en-US"/>
              </w:rPr>
              <w:t xml:space="preserve"> (med</w:t>
            </w:r>
            <w:r w:rsidR="00C803F1" w:rsidRPr="00721DC8">
              <w:rPr>
                <w:rFonts w:ascii="Trebuchet MS" w:hAnsi="Trebuchet MS" w:cs="Arial"/>
                <w:sz w:val="18"/>
                <w:szCs w:val="18"/>
              </w:rPr>
              <w:t>žiagos)</w:t>
            </w:r>
            <w:r w:rsidRPr="00721DC8">
              <w:rPr>
                <w:rFonts w:ascii="Trebuchet MS" w:hAnsi="Trebuchet MS" w:cs="Arial"/>
                <w:sz w:val="18"/>
                <w:szCs w:val="18"/>
                <w:lang w:val="en-US"/>
              </w:rPr>
              <w:t xml:space="preserve"> gamyklinių bandymų protokolo kopija/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 (material)</w:t>
            </w:r>
            <w:r w:rsidRPr="00721DC8">
              <w:rPr>
                <w:rFonts w:ascii="Trebuchet MS" w:hAnsi="Trebuchet MS" w:cs="Arial"/>
                <w:sz w:val="18"/>
                <w:szCs w:val="18"/>
                <w:lang w:val="en-US"/>
              </w:rPr>
              <w:t>.</w:t>
            </w:r>
          </w:p>
          <w:p w14:paraId="0EFFAADA" w14:textId="722EB9A1" w:rsidR="00E03678" w:rsidRPr="00721DC8" w:rsidRDefault="00D87B3F" w:rsidP="0070524F">
            <w:pPr>
              <w:ind w:left="227" w:hanging="227"/>
              <w:rPr>
                <w:rFonts w:ascii="Trebuchet MS" w:hAnsi="Trebuchet MS" w:cs="Arial"/>
                <w:sz w:val="18"/>
                <w:szCs w:val="18"/>
                <w:lang w:val="en-US"/>
              </w:rPr>
            </w:pPr>
            <w:r w:rsidRPr="00721DC8">
              <w:rPr>
                <w:rFonts w:ascii="Trebuchet MS" w:hAnsi="Trebuchet MS" w:cs="Arial"/>
                <w:sz w:val="20"/>
                <w:szCs w:val="20"/>
                <w:lang w:val="en-US"/>
              </w:rPr>
              <w:t>*</w:t>
            </w:r>
            <w:r w:rsidRPr="00721DC8">
              <w:rPr>
                <w:rFonts w:ascii="Trebuchet MS" w:hAnsi="Trebuchet MS" w:cs="Arial"/>
                <w:sz w:val="18"/>
                <w:szCs w:val="18"/>
                <w:lang w:val="en-US"/>
              </w:rPr>
              <w:t xml:space="preserve">   </w:t>
            </w:r>
            <w:r w:rsidR="00B30921" w:rsidRPr="00721DC8">
              <w:rPr>
                <w:rFonts w:ascii="Trebuchet MS" w:hAnsi="Trebuchet MS" w:cs="Arial"/>
                <w:sz w:val="18"/>
                <w:szCs w:val="18"/>
                <w:lang w:val="en-US"/>
              </w:rPr>
              <w:t>Užrašas</w:t>
            </w:r>
            <w:r w:rsidR="001D686D" w:rsidRPr="00721DC8">
              <w:rPr>
                <w:rFonts w:ascii="Trebuchet MS" w:hAnsi="Trebuchet MS" w:cs="Arial"/>
                <w:sz w:val="18"/>
                <w:szCs w:val="18"/>
                <w:lang w:val="en-US"/>
              </w:rPr>
              <w:t xml:space="preserve"> “</w:t>
            </w:r>
            <w:r w:rsidR="001D686D" w:rsidRPr="00721DC8">
              <w:rPr>
                <w:rFonts w:ascii="Trebuchet MS" w:hAnsi="Trebuchet MS" w:cs="Arial"/>
                <w:sz w:val="18"/>
                <w:szCs w:val="18"/>
              </w:rPr>
              <w:t>b) ir/and c) arba/or d)*“</w:t>
            </w:r>
            <w:r w:rsidR="00B30921" w:rsidRPr="00721DC8">
              <w:rPr>
                <w:rFonts w:ascii="Trebuchet MS" w:hAnsi="Trebuchet MS" w:cs="Arial"/>
                <w:sz w:val="18"/>
                <w:szCs w:val="18"/>
                <w:vertAlign w:val="superscript"/>
              </w:rPr>
              <w:t xml:space="preserve"> </w:t>
            </w:r>
            <w:r w:rsidR="00B30921" w:rsidRPr="00721DC8">
              <w:rPr>
                <w:rFonts w:ascii="Trebuchet MS" w:hAnsi="Trebuchet MS" w:cs="Arial"/>
                <w:sz w:val="18"/>
                <w:szCs w:val="18"/>
                <w:lang w:val="en-US"/>
              </w:rPr>
              <w:t>reiškia, kad</w:t>
            </w:r>
            <w:r w:rsidR="0070524F" w:rsidRPr="00721DC8">
              <w:rPr>
                <w:rFonts w:ascii="Trebuchet MS" w:hAnsi="Trebuchet MS" w:cs="Arial"/>
                <w:sz w:val="18"/>
                <w:szCs w:val="18"/>
                <w:lang w:val="en-US"/>
              </w:rPr>
              <w:t xml:space="preserve"> rangovui</w:t>
            </w:r>
            <w:r w:rsidR="001D686D" w:rsidRPr="00721DC8">
              <w:rPr>
                <w:rFonts w:ascii="Trebuchet MS" w:hAnsi="Trebuchet MS" w:cs="Arial"/>
                <w:sz w:val="18"/>
                <w:szCs w:val="18"/>
                <w:lang w:val="en-US"/>
              </w:rPr>
              <w:t xml:space="preserve"> b</w:t>
            </w:r>
            <w:r w:rsidR="001D686D" w:rsidRPr="00721DC8">
              <w:rPr>
                <w:rFonts w:ascii="Trebuchet MS" w:hAnsi="Trebuchet MS" w:cs="Arial"/>
                <w:sz w:val="18"/>
                <w:szCs w:val="18"/>
              </w:rPr>
              <w:t>ūtina pateikti b) dokumentaciją ir pagal pasirinkimą būtina pateikti</w:t>
            </w:r>
            <w:r w:rsidRPr="00721DC8">
              <w:rPr>
                <w:rFonts w:ascii="Trebuchet MS" w:hAnsi="Trebuchet MS" w:cs="Arial"/>
                <w:sz w:val="18"/>
                <w:szCs w:val="18"/>
                <w:lang w:val="en-US"/>
              </w:rPr>
              <w:t xml:space="preserve"> c) arba d) dokumentacij</w:t>
            </w:r>
            <w:r w:rsidR="001D686D" w:rsidRPr="00721DC8">
              <w:rPr>
                <w:rFonts w:ascii="Trebuchet MS" w:hAnsi="Trebuchet MS" w:cs="Arial"/>
                <w:sz w:val="18"/>
                <w:szCs w:val="18"/>
                <w:lang w:val="en-US"/>
              </w:rPr>
              <w:t>ą</w:t>
            </w:r>
            <w:r w:rsidR="00322844" w:rsidRPr="00721DC8">
              <w:rPr>
                <w:rFonts w:ascii="Trebuchet MS" w:hAnsi="Trebuchet MS" w:cs="Arial"/>
                <w:sz w:val="18"/>
                <w:szCs w:val="18"/>
                <w:lang w:val="en-US"/>
              </w:rPr>
              <w:t>/ The words “</w:t>
            </w:r>
            <w:r w:rsidR="00322844" w:rsidRPr="00721DC8">
              <w:rPr>
                <w:rFonts w:ascii="Trebuchet MS" w:hAnsi="Trebuchet MS" w:cs="Arial"/>
                <w:sz w:val="18"/>
                <w:szCs w:val="18"/>
              </w:rPr>
              <w:t>b) ir/and c) arba/or d)*“ means that</w:t>
            </w:r>
            <w:r w:rsidR="0070524F" w:rsidRPr="00721DC8">
              <w:rPr>
                <w:rFonts w:ascii="Trebuchet MS" w:hAnsi="Trebuchet MS" w:cs="Arial"/>
                <w:sz w:val="18"/>
                <w:szCs w:val="18"/>
              </w:rPr>
              <w:t xml:space="preserve"> the Contractor</w:t>
            </w:r>
            <w:r w:rsidR="00322844" w:rsidRPr="00721DC8">
              <w:rPr>
                <w:rFonts w:ascii="Trebuchet MS" w:hAnsi="Trebuchet MS" w:cs="Arial"/>
                <w:sz w:val="18"/>
                <w:szCs w:val="18"/>
              </w:rPr>
              <w:t xml:space="preserve"> must provide b) documentation and must provide</w:t>
            </w:r>
            <w:r w:rsidR="0070524F" w:rsidRPr="00721DC8">
              <w:rPr>
                <w:rFonts w:ascii="Trebuchet MS" w:hAnsi="Trebuchet MS" w:cs="Arial"/>
                <w:sz w:val="18"/>
                <w:szCs w:val="18"/>
              </w:rPr>
              <w:t xml:space="preserve"> either c) or d) documentation.</w:t>
            </w:r>
          </w:p>
        </w:tc>
      </w:tr>
    </w:tbl>
    <w:p w14:paraId="271E0849" w14:textId="2FDD7904" w:rsidR="000C3440" w:rsidRPr="00721DC8" w:rsidRDefault="000C3440">
      <w:pPr>
        <w:spacing w:after="160" w:line="259" w:lineRule="auto"/>
      </w:pPr>
    </w:p>
    <w:sectPr w:rsidR="000C3440" w:rsidRPr="00721DC8"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2795" w14:textId="77777777" w:rsidR="00674B75" w:rsidRDefault="00674B75" w:rsidP="009137D7">
      <w:r>
        <w:separator/>
      </w:r>
    </w:p>
  </w:endnote>
  <w:endnote w:type="continuationSeparator" w:id="0">
    <w:p w14:paraId="09C16C39" w14:textId="77777777" w:rsidR="00674B75" w:rsidRDefault="00674B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C73C" w14:textId="77777777" w:rsidR="00674B75" w:rsidRDefault="00674B75" w:rsidP="009137D7">
      <w:r>
        <w:separator/>
      </w:r>
    </w:p>
  </w:footnote>
  <w:footnote w:type="continuationSeparator" w:id="0">
    <w:p w14:paraId="156FE794" w14:textId="77777777" w:rsidR="00674B75" w:rsidRDefault="00674B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5056328">
    <w:abstractNumId w:val="11"/>
  </w:num>
  <w:num w:numId="2" w16cid:durableId="836650483">
    <w:abstractNumId w:val="5"/>
  </w:num>
  <w:num w:numId="3" w16cid:durableId="1399279531">
    <w:abstractNumId w:val="6"/>
  </w:num>
  <w:num w:numId="4" w16cid:durableId="1634942838">
    <w:abstractNumId w:val="18"/>
  </w:num>
  <w:num w:numId="5" w16cid:durableId="1975139631">
    <w:abstractNumId w:val="2"/>
  </w:num>
  <w:num w:numId="6" w16cid:durableId="156462554">
    <w:abstractNumId w:val="15"/>
  </w:num>
  <w:num w:numId="7" w16cid:durableId="751970257">
    <w:abstractNumId w:val="16"/>
  </w:num>
  <w:num w:numId="8" w16cid:durableId="70663910">
    <w:abstractNumId w:val="26"/>
  </w:num>
  <w:num w:numId="9" w16cid:durableId="1581133874">
    <w:abstractNumId w:val="28"/>
  </w:num>
  <w:num w:numId="10" w16cid:durableId="152258314">
    <w:abstractNumId w:val="9"/>
  </w:num>
  <w:num w:numId="11" w16cid:durableId="137261189">
    <w:abstractNumId w:val="29"/>
  </w:num>
  <w:num w:numId="12" w16cid:durableId="1975982292">
    <w:abstractNumId w:val="20"/>
  </w:num>
  <w:num w:numId="13" w16cid:durableId="572854613">
    <w:abstractNumId w:val="8"/>
  </w:num>
  <w:num w:numId="14" w16cid:durableId="1684089491">
    <w:abstractNumId w:val="14"/>
  </w:num>
  <w:num w:numId="15" w16cid:durableId="1635058908">
    <w:abstractNumId w:val="19"/>
  </w:num>
  <w:num w:numId="16" w16cid:durableId="2078284035">
    <w:abstractNumId w:val="22"/>
  </w:num>
  <w:num w:numId="17" w16cid:durableId="2036078428">
    <w:abstractNumId w:val="0"/>
  </w:num>
  <w:num w:numId="18" w16cid:durableId="1515682420">
    <w:abstractNumId w:val="32"/>
  </w:num>
  <w:num w:numId="19" w16cid:durableId="891429667">
    <w:abstractNumId w:val="25"/>
  </w:num>
  <w:num w:numId="20" w16cid:durableId="2109739545">
    <w:abstractNumId w:val="30"/>
  </w:num>
  <w:num w:numId="21" w16cid:durableId="962922811">
    <w:abstractNumId w:val="24"/>
  </w:num>
  <w:num w:numId="22" w16cid:durableId="1666126596">
    <w:abstractNumId w:val="1"/>
  </w:num>
  <w:num w:numId="23" w16cid:durableId="1017997636">
    <w:abstractNumId w:val="12"/>
  </w:num>
  <w:num w:numId="24" w16cid:durableId="1757357468">
    <w:abstractNumId w:val="13"/>
  </w:num>
  <w:num w:numId="25" w16cid:durableId="1712879294">
    <w:abstractNumId w:val="7"/>
  </w:num>
  <w:num w:numId="26" w16cid:durableId="1573155450">
    <w:abstractNumId w:val="31"/>
  </w:num>
  <w:num w:numId="27" w16cid:durableId="254292772">
    <w:abstractNumId w:val="23"/>
  </w:num>
  <w:num w:numId="28" w16cid:durableId="1155800937">
    <w:abstractNumId w:val="27"/>
  </w:num>
  <w:num w:numId="29" w16cid:durableId="1527133605">
    <w:abstractNumId w:val="21"/>
  </w:num>
  <w:num w:numId="30" w16cid:durableId="883099152">
    <w:abstractNumId w:val="17"/>
  </w:num>
  <w:num w:numId="31" w16cid:durableId="1740128176">
    <w:abstractNumId w:val="10"/>
  </w:num>
  <w:num w:numId="32" w16cid:durableId="1101486139">
    <w:abstractNumId w:val="3"/>
  </w:num>
  <w:num w:numId="33" w16cid:durableId="1032923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21791"/>
    <w:rsid w:val="001220FF"/>
    <w:rsid w:val="00130A9F"/>
    <w:rsid w:val="00132A54"/>
    <w:rsid w:val="0014082D"/>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21260"/>
    <w:rsid w:val="00225075"/>
    <w:rsid w:val="00233C35"/>
    <w:rsid w:val="002441B3"/>
    <w:rsid w:val="002549B4"/>
    <w:rsid w:val="002600BD"/>
    <w:rsid w:val="002639ED"/>
    <w:rsid w:val="00265EF6"/>
    <w:rsid w:val="00265F37"/>
    <w:rsid w:val="002668D3"/>
    <w:rsid w:val="00266CE9"/>
    <w:rsid w:val="00270E52"/>
    <w:rsid w:val="00271698"/>
    <w:rsid w:val="002804D9"/>
    <w:rsid w:val="00280639"/>
    <w:rsid w:val="002847AB"/>
    <w:rsid w:val="00284A79"/>
    <w:rsid w:val="002854BD"/>
    <w:rsid w:val="00293206"/>
    <w:rsid w:val="0029504F"/>
    <w:rsid w:val="00296E1F"/>
    <w:rsid w:val="002973FE"/>
    <w:rsid w:val="002A34A6"/>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5615"/>
    <w:rsid w:val="00440229"/>
    <w:rsid w:val="00447985"/>
    <w:rsid w:val="004565FC"/>
    <w:rsid w:val="0046255C"/>
    <w:rsid w:val="0046301B"/>
    <w:rsid w:val="004661C3"/>
    <w:rsid w:val="0048646B"/>
    <w:rsid w:val="00486C04"/>
    <w:rsid w:val="00490D52"/>
    <w:rsid w:val="00490E2A"/>
    <w:rsid w:val="00492FE8"/>
    <w:rsid w:val="004B3179"/>
    <w:rsid w:val="004B6570"/>
    <w:rsid w:val="004B6E88"/>
    <w:rsid w:val="004C1C3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B2D22"/>
    <w:rsid w:val="005B3E77"/>
    <w:rsid w:val="005C153F"/>
    <w:rsid w:val="005C53D6"/>
    <w:rsid w:val="005E0554"/>
    <w:rsid w:val="005E346D"/>
    <w:rsid w:val="005F374E"/>
    <w:rsid w:val="005F7A5D"/>
    <w:rsid w:val="00603DFC"/>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4B75"/>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3D26"/>
    <w:rsid w:val="007C2F47"/>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137A"/>
    <w:rsid w:val="00991880"/>
    <w:rsid w:val="00991F24"/>
    <w:rsid w:val="009923F8"/>
    <w:rsid w:val="009B69D4"/>
    <w:rsid w:val="009C256C"/>
    <w:rsid w:val="009C33EF"/>
    <w:rsid w:val="009C4797"/>
    <w:rsid w:val="009D3DEA"/>
    <w:rsid w:val="009D5396"/>
    <w:rsid w:val="009D6626"/>
    <w:rsid w:val="009E27E7"/>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D1648"/>
    <w:rsid w:val="00AD4945"/>
    <w:rsid w:val="00AD4CE4"/>
    <w:rsid w:val="00AE2918"/>
    <w:rsid w:val="00AF283F"/>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D1"/>
    <w:rsid w:val="00C91E27"/>
    <w:rsid w:val="00C926FA"/>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249"/>
    <w:rsid w:val="00D323CD"/>
    <w:rsid w:val="00D35215"/>
    <w:rsid w:val="00D35788"/>
    <w:rsid w:val="00D37847"/>
    <w:rsid w:val="00D5148A"/>
    <w:rsid w:val="00D539DF"/>
    <w:rsid w:val="00D55F1A"/>
    <w:rsid w:val="00D6497D"/>
    <w:rsid w:val="00D7346F"/>
    <w:rsid w:val="00D742C1"/>
    <w:rsid w:val="00D824A8"/>
    <w:rsid w:val="00D845C5"/>
    <w:rsid w:val="00D87B3F"/>
    <w:rsid w:val="00DA28A7"/>
    <w:rsid w:val="00DB2E5E"/>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C4302"/>
    <w:rsid w:val="00ED3397"/>
    <w:rsid w:val="00ED4493"/>
    <w:rsid w:val="00EE188C"/>
    <w:rsid w:val="00EF43EE"/>
    <w:rsid w:val="00F02DD4"/>
    <w:rsid w:val="00F03218"/>
    <w:rsid w:val="00F079D9"/>
    <w:rsid w:val="00F14ED4"/>
    <w:rsid w:val="00F17BF1"/>
    <w:rsid w:val="00F275BC"/>
    <w:rsid w:val="00F346B9"/>
    <w:rsid w:val="00F41977"/>
    <w:rsid w:val="00F43ACB"/>
    <w:rsid w:val="00F4648A"/>
    <w:rsid w:val="00F50D9C"/>
    <w:rsid w:val="00F5718B"/>
    <w:rsid w:val="00F62346"/>
    <w:rsid w:val="00F655CE"/>
    <w:rsid w:val="00F705B5"/>
    <w:rsid w:val="00F73587"/>
    <w:rsid w:val="00F761D0"/>
    <w:rsid w:val="00F849D6"/>
    <w:rsid w:val="00F91D1D"/>
    <w:rsid w:val="00F94C1D"/>
    <w:rsid w:val="00F953AE"/>
    <w:rsid w:val="00F9593F"/>
    <w:rsid w:val="00FA0CCD"/>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https://projektai.intranet.litgrid.eu/PWA/Leipalingio%20TP/_layouts/15/DocIdRedir.aspx?ID=PVIS-1689388691-79</Url>
      <Description>PVIS-1689388691-79</Description>
    </_dlc_DocIdUrl>
    <Nuoseklūs xmlns="58896280-883f-49e1-8f2c-86b01e3ff616">
      <UserInfo>
        <DisplayName/>
        <AccountId xsi:nil="true"/>
        <AccountType/>
      </UserInfo>
    </Nuoseklūs>
    <_dlc_DocId xmlns="58896280-883f-49e1-8f2c-86b01e3ff616">PVIS-1689388691-79</_dlc_DocId>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2C81C-51C8-487C-A3C7-228A551ECE4D}">
  <ds:schemaRefs>
    <ds:schemaRef ds:uri="http://schemas.microsoft.com/sharepoint/events"/>
  </ds:schemaRefs>
</ds:datastoreItem>
</file>

<file path=customXml/itemProps2.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3.xml><?xml version="1.0" encoding="utf-8"?>
<ds:datastoreItem xmlns:ds="http://schemas.openxmlformats.org/officeDocument/2006/customXml" ds:itemID="{80781566-BD01-49E6-A30B-D7B86E600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1FB0-03AF-4360-B8E1-3B3E2C3A76C9}">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3F83DAC3-5EE4-4988-99C7-C8D2985A3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Inga Stravinskienė</cp:lastModifiedBy>
  <cp:revision>49</cp:revision>
  <cp:lastPrinted>2019-11-13T13:11:00Z</cp:lastPrinted>
  <dcterms:created xsi:type="dcterms:W3CDTF">2020-04-23T05:51:00Z</dcterms:created>
  <dcterms:modified xsi:type="dcterms:W3CDTF">2023-10-25T13:48:00Z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0x01010066872F3CC8F7D84995438B893169A08002000D34AD284414DF46825D4ECD16061DCE</vt:lpwstr>
  </property>
  <property fmtid="{D5CDD505-2E9C-101B-9397-08002B2CF9AE}" pid="3" name="_dlc_DocIdItemGuid">
    <vt:lpwstr>d7c89456-85da-4147-97f7-deb5af446aac</vt:lpwstr>
  </property>
  <property fmtid="{D5CDD505-2E9C-101B-9397-08002B2CF9AE}" pid="4" name="MSIP_Label_7058e6ed-1f62-4b3b-a413-1541f2aa482f_Enabled">
    <vt:lpwstr>true</vt:lpwstr>
  </property>
  <property fmtid="{D5CDD505-2E9C-101B-9397-08002B2CF9AE}" pid="5" name="MSIP_Label_7058e6ed-1f62-4b3b-a413-1541f2aa482f_SetDate">
    <vt:lpwstr>2023-10-25T13:48:25Z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8340fc57-c020-4781-bc8e-3f5e4dfc243e</vt:lpwstr>
  </property>
  <property fmtid="{D5CDD505-2E9C-101B-9397-08002B2CF9AE}" pid="10" name="MSIP_Label_7058e6ed-1f62-4b3b-a413-1541f2aa482f_ContentBits">
    <vt:lpwstr>0</vt:lpwstr>
  </property>
</Properties>
</file>