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232A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https://projektai.intranet.litgrid.eu/PWA/Leipalingio%20TP/_layouts/15/DocIdRedir.aspx?ID=PVIS-1689388691-26</Url>
      <Description>PVIS-1689388691-26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PVIS-1689388691-26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2FF87-ABAA-462E-9E63-33A38A95FAD2}"/>
</file>

<file path=customXml/itemProps3.xml><?xml version="1.0" encoding="utf-8"?>
<ds:datastoreItem xmlns:ds="http://schemas.openxmlformats.org/officeDocument/2006/customXml" ds:itemID="{5165ED85-AA50-4275-9E9C-82F9AEC6810C}"/>
</file>

<file path=customXml/itemProps4.xml><?xml version="1.0" encoding="utf-8"?>
<ds:datastoreItem xmlns:ds="http://schemas.openxmlformats.org/officeDocument/2006/customXml" ds:itemID="{5E56D774-CF45-4BEA-AD10-A20C3A20ED48}"/>
</file>

<file path=customXml/itemProps5.xml><?xml version="1.0" encoding="utf-8"?>
<ds:datastoreItem xmlns:ds="http://schemas.openxmlformats.org/officeDocument/2006/customXml" ds:itemID="{D286C5B5-A3CD-4451-AE81-3F16B99E9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f9e1da8d-c56b-4d42-b1ec-a54ec16eae8b</vt:lpwstr>
  </property>
</Properties>
</file>