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2B1E" w14:textId="54FC8471" w:rsidR="00ED4102" w:rsidRDefault="00182038" w:rsidP="00ED4102">
      <w:pPr>
        <w:ind w:left="2880"/>
        <w:jc w:val="right"/>
        <w:rPr>
          <w:rFonts w:eastAsia="Times New Roman"/>
          <w:bCs/>
          <w:szCs w:val="24"/>
        </w:rPr>
      </w:pPr>
      <w:r>
        <w:rPr>
          <w:rFonts w:eastAsia="Times New Roman"/>
          <w:bCs/>
          <w:szCs w:val="24"/>
        </w:rPr>
        <w:t>7</w:t>
      </w:r>
      <w:r w:rsidR="00ED4102" w:rsidRPr="00EE36B1">
        <w:rPr>
          <w:rFonts w:eastAsia="Times New Roman"/>
          <w:bCs/>
          <w:szCs w:val="24"/>
        </w:rPr>
        <w:t xml:space="preserve"> priedas „Sutarties </w:t>
      </w:r>
      <w:r w:rsidR="00ED4102" w:rsidRPr="008338E5">
        <w:rPr>
          <w:rFonts w:eastAsia="Times New Roman"/>
          <w:bCs/>
          <w:szCs w:val="24"/>
        </w:rPr>
        <w:t>projektas“</w:t>
      </w:r>
    </w:p>
    <w:p w14:paraId="78A1D125" w14:textId="77777777" w:rsidR="00ED4102" w:rsidRDefault="00ED4102" w:rsidP="00ED4102">
      <w:pPr>
        <w:spacing w:after="0" w:line="240" w:lineRule="auto"/>
        <w:jc w:val="center"/>
        <w:rPr>
          <w:b/>
        </w:rPr>
      </w:pPr>
    </w:p>
    <w:p w14:paraId="72E181EF" w14:textId="77777777" w:rsidR="00ED4102" w:rsidRDefault="00ED4102" w:rsidP="00ED4102">
      <w:pPr>
        <w:spacing w:after="0" w:line="240" w:lineRule="auto"/>
        <w:jc w:val="center"/>
        <w:rPr>
          <w:b/>
        </w:rPr>
      </w:pPr>
      <w:r>
        <w:rPr>
          <w:noProof/>
        </w:rPr>
        <w:drawing>
          <wp:inline distT="0" distB="0" distL="0" distR="0" wp14:anchorId="6E14A1BA" wp14:editId="7671B4CB">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62155" name="Picture 1" descr="Blue text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6780887B" w14:textId="77777777" w:rsidR="00ED4102" w:rsidRDefault="00ED4102" w:rsidP="00ED4102">
      <w:pPr>
        <w:spacing w:after="0" w:line="240" w:lineRule="auto"/>
        <w:jc w:val="center"/>
        <w:rPr>
          <w:b/>
        </w:rPr>
      </w:pPr>
    </w:p>
    <w:p w14:paraId="504293A7" w14:textId="77777777" w:rsidR="00ED4102" w:rsidRPr="00E0037A" w:rsidRDefault="00ED4102" w:rsidP="00ED4102">
      <w:pPr>
        <w:spacing w:after="0" w:line="240" w:lineRule="auto"/>
        <w:jc w:val="center"/>
        <w:rPr>
          <w:b/>
        </w:rPr>
      </w:pPr>
      <w:r w:rsidRPr="0070135D">
        <w:rPr>
          <w:b/>
        </w:rPr>
        <w:t xml:space="preserve">LIETUVOS ZOOLOGIJOS SODO ŽALVARNIO PASTATO IR VOLJERŲ </w:t>
      </w:r>
      <w:r w:rsidRPr="00E0037A">
        <w:rPr>
          <w:b/>
        </w:rPr>
        <w:t>STATYBOS RANGOS SUTARTIS</w:t>
      </w:r>
    </w:p>
    <w:p w14:paraId="252741D0" w14:textId="604F8A7B" w:rsidR="00ED4102" w:rsidRDefault="00ED4102" w:rsidP="00ED4102">
      <w:pPr>
        <w:spacing w:after="0" w:line="240" w:lineRule="auto"/>
        <w:jc w:val="center"/>
        <w:rPr>
          <w:b/>
        </w:rPr>
      </w:pPr>
      <w:r>
        <w:rPr>
          <w:b/>
        </w:rPr>
        <w:t>BENDROSIOS</w:t>
      </w:r>
      <w:r w:rsidRPr="00E0037A">
        <w:rPr>
          <w:b/>
        </w:rPr>
        <w:t xml:space="preserve"> SĄLYGOS</w:t>
      </w: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9"/>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7EFEE12D" w14:textId="77777777" w:rsidR="00141E7F" w:rsidRDefault="00141E7F" w:rsidP="00EB5EEB">
      <w:pPr>
        <w:pStyle w:val="Antrat2"/>
        <w:widowControl w:val="0"/>
        <w:spacing w:line="259" w:lineRule="auto"/>
        <w:rPr>
          <w:color w:val="auto"/>
        </w:rPr>
      </w:pPr>
      <w:bookmarkStart w:id="1" w:name="_Toc141972214"/>
    </w:p>
    <w:p w14:paraId="00000080" w14:textId="151FC615" w:rsidR="00133358" w:rsidRPr="00E301A5" w:rsidRDefault="006B7EDE" w:rsidP="00EB5EEB">
      <w:pPr>
        <w:pStyle w:val="Antrat2"/>
        <w:widowControl w:val="0"/>
        <w:spacing w:line="259" w:lineRule="auto"/>
        <w:rPr>
          <w:color w:val="auto"/>
        </w:rPr>
      </w:pPr>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5ADC35B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w:t>
      </w:r>
      <w:r w:rsidR="00ED4102">
        <w:t>į.</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029CAC99" w:rsidR="00216BAE" w:rsidRPr="00ED4102" w:rsidRDefault="00216BAE" w:rsidP="00EB5EEB">
      <w:pPr>
        <w:widowControl w:val="0"/>
        <w:numPr>
          <w:ilvl w:val="2"/>
          <w:numId w:val="2"/>
        </w:numPr>
        <w:spacing w:before="96" w:after="96"/>
        <w:rPr>
          <w:color w:val="000000" w:themeColor="text1"/>
        </w:rPr>
      </w:pPr>
      <w:bookmarkStart w:id="3" w:name="_Ref140168732"/>
      <w:r w:rsidRPr="00ED4102">
        <w:rPr>
          <w:b/>
          <w:color w:val="000000" w:themeColor="text1"/>
        </w:rPr>
        <w:t>Pelnas</w:t>
      </w:r>
      <w:r w:rsidRPr="00ED4102">
        <w:rPr>
          <w:color w:val="000000" w:themeColor="text1"/>
        </w:rPr>
        <w:t xml:space="preserve"> –</w:t>
      </w:r>
      <w:r w:rsidR="001664BE" w:rsidRPr="00ED4102">
        <w:rPr>
          <w:color w:val="000000" w:themeColor="text1"/>
        </w:rPr>
        <w:t xml:space="preserve"> </w:t>
      </w:r>
      <w:r w:rsidR="00DB0704" w:rsidRPr="00ED4102">
        <w:rPr>
          <w:color w:val="000000" w:themeColor="text1"/>
        </w:rPr>
        <w:t xml:space="preserve">pelno </w:t>
      </w:r>
      <w:r w:rsidRPr="00ED4102">
        <w:rPr>
          <w:color w:val="000000" w:themeColor="text1"/>
        </w:rPr>
        <w:t>procentinis dydis, kuris skaičiuojamas nuo Išlaidų dydžio tais atvejais, kai Rangovas pagal Sutartį įgyja teisę į Pelno atlyginimą</w:t>
      </w:r>
      <w:r w:rsidR="001664BE" w:rsidRPr="00ED4102">
        <w:rPr>
          <w:color w:val="000000" w:themeColor="text1"/>
        </w:rPr>
        <w:t xml:space="preserve">, ir kuris įrašomas į Specialiąsias sąlygas toks, koks yra Rangovo pasiūlyme nurodytas pelno </w:t>
      </w:r>
      <w:r w:rsidR="00856EFD" w:rsidRPr="00ED4102">
        <w:rPr>
          <w:color w:val="000000" w:themeColor="text1"/>
        </w:rPr>
        <w:t xml:space="preserve">procentinis </w:t>
      </w:r>
      <w:r w:rsidR="001664BE" w:rsidRPr="00ED4102">
        <w:rPr>
          <w:color w:val="000000" w:themeColor="text1"/>
        </w:rPr>
        <w:t xml:space="preserve">dydis, o jeigu nenurodytas </w:t>
      </w:r>
      <w:r w:rsidR="001664BE" w:rsidRPr="00ED4102">
        <w:rPr>
          <w:color w:val="000000" w:themeColor="text1"/>
        </w:rPr>
        <w:softHyphen/>
        <w:t>– tuomet įrašomas 5 procentų dydis</w:t>
      </w:r>
      <w:bookmarkEnd w:id="3"/>
      <w:r w:rsidR="00ED4102">
        <w:rPr>
          <w:color w:val="000000" w:themeColor="text1"/>
        </w:rPr>
        <w:t xml:space="preserve"> (netaikoma);</w:t>
      </w:r>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w:t>
      </w:r>
      <w:r w:rsidRPr="00E301A5">
        <w:t>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w:t>
      </w:r>
      <w:r w:rsidRPr="00E301A5">
        <w:lastRenderedPageBreak/>
        <w:t xml:space="preserve">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w:t>
      </w:r>
      <w:r w:rsidRPr="00E301A5">
        <w:t xml:space="preserve">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7C4A0A3B" w:rsidR="00133358" w:rsidRPr="00E301A5" w:rsidRDefault="006B7EDE" w:rsidP="00EB5EEB">
      <w:pPr>
        <w:widowControl w:val="0"/>
        <w:numPr>
          <w:ilvl w:val="2"/>
          <w:numId w:val="2"/>
        </w:numPr>
        <w:spacing w:before="96" w:after="96"/>
      </w:pPr>
      <w:r w:rsidRPr="00E301A5">
        <w:rPr>
          <w:b/>
        </w:rPr>
        <w:t xml:space="preserve">Užsakovo užduotis </w:t>
      </w:r>
      <w:r w:rsidRPr="00E301A5">
        <w:t>– dokumentas, kuris vadinasi „Užsakovo užduotis“ arba “Techninė specifikacija”</w:t>
      </w:r>
      <w:r w:rsidR="007A4CDB">
        <w:t xml:space="preserve"> arba „Techninis darbo projektas“</w:t>
      </w:r>
      <w:r w:rsidRPr="00E301A5">
        <w:t xml:space="preserve">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 xml:space="preserve">Defektas reiškia Statybos produkto, Įrenginio arba </w:t>
      </w:r>
      <w:r w:rsidRPr="00E301A5">
        <w:lastRenderedPageBreak/>
        <w:t>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w:t>
      </w:r>
      <w:r w:rsidR="003F166D" w:rsidRPr="00E301A5">
        <w:t xml:space="preserve">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w:t>
      </w:r>
      <w:r w:rsidR="00DB6680" w:rsidRPr="00E301A5">
        <w:lastRenderedPageBreak/>
        <w:t xml:space="preserve">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w:t>
      </w:r>
      <w:r>
        <w:t xml:space="preserve">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lastRenderedPageBreak/>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w:t>
      </w:r>
      <w:r w:rsidRPr="00E301A5">
        <w:t xml:space="preserve">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w:t>
      </w:r>
      <w:r w:rsidRPr="00E301A5">
        <w:lastRenderedPageBreak/>
        <w:t xml:space="preserve">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17A31DB"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w:t>
      </w:r>
      <w:r w:rsidR="00D44048" w:rsidRPr="00ED4102" w:rsidDel="00AE31F6">
        <w:rPr>
          <w:color w:val="000000" w:themeColor="text1"/>
        </w:rPr>
        <w:t>už</w:t>
      </w:r>
      <w:r w:rsidR="00D44048" w:rsidRPr="008A7B79" w:rsidDel="00AE31F6">
        <w:rPr>
          <w:color w:val="FF0000"/>
        </w:rPr>
        <w:t xml:space="preserve"> </w:t>
      </w:r>
      <w:r w:rsidR="00D44048" w:rsidRPr="00E301A5" w:rsidDel="00AE31F6">
        <w:t xml:space="preserve">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 xml:space="preserve">dalyvautų diskusijose su Rangovo personalu projektavimo, projektinių sprendinių, jų klaidų, defektų taisymo, projektinių sprendinių įgyvendinimo </w:t>
      </w:r>
      <w:r w:rsidRPr="00E301A5">
        <w:t>klausimais, taip pat Darbų</w:t>
      </w:r>
      <w:r w:rsidR="00B46DA8" w:rsidRPr="00E301A5">
        <w:t xml:space="preserve"> ar Objekto</w:t>
      </w:r>
      <w:r w:rsidRPr="00E301A5">
        <w:t xml:space="preserve"> defektų šalinimo klausimais iki Garantinių terminų pabaigos.</w:t>
      </w:r>
    </w:p>
    <w:p w14:paraId="0000012C" w14:textId="56B84AC7"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8A7B79">
        <w:t>.</w:t>
      </w:r>
    </w:p>
    <w:p w14:paraId="20557F3B" w14:textId="77199998"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w:t>
      </w:r>
      <w:r w:rsidRPr="00E301A5">
        <w:lastRenderedPageBreak/>
        <w:t xml:space="preserve">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4D9210F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w:t>
      </w:r>
      <w:r w:rsidR="006B7EDE" w:rsidRPr="00E301A5">
        <w:t xml:space="preserve">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atlyginimą.</w:t>
      </w:r>
    </w:p>
    <w:p w14:paraId="0000014C" w14:textId="77A2988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w:t>
      </w:r>
      <w:r w:rsidR="006B7EDE" w:rsidRPr="00E301A5">
        <w:lastRenderedPageBreak/>
        <w:t>dokumentų, kurių ekspertizė turi būti atlikta, gavimo.</w:t>
      </w:r>
      <w:bookmarkEnd w:id="77"/>
      <w:r w:rsidR="006B7EDE" w:rsidRPr="00E301A5">
        <w:t xml:space="preserve"> </w:t>
      </w:r>
    </w:p>
    <w:bookmarkEnd w:id="78"/>
    <w:p w14:paraId="00000152" w14:textId="5969C7C6"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w:t>
      </w:r>
      <w:r w:rsidR="006B7EDE" w:rsidRPr="00E301A5" w:rsidDel="00AE31F6">
        <w:t xml:space="preserve">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atlyginimą.</w:t>
      </w:r>
    </w:p>
    <w:p w14:paraId="00000153" w14:textId="4A21EB11"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w:t>
      </w:r>
      <w:r w:rsidR="006B7EDE" w:rsidRPr="00E301A5">
        <w:lastRenderedPageBreak/>
        <w:t>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xml:space="preserve">. Tuo atveju, kai pagal Sutartį turi būti vykdomi mokymai ir (arba) atliekami bandymai, Rangovas privalo </w:t>
      </w:r>
      <w:r w:rsidRPr="00E301A5">
        <w:t>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7DBE99E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1422D7B6"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lastRenderedPageBreak/>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w:t>
      </w:r>
      <w:r w:rsidR="05B01AA9" w:rsidRPr="00B847E8">
        <w:t>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2C264C3D"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 xml:space="preserve">Užsakovas privalo išnagrinėti Rangovo pirmą kartą pateiktą Rangovo dokumentą, kitą nei Darbo projektas, kaip </w:t>
      </w:r>
      <w:r w:rsidRPr="00E301A5">
        <w:lastRenderedPageBreak/>
        <w:t>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59C8D079"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xml:space="preserve">,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w:t>
      </w:r>
      <w:r w:rsidRPr="00E301A5">
        <w:t>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w:t>
      </w:r>
      <w:r w:rsidR="006B7EDE" w:rsidRPr="00E301A5">
        <w:lastRenderedPageBreak/>
        <w:t>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02CC760A"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 xml:space="preserve">arbų vykdymui, ir juos prižiūrėti pagal Įstatymų, Užsakovo užduoties arba Statinio projekto reikalavimus, o </w:t>
      </w:r>
      <w:r w:rsidR="00E66F91" w:rsidRPr="00E301A5">
        <w:t>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w:t>
      </w:r>
      <w:r w:rsidR="00AE0083">
        <w:lastRenderedPageBreak/>
        <w:t>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969BCBF"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4B56E000"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ED4102">
        <w:t xml:space="preserve"> </w:t>
      </w:r>
      <w:r w:rsidR="006B7EDE" w:rsidRPr="00E301A5">
        <w:t xml:space="preserve">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w:t>
      </w:r>
      <w:r w:rsidR="006B7EDE" w:rsidRPr="00E301A5">
        <w:t>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4886836C"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ED4102">
        <w:t xml:space="preserve">. </w:t>
      </w:r>
      <w:r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w:t>
      </w:r>
      <w:r w:rsidRPr="00E301A5">
        <w:lastRenderedPageBreak/>
        <w:t xml:space="preserve">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BC8AE2C"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w:t>
      </w:r>
      <w:r w:rsidRPr="00E301A5">
        <w:t xml:space="preserve">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w:t>
      </w:r>
      <w:r w:rsidR="006B7EDE" w:rsidRPr="00E301A5">
        <w:lastRenderedPageBreak/>
        <w:t>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w:t>
      </w:r>
      <w:r w:rsidRPr="00E301A5">
        <w:t xml:space="preserve">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1CCE9671"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lastRenderedPageBreak/>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B9A21E8"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w:t>
      </w:r>
      <w:proofErr w:type="spellStart"/>
      <w:r w:rsidR="006B7EDE" w:rsidRPr="00E301A5">
        <w:t>tvarka</w:t>
      </w:r>
      <w:r w:rsidR="00ED4102">
        <w:t>.</w:t>
      </w:r>
      <w:r w:rsidR="006B7EDE" w:rsidRPr="00E301A5">
        <w:t>Tuo</w:t>
      </w:r>
      <w:proofErr w:type="spellEnd"/>
      <w:r w:rsidR="006B7EDE" w:rsidRPr="00E301A5">
        <w:t xml:space="preserve">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w:t>
      </w:r>
      <w:r w:rsidR="006B7EDE" w:rsidRPr="00E301A5">
        <w:t>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1313ABAF"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w:t>
      </w:r>
      <w:r w:rsidRPr="00E301A5">
        <w:t xml:space="preserve">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kuriuos Rangovas privalo pateikti Užsakovui pagal Sutartį </w:t>
      </w:r>
      <w:r w:rsidRPr="00E301A5">
        <w:lastRenderedPageBreak/>
        <w:t>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53A9A50D"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74AE095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neatitinka Sutarties ar Įstatymų reikalavimų, atlikti </w:t>
      </w:r>
      <w:r w:rsidR="006B7EDE" w:rsidRPr="00E301A5">
        <w:lastRenderedPageBreak/>
        <w:t>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2E2DB82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2AFF184C"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 xml:space="preserve">uri </w:t>
      </w:r>
      <w:r w:rsidR="00CE3021" w:rsidRPr="00B847E8">
        <w:rPr>
          <w:color w:val="auto"/>
          <w:u w:val="none"/>
        </w:rPr>
        <w:lastRenderedPageBreak/>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lastRenderedPageBreak/>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963E0D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w:t>
      </w:r>
      <w:r w:rsidR="006B7EDE" w:rsidRPr="00ED4102">
        <w:t xml:space="preserve">kurios suteikia Rangovui teisę į </w:t>
      </w:r>
      <w:r w:rsidR="001C0127" w:rsidRPr="00ED4102">
        <w:t xml:space="preserve">Darbų </w:t>
      </w:r>
      <w:r w:rsidR="006B7EDE" w:rsidRPr="00ED4102">
        <w:t>terminų pratęsimą</w:t>
      </w:r>
      <w:r w:rsidR="007673DA" w:rsidRPr="00ED4102">
        <w:t xml:space="preserve"> </w:t>
      </w:r>
      <w:r w:rsidR="007673DA" w:rsidRPr="00ED4102">
        <w:rPr>
          <w:color w:val="000000" w:themeColor="text1"/>
        </w:rPr>
        <w:t>tik įvertinus vėlavimo ir naujų darbų termin</w:t>
      </w:r>
      <w:r w:rsidR="00ED4102" w:rsidRPr="00ED4102">
        <w:rPr>
          <w:color w:val="000000" w:themeColor="text1"/>
        </w:rPr>
        <w:t>ų</w:t>
      </w:r>
      <w:r w:rsidR="007673DA" w:rsidRPr="00ED4102">
        <w:rPr>
          <w:color w:val="000000" w:themeColor="text1"/>
        </w:rPr>
        <w:t xml:space="preserve"> skirtumą</w:t>
      </w:r>
      <w:r w:rsidR="006B7EDE" w:rsidRPr="00ED4102">
        <w:t xml:space="preserve"> </w:t>
      </w:r>
      <w:r w:rsidR="00025DFE" w:rsidRPr="00ED4102">
        <w:rPr>
          <w:iCs/>
        </w:rPr>
        <w:t>arba</w:t>
      </w:r>
      <w:r w:rsidR="00025DFE">
        <w:rPr>
          <w:iCs/>
        </w:rPr>
        <w:t xml:space="preserve">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57B46EB1"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w:t>
      </w:r>
      <w:r w:rsidRPr="00E301A5">
        <w:t xml:space="preserve">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4007620E"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lastRenderedPageBreak/>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3365743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arbų apsaugojimo ar konservavimo Išlaidos, darbininkų ir Priemonių prastovų Išlaidos, statybvietės Išlaidos, Sutarties įvykdymo užtikrinimo, avanso grąžinimo užtikrinimo ir draudimo sutarčių terminų pratęsimo Išlaidos ir kitos Išlaidų rūšys)</w:t>
      </w:r>
      <w:r w:rsidR="00ED4102">
        <w:t>.</w:t>
      </w:r>
      <w:r w:rsidRPr="00E301A5">
        <w:t xml:space="preserve">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w:t>
      </w:r>
      <w:r w:rsidRPr="00E301A5">
        <w:t xml:space="preserve">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7CC787C0"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w:t>
      </w:r>
      <w:r w:rsidR="0060545C" w:rsidRPr="00E301A5">
        <w:t xml:space="preserve">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xml:space="preserve">) pagal Sutarties sąlygas, ir (ii) </w:t>
      </w:r>
      <w:r w:rsidRPr="00B847E8">
        <w:rPr>
          <w:color w:val="auto"/>
          <w:u w:val="none"/>
        </w:rPr>
        <w:lastRenderedPageBreak/>
        <w:t>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w:t>
      </w:r>
      <w:r w:rsidR="00B72C2F" w:rsidRPr="00E301A5">
        <w:rPr>
          <w:color w:val="auto"/>
          <w:u w:val="none"/>
        </w:rPr>
        <w:t xml:space="preserve">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lastRenderedPageBreak/>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w:t>
      </w:r>
      <w:r w:rsidR="006B7EDE" w:rsidRPr="00E301A5">
        <w:t>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w:t>
      </w:r>
      <w:r w:rsidR="006B7EDE" w:rsidRPr="00E301A5">
        <w:lastRenderedPageBreak/>
        <w:t>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w:t>
      </w:r>
      <w:r w:rsidRPr="00E301A5">
        <w:t xml:space="preserve">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 xml:space="preserve">ir </w:t>
      </w:r>
      <w:r w:rsidR="00C77B8C">
        <w:lastRenderedPageBreak/>
        <w:t>(</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 xml:space="preserve">jis pridedamas prie </w:t>
      </w:r>
      <w:r w:rsidRPr="00E301A5">
        <w:lastRenderedPageBreak/>
        <w:t>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proofErr w:type="spellStart"/>
      <w:r w:rsidRPr="00E301A5">
        <w:t>IPr</w:t>
      </w:r>
      <w:bookmarkEnd w:id="366"/>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proofErr w:type="spellStart"/>
      <w:r w:rsidRPr="00E301A5">
        <w:t>IPb</w:t>
      </w:r>
      <w:bookmarkEnd w:id="367"/>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w:t>
      </w:r>
      <w:r w:rsidR="006B7EDE" w:rsidRPr="004D7540">
        <w:lastRenderedPageBreak/>
        <w:t xml:space="preserve">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w:t>
      </w:r>
      <w:r w:rsidR="006B7EDE" w:rsidRPr="00E301A5">
        <w:t xml:space="preserve">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lastRenderedPageBreak/>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4FDCD79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w:t>
      </w:r>
      <w:r w:rsidR="007673DA" w:rsidRPr="00ED4102">
        <w:rPr>
          <w:color w:val="000000" w:themeColor="text1"/>
        </w:rPr>
        <w:t xml:space="preserve">papildomų darbų </w:t>
      </w:r>
      <w:r w:rsidRPr="00E301A5">
        <w:t xml:space="preserve">Rangovo </w:t>
      </w:r>
      <w:r w:rsidRPr="00E301A5">
        <w:t>Išlaidas ir Užsakovo prievolę kompensuoti tokias Rangovo patirtas Išlaidas, jas įtraukiant į Pažymas apie atliktų darbų vertę ir apmokant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lastRenderedPageBreak/>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w:t>
      </w:r>
      <w:r w:rsidR="000E702F" w:rsidRPr="00E301A5">
        <w:t xml:space="preserve">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7CDE03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944267">
        <w:t>SABIS</w:t>
      </w:r>
      <w:r w:rsidRPr="00E301A5">
        <w:t>”)</w:t>
      </w:r>
      <w:r w:rsidR="00944267">
        <w:t>.</w:t>
      </w:r>
    </w:p>
    <w:p w14:paraId="0000034A" w14:textId="3F5CAE08"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944267">
        <w:t>SABIS</w:t>
      </w:r>
      <w:r w:rsidRPr="00E301A5">
        <w:t>“ priemonėmis</w:t>
      </w:r>
      <w:r w:rsidR="00944267">
        <w:t>.</w:t>
      </w:r>
    </w:p>
    <w:p w14:paraId="0000034B" w14:textId="5DA9FB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sistemos </w:t>
      </w:r>
      <w:r w:rsidR="00944267">
        <w:t>„SABIS</w:t>
      </w:r>
      <w:r w:rsidRPr="00E301A5">
        <w:t>“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w:t>
      </w:r>
      <w:r w:rsidR="006B7EDE" w:rsidRPr="00E301A5">
        <w:lastRenderedPageBreak/>
        <w:t>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w:t>
      </w:r>
      <w:r w:rsidRPr="00E301A5">
        <w:t>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lastRenderedPageBreak/>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w:t>
      </w:r>
      <w:r w:rsidRPr="00E301A5">
        <w:lastRenderedPageBreak/>
        <w:t xml:space="preserve">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w:t>
      </w:r>
      <w:r w:rsidRPr="00E301A5">
        <w:t>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w:t>
      </w:r>
      <w:r w:rsidRPr="00E301A5">
        <w:lastRenderedPageBreak/>
        <w:t xml:space="preserve">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w:t>
      </w:r>
      <w:r w:rsidR="00281AAE">
        <w:t xml:space="preserve">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w:t>
      </w:r>
      <w:r w:rsidR="00E4230D" w:rsidRPr="00E301A5">
        <w:lastRenderedPageBreak/>
        <w:t xml:space="preserve">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75BE3A73"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Tuo atveju, kai Rangovas pagal Sutarties sąlygas inicijuoja sudarymą Susitarimo</w:t>
      </w:r>
      <w:r w:rsidR="007673DA">
        <w:t xml:space="preserve"> </w:t>
      </w:r>
      <w:r w:rsidR="007673DA" w:rsidRPr="00ED4102">
        <w:rPr>
          <w:color w:val="000000" w:themeColor="text1"/>
        </w:rPr>
        <w:t>pateikdamas išsamų savo reikalavimų pagrindimą</w:t>
      </w:r>
      <w:r w:rsidRPr="00E301A5">
        <w:t xml:space="preserve">,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007673DA" w:rsidRPr="00ED4102">
        <w:rPr>
          <w:rFonts w:ascii="Calibri" w:eastAsia="Times New Roman" w:hAnsi="Calibri" w:cs="Calibri"/>
          <w:i/>
          <w:iCs/>
          <w:color w:val="000000" w:themeColor="text1"/>
          <w:sz w:val="24"/>
          <w:szCs w:val="24"/>
        </w:rPr>
        <w:t xml:space="preserve"> </w:t>
      </w:r>
      <w:r w:rsidR="007673DA" w:rsidRPr="00ED4102">
        <w:rPr>
          <w:color w:val="000000" w:themeColor="text1"/>
        </w:rPr>
        <w:t>ir atlikus mediaciją ginčui spręsti</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turi teisę vienašališkai ne teismo tvarka nutraukti Sutartį, jeigu Rangovas (bet kuris Rangovo </w:t>
      </w:r>
      <w:r w:rsidRPr="00E301A5">
        <w:t>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padaro kitą Sutarties pažeidimą, kuris atitinka esminio Sutarties pažeidimo požymius, nurodytus Lietuvos Respublikos civiliniame kodekse, ir, gavęs Užsakovo pretenziją, neištaiso pažeidimo;</w:t>
      </w:r>
      <w:bookmarkEnd w:id="503"/>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w:t>
      </w:r>
      <w:r w:rsidRPr="00E301A5">
        <w:lastRenderedPageBreak/>
        <w:t xml:space="preserve">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 xml:space="preserve">punkte nurodytos aplinkybės yra susijusios tik su atskira Dalimi arba atskiru Susitarimu, Rangovas turi teisę nutraukti Sutartį tik tos Dalies atžvilgiu arba nutraukti tik tokį </w:t>
      </w:r>
      <w:r w:rsidR="006B7EDE" w:rsidRPr="00E301A5">
        <w:t>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w:t>
      </w:r>
      <w:r w:rsidR="006A55BB" w:rsidRPr="00E301A5">
        <w:lastRenderedPageBreak/>
        <w:t xml:space="preserve">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w:t>
      </w:r>
      <w:r w:rsidRPr="00E301A5">
        <w:t>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w:t>
      </w:r>
      <w:r w:rsidRPr="00E301A5">
        <w:lastRenderedPageBreak/>
        <w:t>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3"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3"/>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8D9F" w14:textId="77777777" w:rsidR="00954AA4" w:rsidRDefault="00954AA4">
      <w:pPr>
        <w:spacing w:after="0" w:line="240" w:lineRule="auto"/>
      </w:pPr>
      <w:r>
        <w:separator/>
      </w:r>
    </w:p>
    <w:p w14:paraId="4CC7BFB6" w14:textId="77777777" w:rsidR="00954AA4" w:rsidRDefault="00954AA4"/>
    <w:p w14:paraId="261296BE" w14:textId="77777777" w:rsidR="00954AA4" w:rsidRDefault="00954AA4" w:rsidP="00360124"/>
  </w:endnote>
  <w:endnote w:type="continuationSeparator" w:id="0">
    <w:p w14:paraId="1EE6EBAC" w14:textId="77777777" w:rsidR="00954AA4" w:rsidRDefault="00954AA4">
      <w:pPr>
        <w:spacing w:after="0" w:line="240" w:lineRule="auto"/>
      </w:pPr>
      <w:r>
        <w:continuationSeparator/>
      </w:r>
    </w:p>
    <w:p w14:paraId="1BEBE45A" w14:textId="77777777" w:rsidR="00954AA4" w:rsidRDefault="00954AA4"/>
    <w:p w14:paraId="43A41362" w14:textId="77777777" w:rsidR="00954AA4" w:rsidRDefault="00954AA4" w:rsidP="00360124"/>
  </w:endnote>
  <w:endnote w:type="continuationNotice" w:id="1">
    <w:p w14:paraId="735A4739" w14:textId="77777777" w:rsidR="00954AA4" w:rsidRDefault="00954AA4">
      <w:pPr>
        <w:spacing w:after="0" w:line="240" w:lineRule="auto"/>
      </w:pPr>
    </w:p>
    <w:p w14:paraId="696B499E" w14:textId="77777777" w:rsidR="00954AA4" w:rsidRDefault="00954AA4"/>
    <w:p w14:paraId="53F4329A" w14:textId="77777777" w:rsidR="00954AA4" w:rsidRDefault="00954AA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4C23" w14:textId="77777777" w:rsidR="00954AA4" w:rsidRDefault="00954AA4">
      <w:pPr>
        <w:spacing w:after="0" w:line="240" w:lineRule="auto"/>
      </w:pPr>
      <w:r>
        <w:separator/>
      </w:r>
    </w:p>
    <w:p w14:paraId="4B45AF89" w14:textId="77777777" w:rsidR="00954AA4" w:rsidRDefault="00954AA4"/>
    <w:p w14:paraId="4B6BE5EC" w14:textId="77777777" w:rsidR="00954AA4" w:rsidRDefault="00954AA4" w:rsidP="00360124"/>
  </w:footnote>
  <w:footnote w:type="continuationSeparator" w:id="0">
    <w:p w14:paraId="5FA9B4C9" w14:textId="77777777" w:rsidR="00954AA4" w:rsidRDefault="00954AA4">
      <w:pPr>
        <w:spacing w:after="0" w:line="240" w:lineRule="auto"/>
      </w:pPr>
      <w:r>
        <w:continuationSeparator/>
      </w:r>
    </w:p>
    <w:p w14:paraId="0C897AE9" w14:textId="77777777" w:rsidR="00954AA4" w:rsidRDefault="00954AA4"/>
    <w:p w14:paraId="113CE1BD" w14:textId="77777777" w:rsidR="00954AA4" w:rsidRDefault="00954AA4" w:rsidP="00360124"/>
  </w:footnote>
  <w:footnote w:type="continuationNotice" w:id="1">
    <w:p w14:paraId="69458D34" w14:textId="77777777" w:rsidR="00954AA4" w:rsidRDefault="00954AA4">
      <w:pPr>
        <w:spacing w:after="0" w:line="240" w:lineRule="auto"/>
      </w:pPr>
    </w:p>
    <w:p w14:paraId="2C46FD47" w14:textId="77777777" w:rsidR="00954AA4" w:rsidRDefault="00954AA4"/>
    <w:p w14:paraId="3A6F4A29" w14:textId="77777777" w:rsidR="00954AA4" w:rsidRDefault="00954AA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66C"/>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9AF"/>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E7F"/>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038"/>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8BE"/>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7E3"/>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703"/>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9F4"/>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4EF1"/>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6D30"/>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3DA"/>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4B11"/>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4CDB"/>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599"/>
    <w:rsid w:val="008A6D09"/>
    <w:rsid w:val="008A7139"/>
    <w:rsid w:val="008A7B7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267"/>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4AA4"/>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7AB"/>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17C6E"/>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309D"/>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4EA"/>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102"/>
    <w:rsid w:val="00ED4C32"/>
    <w:rsid w:val="00ED4C41"/>
    <w:rsid w:val="00ED510C"/>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A05"/>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09FC"/>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185390</Words>
  <Characters>105673</Characters>
  <Application>Microsoft Office Word</Application>
  <DocSecurity>0</DocSecurity>
  <Lines>880</Lines>
  <Paragraphs>580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Aurimas Baigys</cp:lastModifiedBy>
  <cp:revision>5</cp:revision>
  <cp:lastPrinted>2021-12-16T20:35:00Z</cp:lastPrinted>
  <dcterms:created xsi:type="dcterms:W3CDTF">2025-04-04T08:28:00Z</dcterms:created>
  <dcterms:modified xsi:type="dcterms:W3CDTF">2025-09-23T12:32:00Z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