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rekonstravimas/_layouts/15/DocIdRedir.aspx?ID=PVIS-404251543-199</Url>
      <Description>PVIS-404251543-199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PVIS-404251543-199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75F912-6A49-4821-BB58-8C29F0E4B6D9}"/>
</file>

<file path=customXml/itemProps3.xml><?xml version="1.0" encoding="utf-8"?>
<ds:datastoreItem xmlns:ds="http://schemas.openxmlformats.org/officeDocument/2006/customXml" ds:itemID="{06A9A1B1-4E83-49E3-9FD2-33E35E64AE8A}"/>
</file>

<file path=customXml/itemProps4.xml><?xml version="1.0" encoding="utf-8"?>
<ds:datastoreItem xmlns:ds="http://schemas.openxmlformats.org/officeDocument/2006/customXml" ds:itemID="{E6AD7C74-E086-4B71-988E-C473AB214510}"/>
</file>

<file path=customXml/itemProps5.xml><?xml version="1.0" encoding="utf-8"?>
<ds:datastoreItem xmlns:ds="http://schemas.openxmlformats.org/officeDocument/2006/customXml" ds:itemID="{7C2F697F-E0AB-4E93-8F6E-CC0FDD63E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0x01010066872F3CC8F7D84995438B893169A080020086F3AC6206BEAE4F9799B690E2C936D7</vt:lpwstr>
  </property>
  <property fmtid="{D5CDD505-2E9C-101B-9397-08002B2CF9AE}" pid="11" name="_dlc_DocIdItemGuid">
    <vt:lpwstr>2089b7dd-c36b-4f2e-897e-9f05a4e6a6ae</vt:lpwstr>
  </property>
</Properties>
</file>