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FC93A" w14:textId="77777777" w:rsidR="009F56AA" w:rsidRDefault="009F56AA">
      <w:pPr>
        <w:shd w:val="clear" w:color="auto" w:fill="FFFFFF"/>
        <w:suppressAutoHyphens/>
        <w:jc w:val="center"/>
        <w:rPr>
          <w:b/>
          <w:sz w:val="20"/>
        </w:rPr>
      </w:pPr>
    </w:p>
    <w:p w14:paraId="3F6F10E8" w14:textId="77777777" w:rsidR="002F162F" w:rsidRDefault="002F162F">
      <w:pPr>
        <w:shd w:val="clear" w:color="auto" w:fill="FFFFFF"/>
        <w:suppressAutoHyphens/>
        <w:jc w:val="center"/>
        <w:rPr>
          <w:b/>
          <w:sz w:val="20"/>
        </w:rPr>
      </w:pPr>
    </w:p>
    <w:p w14:paraId="2365A3F0" w14:textId="0C1F409C" w:rsidR="009F56AA" w:rsidRPr="002F162F" w:rsidRDefault="00AD2288" w:rsidP="00E3103E">
      <w:pPr>
        <w:widowControl w:val="0"/>
        <w:tabs>
          <w:tab w:val="right" w:leader="underscore" w:pos="10348"/>
        </w:tabs>
        <w:suppressAutoHyphens/>
        <w:textAlignment w:val="baseline"/>
      </w:pPr>
      <w:r w:rsidRPr="002F162F">
        <w:rPr>
          <w:rFonts w:eastAsia="Calibri"/>
        </w:rPr>
        <w:tab/>
      </w:r>
    </w:p>
    <w:p w14:paraId="0D4EF632" w14:textId="77777777" w:rsidR="009F56AA" w:rsidRDefault="00AD2288" w:rsidP="00E3103E">
      <w:pPr>
        <w:shd w:val="clear" w:color="auto" w:fill="FFFFFF"/>
        <w:tabs>
          <w:tab w:val="right" w:leader="underscore" w:pos="10348"/>
        </w:tabs>
        <w:suppressAutoHyphens/>
        <w:jc w:val="center"/>
        <w:rPr>
          <w:sz w:val="20"/>
        </w:rPr>
      </w:pPr>
      <w:r>
        <w:rPr>
          <w:sz w:val="20"/>
        </w:rPr>
        <w:t>(</w:t>
      </w:r>
      <w:r>
        <w:rPr>
          <w:i/>
          <w:iCs/>
          <w:sz w:val="20"/>
        </w:rPr>
        <w:t>tiekėjo pavadinimas</w:t>
      </w:r>
      <w:r>
        <w:rPr>
          <w:sz w:val="20"/>
        </w:rPr>
        <w:t>)</w:t>
      </w:r>
    </w:p>
    <w:p w14:paraId="7BF861F0" w14:textId="77777777" w:rsidR="003C062B" w:rsidRDefault="003C062B" w:rsidP="003C062B">
      <w:pPr>
        <w:widowControl w:val="0"/>
        <w:tabs>
          <w:tab w:val="right" w:leader="underscore" w:pos="10348"/>
        </w:tabs>
        <w:suppressAutoHyphens/>
        <w:jc w:val="center"/>
        <w:textAlignment w:val="baseline"/>
        <w:rPr>
          <w:rFonts w:eastAsia="Calibri"/>
        </w:rPr>
      </w:pPr>
    </w:p>
    <w:p w14:paraId="2947A4FF" w14:textId="109695AA" w:rsidR="009F56AA" w:rsidRPr="003C062B" w:rsidRDefault="003C062B" w:rsidP="003C062B">
      <w:pPr>
        <w:widowControl w:val="0"/>
        <w:tabs>
          <w:tab w:val="right" w:leader="underscore" w:pos="10348"/>
        </w:tabs>
        <w:suppressAutoHyphens/>
        <w:jc w:val="center"/>
        <w:textAlignment w:val="baseline"/>
        <w:rPr>
          <w:rFonts w:eastAsia="Calibri"/>
          <w:u w:val="single"/>
        </w:rPr>
      </w:pPr>
      <w:r w:rsidRPr="003C062B">
        <w:rPr>
          <w:rFonts w:eastAsia="Calibri"/>
          <w:u w:val="single"/>
        </w:rPr>
        <w:t>VšĮ CPO LT</w:t>
      </w:r>
    </w:p>
    <w:p w14:paraId="3C919365" w14:textId="2D0F9E5B" w:rsidR="009F56AA" w:rsidRDefault="00AD2288" w:rsidP="00E3103E">
      <w:pPr>
        <w:tabs>
          <w:tab w:val="right" w:leader="underscore" w:pos="10348"/>
        </w:tabs>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7A25011F" w14:textId="5D6E701E" w:rsidR="00DB6D40" w:rsidRDefault="00DB6D40">
      <w:pPr>
        <w:widowControl w:val="0"/>
        <w:tabs>
          <w:tab w:val="right" w:leader="underscore" w:pos="9071"/>
        </w:tabs>
        <w:suppressAutoHyphens/>
        <w:jc w:val="center"/>
        <w:textAlignment w:val="baseline"/>
        <w:rPr>
          <w:rFonts w:eastAsia="Calibri"/>
          <w:b/>
          <w:bCs/>
        </w:rPr>
      </w:pPr>
    </w:p>
    <w:p w14:paraId="777631A2" w14:textId="77777777" w:rsidR="00791E0A" w:rsidRDefault="00791E0A" w:rsidP="00791E0A">
      <w:pPr>
        <w:widowControl w:val="0"/>
        <w:tabs>
          <w:tab w:val="right" w:leader="underscore" w:pos="9071"/>
        </w:tabs>
        <w:suppressAutoHyphens/>
        <w:jc w:val="center"/>
        <w:textAlignment w:val="baseline"/>
      </w:pPr>
      <w:r w:rsidRPr="00D41E9D">
        <w:rPr>
          <w:rFonts w:eastAsia="Calibri"/>
          <w:b/>
          <w:bCs/>
        </w:rPr>
        <w:t xml:space="preserve">VPĮ 45 str. 2¹ d. </w:t>
      </w:r>
      <w:r>
        <w:rPr>
          <w:rFonts w:eastAsia="Calibri"/>
          <w:b/>
          <w:bCs/>
        </w:rPr>
        <w:t>REIKALAVIMŲ ATITIKTIES DEKLARACIJA</w:t>
      </w:r>
    </w:p>
    <w:p w14:paraId="0C5AFCD4" w14:textId="77777777" w:rsidR="00791E0A" w:rsidRDefault="00791E0A" w:rsidP="00791E0A">
      <w:pPr>
        <w:widowControl w:val="0"/>
        <w:tabs>
          <w:tab w:val="right" w:leader="underscore" w:pos="9071"/>
        </w:tabs>
        <w:suppressAutoHyphens/>
        <w:jc w:val="center"/>
        <w:textAlignment w:val="baseline"/>
        <w:rPr>
          <w:rFonts w:eastAsia="Calibri"/>
          <w:b/>
          <w:bCs/>
        </w:rPr>
      </w:pPr>
    </w:p>
    <w:p w14:paraId="19A216ED" w14:textId="77777777" w:rsidR="00791E0A" w:rsidRDefault="00791E0A" w:rsidP="00791E0A">
      <w:pPr>
        <w:widowControl w:val="0"/>
        <w:tabs>
          <w:tab w:val="right" w:leader="underscore" w:pos="9071"/>
        </w:tabs>
        <w:suppressAutoHyphens/>
        <w:jc w:val="center"/>
        <w:textAlignment w:val="baseline"/>
        <w:rPr>
          <w:rFonts w:eastAsia="Calibri"/>
        </w:rPr>
      </w:pPr>
      <w:r>
        <w:rPr>
          <w:rFonts w:eastAsia="Calibri"/>
        </w:rPr>
        <w:t>20__ m._____________ d. Nr. ______</w:t>
      </w:r>
    </w:p>
    <w:p w14:paraId="7A5647A1" w14:textId="77777777" w:rsidR="00791E0A" w:rsidRDefault="00791E0A" w:rsidP="00791E0A">
      <w:pPr>
        <w:widowControl w:val="0"/>
        <w:tabs>
          <w:tab w:val="right" w:leader="underscore" w:pos="9071"/>
        </w:tabs>
        <w:suppressAutoHyphens/>
        <w:jc w:val="center"/>
        <w:textAlignment w:val="baseline"/>
        <w:rPr>
          <w:rFonts w:eastAsia="Calibri"/>
        </w:rPr>
      </w:pPr>
      <w:r>
        <w:rPr>
          <w:rFonts w:eastAsia="Calibri"/>
        </w:rPr>
        <w:t>__________________________</w:t>
      </w:r>
    </w:p>
    <w:p w14:paraId="5B06DAE8" w14:textId="12C84030" w:rsidR="00791E0A" w:rsidRDefault="00791E0A" w:rsidP="00791E0A">
      <w:pPr>
        <w:widowControl w:val="0"/>
        <w:tabs>
          <w:tab w:val="right" w:leader="underscore" w:pos="9071"/>
        </w:tabs>
        <w:suppressAutoHyphens/>
        <w:jc w:val="center"/>
        <w:textAlignment w:val="baseline"/>
      </w:pPr>
      <w:r>
        <w:rPr>
          <w:rFonts w:eastAsia="Calibri"/>
          <w:i/>
          <w:iCs/>
          <w:sz w:val="20"/>
        </w:rPr>
        <w:t>(</w:t>
      </w:r>
      <w:r w:rsidR="00982C56">
        <w:rPr>
          <w:rFonts w:eastAsia="Calibri"/>
          <w:i/>
          <w:iCs/>
          <w:sz w:val="20"/>
        </w:rPr>
        <w:t>s</w:t>
      </w:r>
      <w:r>
        <w:rPr>
          <w:rFonts w:eastAsia="Calibri"/>
          <w:i/>
          <w:iCs/>
          <w:sz w:val="20"/>
        </w:rPr>
        <w:t>udarymo vieta)</w:t>
      </w:r>
    </w:p>
    <w:p w14:paraId="362355D7" w14:textId="77777777" w:rsidR="00DF5AEA" w:rsidRDefault="00DF5AEA" w:rsidP="00791E0A">
      <w:pPr>
        <w:ind w:firstLine="567"/>
        <w:jc w:val="both"/>
        <w:rPr>
          <w:color w:val="000000"/>
          <w:szCs w:val="24"/>
        </w:rPr>
      </w:pPr>
    </w:p>
    <w:p w14:paraId="2D86A03C" w14:textId="77777777" w:rsidR="00DF5AEA" w:rsidRDefault="00DF5AEA" w:rsidP="00791E0A">
      <w:pPr>
        <w:ind w:firstLine="567"/>
        <w:jc w:val="both"/>
        <w:rPr>
          <w:color w:val="000000"/>
          <w:szCs w:val="24"/>
        </w:rPr>
      </w:pPr>
    </w:p>
    <w:p w14:paraId="3108D405" w14:textId="04A0F293" w:rsidR="00791E0A" w:rsidRPr="002F162F" w:rsidRDefault="00791E0A" w:rsidP="00791E0A">
      <w:pPr>
        <w:ind w:firstLine="567"/>
        <w:jc w:val="both"/>
        <w:rPr>
          <w:color w:val="000000"/>
          <w:szCs w:val="24"/>
        </w:rPr>
      </w:pPr>
      <w:r>
        <w:rPr>
          <w:color w:val="000000"/>
          <w:szCs w:val="24"/>
        </w:rPr>
        <w:t xml:space="preserve">Aš, </w:t>
      </w:r>
      <w:r w:rsidRPr="002F162F">
        <w:rPr>
          <w:color w:val="000000"/>
          <w:szCs w:val="24"/>
        </w:rPr>
        <w:t>___________________________________________________________________ ,</w:t>
      </w:r>
    </w:p>
    <w:p w14:paraId="3ABA8036" w14:textId="77777777" w:rsidR="00791E0A" w:rsidRDefault="00791E0A" w:rsidP="00791E0A">
      <w:pPr>
        <w:ind w:left="960" w:firstLine="318"/>
        <w:jc w:val="both"/>
        <w:rPr>
          <w:color w:val="000000"/>
          <w:sz w:val="20"/>
        </w:rPr>
      </w:pPr>
      <w:r>
        <w:rPr>
          <w:i/>
          <w:iCs/>
          <w:color w:val="000000"/>
          <w:sz w:val="20"/>
        </w:rPr>
        <w:t>(tiekėjo vadovo ar jo įgalioto asmens pareigų pavadinimas, vardas ir pavardė)</w:t>
      </w:r>
    </w:p>
    <w:p w14:paraId="1FD55A88" w14:textId="77777777" w:rsidR="00791E0A" w:rsidRDefault="00791E0A" w:rsidP="00791E0A">
      <w:pPr>
        <w:jc w:val="both"/>
        <w:rPr>
          <w:color w:val="000000"/>
          <w:szCs w:val="24"/>
        </w:rPr>
      </w:pPr>
      <w:r>
        <w:rPr>
          <w:color w:val="000000"/>
          <w:szCs w:val="24"/>
        </w:rPr>
        <w:t>patvirtinu, kad mano vadovaujamas (-a) (atstovaujamas (-a))____________________________ ,</w:t>
      </w:r>
    </w:p>
    <w:p w14:paraId="56FECEC0" w14:textId="77777777" w:rsidR="00791E0A" w:rsidRDefault="00791E0A" w:rsidP="00791E0A">
      <w:pPr>
        <w:ind w:left="5640" w:firstLine="742"/>
        <w:jc w:val="both"/>
        <w:rPr>
          <w:color w:val="000000"/>
          <w:sz w:val="20"/>
        </w:rPr>
      </w:pPr>
      <w:r>
        <w:rPr>
          <w:i/>
          <w:iCs/>
          <w:color w:val="000000"/>
          <w:sz w:val="20"/>
        </w:rPr>
        <w:t xml:space="preserve">(tiekėjo pavadinimas)    </w:t>
      </w:r>
    </w:p>
    <w:p w14:paraId="60F4FA25" w14:textId="4484F5DB" w:rsidR="00DD6F49" w:rsidRDefault="00791E0A" w:rsidP="00972617">
      <w:pPr>
        <w:jc w:val="both"/>
        <w:rPr>
          <w:i/>
          <w:iCs/>
          <w:highlight w:val="yellow"/>
        </w:rPr>
      </w:pPr>
      <w:r>
        <w:rPr>
          <w:color w:val="000000"/>
          <w:szCs w:val="24"/>
        </w:rPr>
        <w:t xml:space="preserve">dalyvaujantis (-i) </w:t>
      </w:r>
      <w:r w:rsidR="00972617">
        <w:rPr>
          <w:color w:val="000000"/>
          <w:szCs w:val="24"/>
        </w:rPr>
        <w:t xml:space="preserve">VšĮ CPO LT </w:t>
      </w:r>
      <w:r>
        <w:rPr>
          <w:color w:val="000000"/>
          <w:szCs w:val="24"/>
        </w:rPr>
        <w:t xml:space="preserve">vykdomame </w:t>
      </w:r>
      <w:r w:rsidR="00A447A8">
        <w:rPr>
          <w:color w:val="000000"/>
          <w:szCs w:val="24"/>
        </w:rPr>
        <w:t xml:space="preserve">centralizuotame </w:t>
      </w:r>
      <w:r w:rsidR="004E0C69">
        <w:rPr>
          <w:color w:val="000000"/>
          <w:szCs w:val="24"/>
        </w:rPr>
        <w:t xml:space="preserve">viešajame </w:t>
      </w:r>
      <w:r w:rsidR="00A447A8">
        <w:rPr>
          <w:color w:val="000000"/>
          <w:szCs w:val="24"/>
        </w:rPr>
        <w:t>pirkime „</w:t>
      </w:r>
      <w:r w:rsidR="009A5F86">
        <w:rPr>
          <w:color w:val="000000"/>
          <w:szCs w:val="24"/>
        </w:rPr>
        <w:t xml:space="preserve">Maisto produktų </w:t>
      </w:r>
      <w:r w:rsidR="002603DD" w:rsidRPr="004E0C69">
        <w:rPr>
          <w:color w:val="000000"/>
          <w:szCs w:val="24"/>
        </w:rPr>
        <w:t>užsakymai per CPO LT elektroninį katalogą</w:t>
      </w:r>
      <w:r w:rsidR="00A447A8">
        <w:rPr>
          <w:color w:val="000000"/>
          <w:szCs w:val="24"/>
        </w:rPr>
        <w:t>“</w:t>
      </w:r>
      <w:r w:rsidR="002603DD">
        <w:rPr>
          <w:color w:val="000000"/>
          <w:szCs w:val="24"/>
        </w:rPr>
        <w:t xml:space="preserve">, pirkimo Nr. </w:t>
      </w:r>
      <w:r w:rsidR="009A5F86" w:rsidRPr="009A5F86">
        <w:rPr>
          <w:color w:val="000000"/>
          <w:szCs w:val="24"/>
        </w:rPr>
        <w:t>459054</w:t>
      </w:r>
      <w:r w:rsidR="004C3776" w:rsidRPr="004E0C69">
        <w:rPr>
          <w:color w:val="000000"/>
          <w:szCs w:val="24"/>
        </w:rPr>
        <w:t xml:space="preserve">, pirkimo paskelbimo CVP IS data </w:t>
      </w:r>
      <w:r w:rsidR="009A5F86" w:rsidRPr="009A5F86">
        <w:rPr>
          <w:color w:val="000000"/>
          <w:szCs w:val="24"/>
        </w:rPr>
        <w:t>2019-10-31</w:t>
      </w:r>
      <w:r>
        <w:rPr>
          <w:color w:val="000000"/>
          <w:szCs w:val="24"/>
        </w:rPr>
        <w:t>, atitinka toliau nurodomus reikalavimus:</w:t>
      </w:r>
    </w:p>
    <w:p w14:paraId="2AF87EF2" w14:textId="77777777" w:rsidR="00791E0A" w:rsidRDefault="00791E0A" w:rsidP="00791E0A">
      <w:pPr>
        <w:shd w:val="clear" w:color="auto" w:fill="FFFFFF"/>
        <w:ind w:firstLine="636"/>
        <w:jc w:val="both"/>
        <w:rPr>
          <w:color w:val="000000"/>
          <w:sz w:val="20"/>
        </w:rPr>
      </w:pPr>
    </w:p>
    <w:p w14:paraId="1A2AE52E" w14:textId="77777777" w:rsidR="00791E0A" w:rsidRDefault="00791E0A" w:rsidP="00791E0A">
      <w:pPr>
        <w:widowControl w:val="0"/>
        <w:suppressAutoHyphens/>
        <w:ind w:firstLine="567"/>
        <w:jc w:val="both"/>
        <w:textAlignment w:val="baseline"/>
        <w:rPr>
          <w:sz w:val="20"/>
          <w:shd w:val="clear" w:color="auto" w:fill="008000"/>
        </w:rPr>
      </w:pPr>
    </w:p>
    <w:p w14:paraId="1625C073" w14:textId="052CFB2C" w:rsidR="00DC5F06" w:rsidRPr="00BD458A" w:rsidRDefault="00DC5F06" w:rsidP="00DC5F06">
      <w:pPr>
        <w:ind w:firstLine="567"/>
        <w:jc w:val="both"/>
        <w:rPr>
          <w:i/>
          <w:iCs/>
          <w:sz w:val="20"/>
          <w:highlight w:val="yellow"/>
        </w:rPr>
      </w:pPr>
    </w:p>
    <w:p w14:paraId="16B76EE3" w14:textId="77777777" w:rsidR="00DC5F06" w:rsidRDefault="00DC5F06" w:rsidP="00791E0A">
      <w:pPr>
        <w:widowControl w:val="0"/>
        <w:suppressAutoHyphens/>
        <w:ind w:firstLine="567"/>
        <w:jc w:val="both"/>
        <w:textAlignment w:val="baseline"/>
        <w:rPr>
          <w:sz w:val="20"/>
          <w:shd w:val="clear" w:color="auto" w:fill="008000"/>
        </w:rPr>
      </w:pPr>
    </w:p>
    <w:p w14:paraId="6BA49D8B" w14:textId="77777777" w:rsidR="00631B3C" w:rsidRDefault="00631B3C" w:rsidP="00791E0A">
      <w:pPr>
        <w:widowControl w:val="0"/>
        <w:suppressAutoHyphens/>
        <w:ind w:firstLine="567"/>
        <w:jc w:val="both"/>
        <w:textAlignment w:val="baseline"/>
        <w:rPr>
          <w:sz w:val="20"/>
          <w:shd w:val="clear" w:color="auto" w:fill="008000"/>
        </w:rPr>
      </w:pPr>
    </w:p>
    <w:p w14:paraId="2774576B" w14:textId="77777777" w:rsidR="00631B3C" w:rsidRDefault="00631B3C" w:rsidP="00791E0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991"/>
      </w:tblGrid>
      <w:tr w:rsidR="00791E0A" w14:paraId="2D8AE25A" w14:textId="77777777" w:rsidTr="00791E0A">
        <w:tc>
          <w:tcPr>
            <w:tcW w:w="352" w:type="dxa"/>
            <w:tcBorders>
              <w:top w:val="single" w:sz="4" w:space="0" w:color="auto"/>
              <w:left w:val="single" w:sz="4" w:space="0" w:color="auto"/>
              <w:bottom w:val="single" w:sz="4" w:space="0" w:color="auto"/>
              <w:right w:val="single" w:sz="4" w:space="0" w:color="auto"/>
            </w:tcBorders>
            <w:hideMark/>
          </w:tcPr>
          <w:p w14:paraId="7AA6D253" w14:textId="77777777" w:rsidR="00791E0A" w:rsidRDefault="00791E0A" w:rsidP="0021527D">
            <w:pPr>
              <w:rPr>
                <w:szCs w:val="24"/>
                <w:lang w:eastAsia="lt-LT"/>
              </w:rPr>
            </w:pPr>
            <w:r>
              <w:rPr>
                <w:szCs w:val="24"/>
                <w:lang w:eastAsia="lt-LT"/>
              </w:rPr>
              <w:t>×</w:t>
            </w:r>
          </w:p>
        </w:tc>
        <w:tc>
          <w:tcPr>
            <w:tcW w:w="9991" w:type="dxa"/>
            <w:vMerge w:val="restart"/>
            <w:tcBorders>
              <w:left w:val="single" w:sz="4" w:space="0" w:color="auto"/>
            </w:tcBorders>
            <w:hideMark/>
          </w:tcPr>
          <w:p w14:paraId="75A50E32" w14:textId="673B4740" w:rsidR="000D68DB" w:rsidRDefault="00791E0A" w:rsidP="000D68DB">
            <w:pPr>
              <w:jc w:val="both"/>
              <w:rPr>
                <w:lang w:eastAsia="lt-LT"/>
              </w:rPr>
            </w:pPr>
            <w:r>
              <w:rPr>
                <w:lang w:eastAsia="lt-LT"/>
              </w:rPr>
              <w:t xml:space="preserve">tiekėjas, jo subtiekėjas, </w:t>
            </w:r>
            <w:r w:rsidR="004845AE">
              <w:rPr>
                <w:lang w:eastAsia="lt-LT"/>
              </w:rPr>
              <w:t>ūkio subjektai, kurių pajėgumais remiamasi, ar juos kontroliuojantys asmenys</w:t>
            </w:r>
            <w:r w:rsidR="004845AE">
              <w:rPr>
                <w:rStyle w:val="EndnoteReference"/>
                <w:lang w:eastAsia="lt-LT"/>
              </w:rPr>
              <w:endnoteReference w:id="2"/>
            </w:r>
            <w:r w:rsidR="004845AE">
              <w:rPr>
                <w:lang w:eastAsia="lt-LT"/>
              </w:rPr>
              <w:t xml:space="preserve"> yra juridiniai asmenys, kurie nėra registruoti VPĮ 92 straipsnio 15 dalyje numatytame sąraše</w:t>
            </w:r>
            <w:r w:rsidR="004845AE">
              <w:rPr>
                <w:rStyle w:val="EndnoteReference"/>
                <w:lang w:eastAsia="lt-LT"/>
              </w:rPr>
              <w:endnoteReference w:id="3"/>
            </w:r>
            <w:r w:rsidR="004845AE">
              <w:rPr>
                <w:lang w:eastAsia="lt-LT"/>
              </w:rPr>
              <w:t xml:space="preserve"> nurodytose valstybėse ar teritorijose </w:t>
            </w:r>
            <w:r w:rsidR="000D68DB">
              <w:rPr>
                <w:lang w:eastAsia="lt-LT"/>
              </w:rPr>
              <w:t>(</w:t>
            </w:r>
            <w:r w:rsidR="000D68DB" w:rsidRPr="00F95429">
              <w:rPr>
                <w:lang w:eastAsia="lt-LT"/>
              </w:rPr>
              <w:t>pirkimo dokumentų A dalies 13.1 p., C dalies 2.</w:t>
            </w:r>
            <w:r w:rsidR="004F5D00">
              <w:rPr>
                <w:lang w:eastAsia="lt-LT"/>
              </w:rPr>
              <w:t>9.4</w:t>
            </w:r>
            <w:r w:rsidR="000D68DB" w:rsidRPr="00F95429">
              <w:rPr>
                <w:lang w:eastAsia="lt-LT"/>
              </w:rPr>
              <w:t xml:space="preserve"> p., D dalies 2.7</w:t>
            </w:r>
            <w:r w:rsidR="000D68DB" w:rsidRPr="0048299D">
              <w:rPr>
                <w:vertAlign w:val="superscript"/>
                <w:lang w:eastAsia="lt-LT"/>
              </w:rPr>
              <w:t>1</w:t>
            </w:r>
            <w:r w:rsidR="000D68DB" w:rsidRPr="00F95429">
              <w:rPr>
                <w:lang w:eastAsia="lt-LT"/>
              </w:rPr>
              <w:t xml:space="preserve"> ir 2.7</w:t>
            </w:r>
            <w:r w:rsidR="000D68DB" w:rsidRPr="0048299D">
              <w:rPr>
                <w:vertAlign w:val="superscript"/>
                <w:lang w:eastAsia="lt-LT"/>
              </w:rPr>
              <w:t>2</w:t>
            </w:r>
            <w:r w:rsidR="000D68DB" w:rsidRPr="00F95429">
              <w:rPr>
                <w:lang w:eastAsia="lt-LT"/>
              </w:rPr>
              <w:t xml:space="preserve"> p.</w:t>
            </w:r>
            <w:r w:rsidR="000D68DB">
              <w:rPr>
                <w:lang w:eastAsia="lt-LT"/>
              </w:rPr>
              <w:t>).</w:t>
            </w:r>
          </w:p>
          <w:p w14:paraId="5DAF6A39" w14:textId="2E80DC6C" w:rsidR="00791E0A" w:rsidRDefault="00791E0A" w:rsidP="0021527D">
            <w:pPr>
              <w:shd w:val="clear" w:color="auto" w:fill="FFFFFF"/>
              <w:rPr>
                <w:i/>
                <w:sz w:val="20"/>
              </w:rPr>
            </w:pPr>
            <w:r>
              <w:rPr>
                <w:i/>
                <w:sz w:val="20"/>
              </w:rPr>
              <w:t xml:space="preserve">                 </w:t>
            </w:r>
            <w:r w:rsidR="00F95429">
              <w:rPr>
                <w:i/>
                <w:sz w:val="20"/>
              </w:rPr>
              <w:t xml:space="preserve">                                                            </w:t>
            </w:r>
          </w:p>
        </w:tc>
      </w:tr>
      <w:tr w:rsidR="00791E0A" w14:paraId="1AB390FB" w14:textId="77777777" w:rsidTr="00791E0A">
        <w:tc>
          <w:tcPr>
            <w:tcW w:w="352" w:type="dxa"/>
            <w:tcBorders>
              <w:top w:val="single" w:sz="4" w:space="0" w:color="auto"/>
            </w:tcBorders>
          </w:tcPr>
          <w:p w14:paraId="441A61C6" w14:textId="77777777" w:rsidR="00791E0A" w:rsidRDefault="00791E0A" w:rsidP="0021527D">
            <w:pPr>
              <w:rPr>
                <w:szCs w:val="24"/>
                <w:lang w:eastAsia="lt-LT"/>
              </w:rPr>
            </w:pPr>
          </w:p>
        </w:tc>
        <w:tc>
          <w:tcPr>
            <w:tcW w:w="9991" w:type="dxa"/>
            <w:vMerge/>
            <w:vAlign w:val="center"/>
            <w:hideMark/>
          </w:tcPr>
          <w:p w14:paraId="4325C2EB" w14:textId="77777777" w:rsidR="00791E0A" w:rsidRDefault="00791E0A" w:rsidP="0021527D">
            <w:pPr>
              <w:rPr>
                <w:szCs w:val="24"/>
                <w:lang w:eastAsia="lt-LT"/>
              </w:rPr>
            </w:pPr>
          </w:p>
        </w:tc>
      </w:tr>
      <w:tr w:rsidR="00791E0A" w14:paraId="63E7436A" w14:textId="77777777" w:rsidTr="00791E0A">
        <w:tc>
          <w:tcPr>
            <w:tcW w:w="352" w:type="dxa"/>
          </w:tcPr>
          <w:p w14:paraId="75CDBE54" w14:textId="77777777" w:rsidR="00791E0A" w:rsidRDefault="00791E0A" w:rsidP="0021527D">
            <w:pPr>
              <w:rPr>
                <w:szCs w:val="24"/>
                <w:lang w:eastAsia="lt-LT"/>
              </w:rPr>
            </w:pPr>
          </w:p>
        </w:tc>
        <w:tc>
          <w:tcPr>
            <w:tcW w:w="9991" w:type="dxa"/>
            <w:vMerge/>
            <w:vAlign w:val="center"/>
            <w:hideMark/>
          </w:tcPr>
          <w:p w14:paraId="710B91DA" w14:textId="77777777" w:rsidR="00791E0A" w:rsidRDefault="00791E0A" w:rsidP="0021527D">
            <w:pPr>
              <w:rPr>
                <w:szCs w:val="24"/>
                <w:lang w:eastAsia="lt-LT"/>
              </w:rPr>
            </w:pPr>
          </w:p>
        </w:tc>
      </w:tr>
    </w:tbl>
    <w:p w14:paraId="3A123703" w14:textId="77777777" w:rsidR="00791E0A" w:rsidRDefault="00791E0A" w:rsidP="00791E0A">
      <w:pPr>
        <w:shd w:val="clear" w:color="auto" w:fill="FFFFFF"/>
        <w:rPr>
          <w:i/>
          <w:sz w:val="20"/>
        </w:rPr>
      </w:pPr>
    </w:p>
    <w:tbl>
      <w:tblPr>
        <w:tblW w:w="0" w:type="auto"/>
        <w:tblLook w:val="04A0" w:firstRow="1" w:lastRow="0" w:firstColumn="1" w:lastColumn="0" w:noHBand="0" w:noVBand="1"/>
      </w:tblPr>
      <w:tblGrid>
        <w:gridCol w:w="352"/>
        <w:gridCol w:w="9991"/>
      </w:tblGrid>
      <w:tr w:rsidR="00791E0A" w14:paraId="43EFA1DD" w14:textId="77777777" w:rsidTr="00791E0A">
        <w:tc>
          <w:tcPr>
            <w:tcW w:w="352" w:type="dxa"/>
            <w:tcBorders>
              <w:top w:val="single" w:sz="4" w:space="0" w:color="auto"/>
              <w:left w:val="single" w:sz="4" w:space="0" w:color="auto"/>
              <w:bottom w:val="single" w:sz="4" w:space="0" w:color="auto"/>
              <w:right w:val="single" w:sz="4" w:space="0" w:color="auto"/>
            </w:tcBorders>
            <w:hideMark/>
          </w:tcPr>
          <w:p w14:paraId="67D55171" w14:textId="77777777" w:rsidR="00791E0A" w:rsidRDefault="00791E0A" w:rsidP="0021527D">
            <w:pPr>
              <w:spacing w:line="276" w:lineRule="auto"/>
              <w:rPr>
                <w:szCs w:val="24"/>
                <w:lang w:eastAsia="lt-LT"/>
              </w:rPr>
            </w:pPr>
            <w:r>
              <w:rPr>
                <w:szCs w:val="24"/>
                <w:lang w:eastAsia="lt-LT"/>
              </w:rPr>
              <w:t>×</w:t>
            </w:r>
          </w:p>
        </w:tc>
        <w:tc>
          <w:tcPr>
            <w:tcW w:w="9991" w:type="dxa"/>
            <w:vMerge w:val="restart"/>
            <w:tcBorders>
              <w:left w:val="single" w:sz="4" w:space="0" w:color="auto"/>
            </w:tcBorders>
            <w:hideMark/>
          </w:tcPr>
          <w:p w14:paraId="57E544DB" w14:textId="295E1F24" w:rsidR="00791E0A" w:rsidRDefault="00791E0A" w:rsidP="00853FAC">
            <w:pPr>
              <w:jc w:val="both"/>
              <w:rPr>
                <w:i/>
                <w:sz w:val="20"/>
              </w:rPr>
            </w:pPr>
            <w:r w:rsidRPr="001C0E71">
              <w:rPr>
                <w:lang w:eastAsia="lt-LT"/>
              </w:rPr>
              <w:t>tiekėjas, jo subtiekėjas, ūkio subjektas, kurio pajėgumais remiamasi</w:t>
            </w:r>
            <w:r w:rsidR="00344B9B">
              <w:rPr>
                <w:lang w:eastAsia="lt-LT"/>
              </w:rPr>
              <w:t>,</w:t>
            </w:r>
            <w:r w:rsidRPr="001C0E71">
              <w:rPr>
                <w:lang w:eastAsia="lt-LT"/>
              </w:rPr>
              <w:t xml:space="preserve"> ar juos kontroliuojantys </w:t>
            </w:r>
            <w:r>
              <w:rPr>
                <w:lang w:eastAsia="lt-LT"/>
              </w:rPr>
              <w:t>asmenys</w:t>
            </w:r>
            <w:r w:rsidRPr="00266987">
              <w:rPr>
                <w:vertAlign w:val="superscript"/>
                <w:lang w:eastAsia="lt-LT"/>
              </w:rPr>
              <w:t>1</w:t>
            </w:r>
            <w:r>
              <w:rPr>
                <w:lang w:eastAsia="lt-LT"/>
              </w:rPr>
              <w:t xml:space="preserve"> yra </w:t>
            </w:r>
            <w:r w:rsidRPr="001C0E71">
              <w:rPr>
                <w:lang w:eastAsia="lt-LT"/>
              </w:rPr>
              <w:t>fiziniai asmenys</w:t>
            </w:r>
            <w:r>
              <w:rPr>
                <w:lang w:eastAsia="lt-LT"/>
              </w:rPr>
              <w:t>, kurie</w:t>
            </w:r>
            <w:r w:rsidRPr="001C0E71">
              <w:rPr>
                <w:lang w:eastAsia="lt-LT"/>
              </w:rPr>
              <w:t xml:space="preserve"> </w:t>
            </w:r>
            <w:r>
              <w:rPr>
                <w:lang w:eastAsia="lt-LT"/>
              </w:rPr>
              <w:t>nėra</w:t>
            </w:r>
            <w:r w:rsidRPr="001C0E71">
              <w:rPr>
                <w:lang w:eastAsia="lt-LT"/>
              </w:rPr>
              <w:t xml:space="preserve"> nuolat gyvenantys VPĮ 92 straipsnio 15 dalyje numatytame sąraše</w:t>
            </w:r>
            <w:r w:rsidRPr="00266987">
              <w:rPr>
                <w:vertAlign w:val="superscript"/>
                <w:lang w:eastAsia="lt-LT"/>
              </w:rPr>
              <w:t>2</w:t>
            </w:r>
            <w:r w:rsidRPr="001C0E71">
              <w:rPr>
                <w:lang w:eastAsia="lt-LT"/>
              </w:rPr>
              <w:t xml:space="preserve"> nurodytose valstybėse ar teritorijose arba turintys šių valstybių pilietybę</w:t>
            </w:r>
            <w:r w:rsidR="000D68DB">
              <w:rPr>
                <w:lang w:eastAsia="lt-LT"/>
              </w:rPr>
              <w:t xml:space="preserve"> (</w:t>
            </w:r>
            <w:r w:rsidR="000D68DB" w:rsidRPr="00F95429">
              <w:rPr>
                <w:lang w:eastAsia="lt-LT"/>
              </w:rPr>
              <w:t>pirkimo dokumentų A dalies 13.1 p., C dalies 2.</w:t>
            </w:r>
            <w:r w:rsidR="004F5D00">
              <w:rPr>
                <w:lang w:eastAsia="lt-LT"/>
              </w:rPr>
              <w:t>9.4</w:t>
            </w:r>
            <w:r w:rsidR="000D68DB" w:rsidRPr="00F95429">
              <w:rPr>
                <w:lang w:eastAsia="lt-LT"/>
              </w:rPr>
              <w:t xml:space="preserve"> p., D dalies 2.7</w:t>
            </w:r>
            <w:r w:rsidR="000D68DB" w:rsidRPr="0048299D">
              <w:rPr>
                <w:vertAlign w:val="superscript"/>
                <w:lang w:eastAsia="lt-LT"/>
              </w:rPr>
              <w:t>1</w:t>
            </w:r>
            <w:r w:rsidR="000D68DB" w:rsidRPr="00F95429">
              <w:rPr>
                <w:lang w:eastAsia="lt-LT"/>
              </w:rPr>
              <w:t xml:space="preserve"> ir 2.7</w:t>
            </w:r>
            <w:r w:rsidR="000D68DB" w:rsidRPr="0048299D">
              <w:rPr>
                <w:vertAlign w:val="superscript"/>
                <w:lang w:eastAsia="lt-LT"/>
              </w:rPr>
              <w:t>2</w:t>
            </w:r>
            <w:r w:rsidR="000D68DB" w:rsidRPr="00F95429">
              <w:rPr>
                <w:lang w:eastAsia="lt-LT"/>
              </w:rPr>
              <w:t xml:space="preserve"> p.</w:t>
            </w:r>
            <w:r w:rsidR="000D68DB">
              <w:rPr>
                <w:lang w:eastAsia="lt-LT"/>
              </w:rPr>
              <w:t>).</w:t>
            </w:r>
            <w:r w:rsidR="00AC7D47">
              <w:rPr>
                <w:i/>
                <w:sz w:val="20"/>
              </w:rPr>
              <w:t xml:space="preserve">                                                                                                                                   </w:t>
            </w:r>
          </w:p>
          <w:p w14:paraId="118F5D01" w14:textId="77777777" w:rsidR="00791E0A" w:rsidRDefault="00791E0A" w:rsidP="0021527D">
            <w:pPr>
              <w:spacing w:line="276" w:lineRule="auto"/>
              <w:jc w:val="both"/>
              <w:rPr>
                <w:szCs w:val="24"/>
              </w:rPr>
            </w:pPr>
          </w:p>
        </w:tc>
      </w:tr>
      <w:tr w:rsidR="00791E0A" w14:paraId="01684F2B" w14:textId="77777777" w:rsidTr="00F0535E">
        <w:tc>
          <w:tcPr>
            <w:tcW w:w="352" w:type="dxa"/>
            <w:tcBorders>
              <w:top w:val="single" w:sz="4" w:space="0" w:color="auto"/>
            </w:tcBorders>
          </w:tcPr>
          <w:p w14:paraId="5B218575" w14:textId="77777777" w:rsidR="00791E0A" w:rsidRDefault="00791E0A" w:rsidP="0021527D">
            <w:pPr>
              <w:spacing w:line="276" w:lineRule="auto"/>
              <w:rPr>
                <w:szCs w:val="24"/>
                <w:lang w:eastAsia="lt-LT"/>
              </w:rPr>
            </w:pPr>
          </w:p>
        </w:tc>
        <w:tc>
          <w:tcPr>
            <w:tcW w:w="9991" w:type="dxa"/>
            <w:vMerge/>
            <w:vAlign w:val="center"/>
            <w:hideMark/>
          </w:tcPr>
          <w:p w14:paraId="3009C21B" w14:textId="77777777" w:rsidR="00791E0A" w:rsidRDefault="00791E0A" w:rsidP="0021527D">
            <w:pPr>
              <w:spacing w:line="276" w:lineRule="auto"/>
              <w:rPr>
                <w:szCs w:val="24"/>
                <w:lang w:eastAsia="lt-LT"/>
              </w:rPr>
            </w:pPr>
          </w:p>
        </w:tc>
      </w:tr>
      <w:tr w:rsidR="00791E0A" w14:paraId="302DE8BD" w14:textId="77777777" w:rsidTr="00F0535E">
        <w:trPr>
          <w:trHeight w:val="708"/>
        </w:trPr>
        <w:tc>
          <w:tcPr>
            <w:tcW w:w="352" w:type="dxa"/>
          </w:tcPr>
          <w:p w14:paraId="19B1D16E" w14:textId="77777777" w:rsidR="00791E0A" w:rsidRDefault="00791E0A" w:rsidP="0021527D">
            <w:pPr>
              <w:spacing w:line="276" w:lineRule="auto"/>
              <w:rPr>
                <w:szCs w:val="24"/>
                <w:lang w:eastAsia="lt-LT"/>
              </w:rPr>
            </w:pPr>
          </w:p>
        </w:tc>
        <w:tc>
          <w:tcPr>
            <w:tcW w:w="9991" w:type="dxa"/>
            <w:vMerge/>
            <w:vAlign w:val="center"/>
            <w:hideMark/>
          </w:tcPr>
          <w:p w14:paraId="55BC3444" w14:textId="77777777" w:rsidR="00791E0A" w:rsidRDefault="00791E0A" w:rsidP="0021527D">
            <w:pPr>
              <w:spacing w:line="276" w:lineRule="auto"/>
              <w:rPr>
                <w:szCs w:val="24"/>
                <w:lang w:eastAsia="lt-LT"/>
              </w:rPr>
            </w:pPr>
          </w:p>
        </w:tc>
      </w:tr>
      <w:tr w:rsidR="00F0535E" w14:paraId="12F80FE8" w14:textId="77777777" w:rsidTr="00F0535E">
        <w:trPr>
          <w:trHeight w:val="708"/>
        </w:trPr>
        <w:tc>
          <w:tcPr>
            <w:tcW w:w="352" w:type="dxa"/>
            <w:tcBorders>
              <w:bottom w:val="single" w:sz="4" w:space="0" w:color="auto"/>
            </w:tcBorders>
          </w:tcPr>
          <w:p w14:paraId="58018E9D" w14:textId="77777777" w:rsidR="00F0535E" w:rsidRDefault="00F0535E" w:rsidP="0021527D">
            <w:pPr>
              <w:spacing w:line="276" w:lineRule="auto"/>
              <w:rPr>
                <w:szCs w:val="24"/>
                <w:lang w:eastAsia="lt-LT"/>
              </w:rPr>
            </w:pPr>
          </w:p>
        </w:tc>
        <w:tc>
          <w:tcPr>
            <w:tcW w:w="9991" w:type="dxa"/>
            <w:vAlign w:val="center"/>
          </w:tcPr>
          <w:p w14:paraId="4EC91359" w14:textId="77777777" w:rsidR="00F0535E" w:rsidRDefault="00F0535E" w:rsidP="0021527D">
            <w:pPr>
              <w:spacing w:line="276" w:lineRule="auto"/>
              <w:rPr>
                <w:szCs w:val="24"/>
                <w:lang w:eastAsia="lt-LT"/>
              </w:rPr>
            </w:pPr>
          </w:p>
        </w:tc>
      </w:tr>
      <w:tr w:rsidR="00791E0A" w14:paraId="00A8469A" w14:textId="77777777" w:rsidTr="00FA7CE5">
        <w:tc>
          <w:tcPr>
            <w:tcW w:w="352" w:type="dxa"/>
            <w:tcBorders>
              <w:top w:val="single" w:sz="4" w:space="0" w:color="auto"/>
              <w:left w:val="single" w:sz="4" w:space="0" w:color="auto"/>
              <w:bottom w:val="single" w:sz="4" w:space="0" w:color="auto"/>
              <w:right w:val="single" w:sz="4" w:space="0" w:color="auto"/>
            </w:tcBorders>
            <w:hideMark/>
          </w:tcPr>
          <w:p w14:paraId="6163F88C" w14:textId="77777777" w:rsidR="00791E0A" w:rsidRDefault="00791E0A" w:rsidP="0021527D">
            <w:pPr>
              <w:rPr>
                <w:szCs w:val="24"/>
                <w:lang w:eastAsia="lt-LT"/>
              </w:rPr>
            </w:pPr>
            <w:r>
              <w:rPr>
                <w:szCs w:val="24"/>
                <w:lang w:eastAsia="lt-LT"/>
              </w:rPr>
              <w:t>×</w:t>
            </w:r>
          </w:p>
        </w:tc>
        <w:tc>
          <w:tcPr>
            <w:tcW w:w="9991" w:type="dxa"/>
            <w:vMerge w:val="restart"/>
            <w:tcBorders>
              <w:left w:val="single" w:sz="4" w:space="0" w:color="auto"/>
            </w:tcBorders>
            <w:hideMark/>
          </w:tcPr>
          <w:p w14:paraId="1CAEB0D7" w14:textId="609A931E" w:rsidR="000D68DB" w:rsidRDefault="00791E0A" w:rsidP="000D68DB">
            <w:pPr>
              <w:jc w:val="both"/>
              <w:rPr>
                <w:lang w:eastAsia="lt-LT"/>
              </w:rPr>
            </w:pPr>
            <w:r w:rsidRPr="00F02A36">
              <w:rPr>
                <w:szCs w:val="24"/>
                <w:lang w:eastAsia="lt-LT"/>
              </w:rPr>
              <w:t>tiekėjo siūlom</w:t>
            </w:r>
            <w:r>
              <w:rPr>
                <w:szCs w:val="24"/>
                <w:lang w:eastAsia="lt-LT"/>
              </w:rPr>
              <w:t>ų</w:t>
            </w:r>
            <w:r w:rsidRPr="00F02A36">
              <w:rPr>
                <w:szCs w:val="24"/>
                <w:lang w:eastAsia="lt-LT"/>
              </w:rPr>
              <w:t xml:space="preserve"> prek</w:t>
            </w:r>
            <w:r>
              <w:rPr>
                <w:szCs w:val="24"/>
                <w:lang w:eastAsia="lt-LT"/>
              </w:rPr>
              <w:t>ių</w:t>
            </w:r>
            <w:r w:rsidRPr="00F02A36">
              <w:rPr>
                <w:szCs w:val="24"/>
                <w:lang w:eastAsia="lt-LT"/>
              </w:rPr>
              <w:t xml:space="preserve"> (įskaitant jų sudedamąsias dalis, pakuotes) </w:t>
            </w:r>
            <w:r>
              <w:rPr>
                <w:szCs w:val="24"/>
                <w:lang w:eastAsia="lt-LT"/>
              </w:rPr>
              <w:t>kilmė nėra</w:t>
            </w:r>
            <w:r w:rsidRPr="00F02A36">
              <w:rPr>
                <w:szCs w:val="24"/>
                <w:lang w:eastAsia="lt-LT"/>
              </w:rPr>
              <w:t xml:space="preserve"> iš VPĮ 92 straipsnio 15 dalyje numatytame sąraše</w:t>
            </w:r>
            <w:r w:rsidRPr="000149F2">
              <w:rPr>
                <w:szCs w:val="24"/>
                <w:vertAlign w:val="superscript"/>
                <w:lang w:eastAsia="lt-LT"/>
              </w:rPr>
              <w:t>2</w:t>
            </w:r>
            <w:r w:rsidRPr="00F02A36">
              <w:rPr>
                <w:szCs w:val="24"/>
                <w:lang w:eastAsia="lt-LT"/>
              </w:rPr>
              <w:t xml:space="preserve"> nurodytų valstybių ar teritorijų</w:t>
            </w:r>
            <w:r w:rsidR="000D68DB">
              <w:rPr>
                <w:szCs w:val="24"/>
                <w:lang w:eastAsia="lt-LT"/>
              </w:rPr>
              <w:t xml:space="preserve"> </w:t>
            </w:r>
            <w:r w:rsidR="000D68DB">
              <w:rPr>
                <w:lang w:eastAsia="lt-LT"/>
              </w:rPr>
              <w:t>(</w:t>
            </w:r>
            <w:r w:rsidR="000D68DB" w:rsidRPr="00F95429">
              <w:rPr>
                <w:lang w:eastAsia="lt-LT"/>
              </w:rPr>
              <w:t>pirkimo dokumentų A dalies 13.1 p., C dalies 2.</w:t>
            </w:r>
            <w:r w:rsidR="004F5D00">
              <w:rPr>
                <w:lang w:eastAsia="lt-LT"/>
              </w:rPr>
              <w:t>9.4</w:t>
            </w:r>
            <w:r w:rsidR="000D68DB" w:rsidRPr="00F95429">
              <w:rPr>
                <w:lang w:eastAsia="lt-LT"/>
              </w:rPr>
              <w:t xml:space="preserve"> p., D dalies 2.7</w:t>
            </w:r>
            <w:r w:rsidR="000D68DB" w:rsidRPr="0048299D">
              <w:rPr>
                <w:vertAlign w:val="superscript"/>
                <w:lang w:eastAsia="lt-LT"/>
              </w:rPr>
              <w:t>1</w:t>
            </w:r>
            <w:r w:rsidR="000D68DB" w:rsidRPr="00F95429">
              <w:rPr>
                <w:lang w:eastAsia="lt-LT"/>
              </w:rPr>
              <w:t xml:space="preserve"> ir 2.7</w:t>
            </w:r>
            <w:r w:rsidR="000D68DB" w:rsidRPr="0048299D">
              <w:rPr>
                <w:vertAlign w:val="superscript"/>
                <w:lang w:eastAsia="lt-LT"/>
              </w:rPr>
              <w:t>2</w:t>
            </w:r>
            <w:r w:rsidR="000D68DB" w:rsidRPr="00F95429">
              <w:rPr>
                <w:lang w:eastAsia="lt-LT"/>
              </w:rPr>
              <w:t xml:space="preserve"> p.</w:t>
            </w:r>
            <w:r w:rsidR="000D68DB">
              <w:rPr>
                <w:lang w:eastAsia="lt-LT"/>
              </w:rPr>
              <w:t>).</w:t>
            </w:r>
          </w:p>
          <w:p w14:paraId="0855F513" w14:textId="77777777" w:rsidR="00613A03" w:rsidRDefault="00613A03" w:rsidP="00620498">
            <w:pPr>
              <w:jc w:val="both"/>
              <w:rPr>
                <w:lang w:eastAsia="lt-LT"/>
              </w:rPr>
            </w:pPr>
          </w:p>
          <w:p w14:paraId="34251C6E" w14:textId="77777777" w:rsidR="00613A03" w:rsidRDefault="00613A03" w:rsidP="00620498">
            <w:pPr>
              <w:jc w:val="both"/>
              <w:rPr>
                <w:lang w:eastAsia="lt-LT"/>
              </w:rPr>
            </w:pPr>
          </w:p>
          <w:p w14:paraId="3C8F1ED9" w14:textId="52565981" w:rsidR="00620498" w:rsidRDefault="00620498" w:rsidP="000D68DB">
            <w:pPr>
              <w:jc w:val="both"/>
              <w:rPr>
                <w:lang w:eastAsia="lt-LT"/>
              </w:rPr>
            </w:pPr>
            <w:r w:rsidRPr="007B5AE5">
              <w:rPr>
                <w:lang w:eastAsia="lt-LT"/>
              </w:rPr>
              <w:t>tiekėjo paslaugos nėra teikiamos iš VPĮ 92 straipsnio 15 dalyje numatytame sąraše</w:t>
            </w:r>
            <w:r w:rsidRPr="007B5AE5">
              <w:rPr>
                <w:vertAlign w:val="superscript"/>
                <w:lang w:eastAsia="lt-LT"/>
              </w:rPr>
              <w:t>2</w:t>
            </w:r>
            <w:r w:rsidRPr="007B5AE5">
              <w:rPr>
                <w:lang w:eastAsia="lt-LT"/>
              </w:rPr>
              <w:t xml:space="preserve"> nurodytų valstybių ar teritorijų (pirkimo dokumentų A dalies 13.1 p., C dalies 2.</w:t>
            </w:r>
            <w:r w:rsidR="00FA7CE5">
              <w:rPr>
                <w:lang w:eastAsia="lt-LT"/>
              </w:rPr>
              <w:t>9.4</w:t>
            </w:r>
            <w:r w:rsidRPr="007B5AE5">
              <w:rPr>
                <w:lang w:eastAsia="lt-LT"/>
              </w:rPr>
              <w:t xml:space="preserve"> p., D dalies 2.7</w:t>
            </w:r>
            <w:r w:rsidRPr="007B5AE5">
              <w:rPr>
                <w:vertAlign w:val="superscript"/>
                <w:lang w:eastAsia="lt-LT"/>
              </w:rPr>
              <w:t>1</w:t>
            </w:r>
            <w:r w:rsidRPr="007B5AE5">
              <w:rPr>
                <w:lang w:eastAsia="lt-LT"/>
              </w:rPr>
              <w:t xml:space="preserve"> ir 2.7</w:t>
            </w:r>
            <w:r w:rsidRPr="007B5AE5">
              <w:rPr>
                <w:vertAlign w:val="superscript"/>
                <w:lang w:eastAsia="lt-LT"/>
              </w:rPr>
              <w:t>2</w:t>
            </w:r>
            <w:r w:rsidRPr="007B5AE5">
              <w:rPr>
                <w:lang w:eastAsia="lt-LT"/>
              </w:rPr>
              <w:t xml:space="preserve"> p.).</w:t>
            </w:r>
            <w:r w:rsidRPr="005D7D35">
              <w:rPr>
                <w:lang w:eastAsia="lt-LT"/>
              </w:rPr>
              <w:t xml:space="preserve"> </w:t>
            </w:r>
          </w:p>
          <w:p w14:paraId="579EB77E" w14:textId="54DE8E01" w:rsidR="00E8448F" w:rsidRDefault="00791E0A" w:rsidP="00D37A56">
            <w:pPr>
              <w:shd w:val="clear" w:color="auto" w:fill="FFFFFF"/>
              <w:jc w:val="both"/>
              <w:rPr>
                <w:i/>
                <w:sz w:val="20"/>
                <w:szCs w:val="24"/>
              </w:rPr>
            </w:pPr>
            <w:r>
              <w:rPr>
                <w:i/>
                <w:sz w:val="20"/>
                <w:szCs w:val="24"/>
              </w:rPr>
              <w:lastRenderedPageBreak/>
              <w:t xml:space="preserve">             </w:t>
            </w:r>
          </w:p>
          <w:p w14:paraId="4C597FDA" w14:textId="202C1ABD" w:rsidR="00791E0A" w:rsidRDefault="00791E0A" w:rsidP="00D37A56">
            <w:pPr>
              <w:shd w:val="clear" w:color="auto" w:fill="FFFFFF"/>
              <w:jc w:val="both"/>
              <w:rPr>
                <w:i/>
                <w:sz w:val="20"/>
                <w:szCs w:val="24"/>
              </w:rPr>
            </w:pPr>
            <w:r>
              <w:rPr>
                <w:i/>
                <w:sz w:val="20"/>
                <w:szCs w:val="24"/>
              </w:rPr>
              <w:t xml:space="preserve">                                                                  </w:t>
            </w:r>
          </w:p>
          <w:tbl>
            <w:tblPr>
              <w:tblW w:w="9390" w:type="dxa"/>
              <w:tblLook w:val="04A0" w:firstRow="1" w:lastRow="0" w:firstColumn="1" w:lastColumn="0" w:noHBand="0" w:noVBand="1"/>
            </w:tblPr>
            <w:tblGrid>
              <w:gridCol w:w="352"/>
              <w:gridCol w:w="9038"/>
            </w:tblGrid>
            <w:tr w:rsidR="00864FE9" w14:paraId="1FC16959" w14:textId="77777777" w:rsidTr="00DE3A35">
              <w:trPr>
                <w:trHeight w:val="73"/>
              </w:trPr>
              <w:tc>
                <w:tcPr>
                  <w:tcW w:w="331" w:type="dxa"/>
                  <w:tcBorders>
                    <w:top w:val="single" w:sz="4" w:space="0" w:color="auto"/>
                    <w:left w:val="single" w:sz="4" w:space="0" w:color="auto"/>
                    <w:bottom w:val="single" w:sz="4" w:space="0" w:color="auto"/>
                    <w:right w:val="single" w:sz="4" w:space="0" w:color="auto"/>
                  </w:tcBorders>
                  <w:hideMark/>
                </w:tcPr>
                <w:p w14:paraId="1778B037" w14:textId="77777777" w:rsidR="00864FE9" w:rsidRDefault="00864FE9" w:rsidP="00864FE9">
                  <w:pPr>
                    <w:rPr>
                      <w:szCs w:val="24"/>
                      <w:lang w:eastAsia="lt-LT"/>
                    </w:rPr>
                  </w:pPr>
                  <w:r>
                    <w:rPr>
                      <w:szCs w:val="24"/>
                      <w:lang w:eastAsia="lt-LT"/>
                    </w:rPr>
                    <w:t>×</w:t>
                  </w:r>
                </w:p>
              </w:tc>
              <w:tc>
                <w:tcPr>
                  <w:tcW w:w="9059" w:type="dxa"/>
                  <w:vMerge w:val="restart"/>
                  <w:tcBorders>
                    <w:left w:val="single" w:sz="4" w:space="0" w:color="auto"/>
                  </w:tcBorders>
                  <w:hideMark/>
                </w:tcPr>
                <w:p w14:paraId="0C0CFB16" w14:textId="25DF1BB1" w:rsidR="00864FE9" w:rsidRPr="00DE3A35" w:rsidRDefault="00864FE9" w:rsidP="00DE3A35">
                  <w:pPr>
                    <w:jc w:val="both"/>
                    <w:rPr>
                      <w:color w:val="FF0000"/>
                      <w:lang w:eastAsia="lt-LT"/>
                    </w:rPr>
                  </w:pPr>
                  <w:r w:rsidRPr="00DE3A35">
                    <w:rPr>
                      <w:color w:val="FF0000"/>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Pr="00DE3A35">
                    <w:rPr>
                      <w:color w:val="FF0000"/>
                    </w:rPr>
                    <w:t xml:space="preserve">.teisę atstovauti tiekėjui, subtiekėjui, ūkio subjektui, kurio pajėgumais remiasi, ar ji kontroliuoti, jo vardu priimti sprendimą, sudaryti sandorį, ir tokiu būdu dalyvauja tokių ūkio subjektų grupių ir (ar) ūkio subjektų veikloje. </w:t>
                  </w:r>
                  <w:r w:rsidRPr="00DE3A35">
                    <w:rPr>
                      <w:color w:val="FF0000"/>
                      <w:lang w:eastAsia="lt-LT"/>
                    </w:rPr>
                    <w:t>(pirkimo dokumentų A dalies 13.1 p., C dalies 2.</w:t>
                  </w:r>
                  <w:r w:rsidR="00B25E01">
                    <w:rPr>
                      <w:color w:val="FF0000"/>
                      <w:lang w:eastAsia="lt-LT"/>
                    </w:rPr>
                    <w:t>9.4</w:t>
                  </w:r>
                  <w:r w:rsidRPr="00DE3A35">
                    <w:rPr>
                      <w:color w:val="FF0000"/>
                      <w:lang w:eastAsia="lt-LT"/>
                    </w:rPr>
                    <w:t xml:space="preserve"> p., D dalies 2.7</w:t>
                  </w:r>
                  <w:r w:rsidRPr="00DE3A35">
                    <w:rPr>
                      <w:color w:val="FF0000"/>
                      <w:vertAlign w:val="superscript"/>
                      <w:lang w:eastAsia="lt-LT"/>
                    </w:rPr>
                    <w:t>1</w:t>
                  </w:r>
                  <w:r w:rsidRPr="00DE3A35">
                    <w:rPr>
                      <w:color w:val="FF0000"/>
                      <w:lang w:eastAsia="lt-LT"/>
                    </w:rPr>
                    <w:t xml:space="preserve"> ir 2.7</w:t>
                  </w:r>
                  <w:r w:rsidRPr="00DE3A35">
                    <w:rPr>
                      <w:color w:val="FF0000"/>
                      <w:vertAlign w:val="superscript"/>
                      <w:lang w:eastAsia="lt-LT"/>
                    </w:rPr>
                    <w:t>2</w:t>
                  </w:r>
                  <w:r w:rsidRPr="00DE3A35">
                    <w:rPr>
                      <w:color w:val="FF0000"/>
                      <w:lang w:eastAsia="lt-LT"/>
                    </w:rPr>
                    <w:t xml:space="preserve"> p.)</w:t>
                  </w:r>
                </w:p>
                <w:p w14:paraId="69092AF2" w14:textId="12E57638" w:rsidR="00864FE9" w:rsidRPr="007D71EB" w:rsidRDefault="00864FE9" w:rsidP="00864FE9">
                  <w:pPr>
                    <w:shd w:val="clear" w:color="auto" w:fill="FFFFFF"/>
                    <w:jc w:val="both"/>
                    <w:rPr>
                      <w:i/>
                      <w:sz w:val="20"/>
                    </w:rPr>
                  </w:pPr>
                  <w:r>
                    <w:rPr>
                      <w:i/>
                      <w:sz w:val="20"/>
                      <w:szCs w:val="24"/>
                    </w:rPr>
                    <w:t xml:space="preserve">                                      </w:t>
                  </w:r>
                </w:p>
              </w:tc>
            </w:tr>
            <w:tr w:rsidR="00864FE9" w14:paraId="25FDFC53" w14:textId="77777777" w:rsidTr="00DE3A35">
              <w:trPr>
                <w:trHeight w:val="73"/>
              </w:trPr>
              <w:tc>
                <w:tcPr>
                  <w:tcW w:w="331" w:type="dxa"/>
                  <w:tcBorders>
                    <w:top w:val="single" w:sz="4" w:space="0" w:color="auto"/>
                  </w:tcBorders>
                </w:tcPr>
                <w:p w14:paraId="59F3303B" w14:textId="77777777" w:rsidR="00864FE9" w:rsidRDefault="00864FE9" w:rsidP="00864FE9">
                  <w:pPr>
                    <w:rPr>
                      <w:szCs w:val="24"/>
                      <w:lang w:eastAsia="lt-LT"/>
                    </w:rPr>
                  </w:pPr>
                </w:p>
              </w:tc>
              <w:tc>
                <w:tcPr>
                  <w:tcW w:w="0" w:type="auto"/>
                  <w:vMerge/>
                  <w:vAlign w:val="center"/>
                  <w:hideMark/>
                </w:tcPr>
                <w:p w14:paraId="618E2A6A" w14:textId="77777777" w:rsidR="00864FE9" w:rsidRDefault="00864FE9" w:rsidP="00864FE9">
                  <w:pPr>
                    <w:rPr>
                      <w:szCs w:val="24"/>
                      <w:lang w:eastAsia="lt-LT"/>
                    </w:rPr>
                  </w:pPr>
                </w:p>
              </w:tc>
            </w:tr>
            <w:tr w:rsidR="00864FE9" w14:paraId="792745DC" w14:textId="77777777" w:rsidTr="00DE3A35">
              <w:trPr>
                <w:trHeight w:val="523"/>
              </w:trPr>
              <w:tc>
                <w:tcPr>
                  <w:tcW w:w="331" w:type="dxa"/>
                </w:tcPr>
                <w:p w14:paraId="1BC5D180" w14:textId="77777777" w:rsidR="00864FE9" w:rsidRDefault="00864FE9" w:rsidP="00864FE9">
                  <w:pPr>
                    <w:rPr>
                      <w:szCs w:val="24"/>
                      <w:lang w:eastAsia="lt-LT"/>
                    </w:rPr>
                  </w:pPr>
                </w:p>
              </w:tc>
              <w:tc>
                <w:tcPr>
                  <w:tcW w:w="0" w:type="auto"/>
                  <w:vMerge/>
                  <w:vAlign w:val="center"/>
                  <w:hideMark/>
                </w:tcPr>
                <w:p w14:paraId="0F02CAB5" w14:textId="77777777" w:rsidR="00864FE9" w:rsidRDefault="00864FE9" w:rsidP="00864FE9">
                  <w:pPr>
                    <w:rPr>
                      <w:szCs w:val="24"/>
                      <w:lang w:eastAsia="lt-LT"/>
                    </w:rPr>
                  </w:pPr>
                </w:p>
              </w:tc>
            </w:tr>
          </w:tbl>
          <w:p w14:paraId="54A6A0EE" w14:textId="77777777" w:rsidR="00864FE9" w:rsidRDefault="00864FE9" w:rsidP="00D37A56">
            <w:pPr>
              <w:shd w:val="clear" w:color="auto" w:fill="FFFFFF"/>
              <w:jc w:val="both"/>
              <w:rPr>
                <w:i/>
                <w:sz w:val="20"/>
              </w:rPr>
            </w:pPr>
          </w:p>
          <w:p w14:paraId="208A9CA6" w14:textId="77777777" w:rsidR="00791E0A" w:rsidRDefault="00791E0A" w:rsidP="0021527D">
            <w:pPr>
              <w:jc w:val="both"/>
              <w:rPr>
                <w:szCs w:val="24"/>
              </w:rPr>
            </w:pPr>
          </w:p>
        </w:tc>
      </w:tr>
      <w:tr w:rsidR="00791E0A" w14:paraId="6943486C" w14:textId="77777777" w:rsidTr="00FA7CE5">
        <w:tc>
          <w:tcPr>
            <w:tcW w:w="352" w:type="dxa"/>
            <w:tcBorders>
              <w:top w:val="single" w:sz="4" w:space="0" w:color="auto"/>
            </w:tcBorders>
          </w:tcPr>
          <w:p w14:paraId="52A9418F" w14:textId="77777777" w:rsidR="00791E0A" w:rsidRDefault="00791E0A" w:rsidP="0021527D">
            <w:pPr>
              <w:rPr>
                <w:szCs w:val="24"/>
                <w:lang w:eastAsia="lt-LT"/>
              </w:rPr>
            </w:pPr>
          </w:p>
        </w:tc>
        <w:tc>
          <w:tcPr>
            <w:tcW w:w="9991" w:type="dxa"/>
            <w:vMerge/>
            <w:vAlign w:val="center"/>
            <w:hideMark/>
          </w:tcPr>
          <w:p w14:paraId="4244ECF5" w14:textId="77777777" w:rsidR="00791E0A" w:rsidRDefault="00791E0A" w:rsidP="0021527D">
            <w:pPr>
              <w:rPr>
                <w:szCs w:val="24"/>
                <w:lang w:eastAsia="lt-LT"/>
              </w:rPr>
            </w:pPr>
          </w:p>
        </w:tc>
      </w:tr>
      <w:tr w:rsidR="00F4203A" w14:paraId="75C0A8AD" w14:textId="77777777" w:rsidTr="00FA7CE5">
        <w:tc>
          <w:tcPr>
            <w:tcW w:w="352" w:type="dxa"/>
          </w:tcPr>
          <w:p w14:paraId="34A73C45" w14:textId="77777777" w:rsidR="00F4203A" w:rsidRDefault="00F4203A" w:rsidP="0021527D">
            <w:pPr>
              <w:rPr>
                <w:szCs w:val="24"/>
                <w:lang w:eastAsia="lt-LT"/>
              </w:rPr>
            </w:pPr>
          </w:p>
        </w:tc>
        <w:tc>
          <w:tcPr>
            <w:tcW w:w="9991" w:type="dxa"/>
            <w:vMerge/>
            <w:vAlign w:val="center"/>
          </w:tcPr>
          <w:p w14:paraId="0EBFF903" w14:textId="77777777" w:rsidR="00F4203A" w:rsidRDefault="00F4203A" w:rsidP="0021527D">
            <w:pPr>
              <w:rPr>
                <w:szCs w:val="24"/>
                <w:lang w:eastAsia="lt-LT"/>
              </w:rPr>
            </w:pPr>
          </w:p>
        </w:tc>
      </w:tr>
      <w:tr w:rsidR="00F4203A" w14:paraId="1621ED36" w14:textId="77777777" w:rsidTr="00FA7CE5">
        <w:tc>
          <w:tcPr>
            <w:tcW w:w="352" w:type="dxa"/>
          </w:tcPr>
          <w:p w14:paraId="6DF491A3" w14:textId="77777777" w:rsidR="00F4203A" w:rsidRDefault="00F4203A" w:rsidP="0021527D">
            <w:pPr>
              <w:rPr>
                <w:szCs w:val="24"/>
                <w:lang w:eastAsia="lt-LT"/>
              </w:rPr>
            </w:pPr>
          </w:p>
        </w:tc>
        <w:tc>
          <w:tcPr>
            <w:tcW w:w="9991" w:type="dxa"/>
            <w:vMerge/>
            <w:vAlign w:val="center"/>
          </w:tcPr>
          <w:p w14:paraId="5A840789" w14:textId="77777777" w:rsidR="00F4203A" w:rsidRDefault="00F4203A" w:rsidP="0021527D">
            <w:pPr>
              <w:rPr>
                <w:szCs w:val="24"/>
                <w:lang w:eastAsia="lt-LT"/>
              </w:rPr>
            </w:pPr>
          </w:p>
        </w:tc>
      </w:tr>
      <w:tr w:rsidR="00F4203A" w14:paraId="105FD04D" w14:textId="77777777" w:rsidTr="00FA7CE5">
        <w:tc>
          <w:tcPr>
            <w:tcW w:w="352" w:type="dxa"/>
            <w:tcBorders>
              <w:bottom w:val="single" w:sz="4" w:space="0" w:color="auto"/>
            </w:tcBorders>
          </w:tcPr>
          <w:p w14:paraId="087F922B" w14:textId="77777777" w:rsidR="00F4203A" w:rsidRDefault="00F4203A" w:rsidP="0021527D">
            <w:pPr>
              <w:rPr>
                <w:szCs w:val="24"/>
                <w:lang w:eastAsia="lt-LT"/>
              </w:rPr>
            </w:pPr>
          </w:p>
        </w:tc>
        <w:tc>
          <w:tcPr>
            <w:tcW w:w="9991" w:type="dxa"/>
            <w:vMerge/>
            <w:vAlign w:val="center"/>
          </w:tcPr>
          <w:p w14:paraId="211727D5" w14:textId="77777777" w:rsidR="00F4203A" w:rsidRDefault="00F4203A" w:rsidP="0021527D">
            <w:pPr>
              <w:rPr>
                <w:szCs w:val="24"/>
                <w:lang w:eastAsia="lt-LT"/>
              </w:rPr>
            </w:pPr>
          </w:p>
        </w:tc>
      </w:tr>
      <w:tr w:rsidR="00F4203A" w14:paraId="546B41CA" w14:textId="77777777" w:rsidTr="00FA7CE5">
        <w:tc>
          <w:tcPr>
            <w:tcW w:w="352" w:type="dxa"/>
            <w:tcBorders>
              <w:top w:val="single" w:sz="4" w:space="0" w:color="auto"/>
              <w:left w:val="single" w:sz="4" w:space="0" w:color="auto"/>
              <w:bottom w:val="single" w:sz="4" w:space="0" w:color="auto"/>
              <w:right w:val="single" w:sz="4" w:space="0" w:color="auto"/>
            </w:tcBorders>
          </w:tcPr>
          <w:p w14:paraId="2A62DFD8" w14:textId="0ED40C4D" w:rsidR="00F4203A" w:rsidRDefault="00F4203A" w:rsidP="00F4203A">
            <w:pPr>
              <w:rPr>
                <w:szCs w:val="24"/>
                <w:lang w:eastAsia="lt-LT"/>
              </w:rPr>
            </w:pPr>
            <w:r>
              <w:rPr>
                <w:szCs w:val="24"/>
                <w:lang w:eastAsia="lt-LT"/>
              </w:rPr>
              <w:t>×</w:t>
            </w:r>
          </w:p>
        </w:tc>
        <w:tc>
          <w:tcPr>
            <w:tcW w:w="9991" w:type="dxa"/>
            <w:vMerge/>
            <w:tcBorders>
              <w:left w:val="single" w:sz="4" w:space="0" w:color="auto"/>
            </w:tcBorders>
            <w:vAlign w:val="center"/>
          </w:tcPr>
          <w:p w14:paraId="2E3222BC" w14:textId="77777777" w:rsidR="00F4203A" w:rsidRDefault="00F4203A" w:rsidP="00F4203A">
            <w:pPr>
              <w:rPr>
                <w:szCs w:val="24"/>
                <w:lang w:eastAsia="lt-LT"/>
              </w:rPr>
            </w:pPr>
          </w:p>
        </w:tc>
      </w:tr>
      <w:tr w:rsidR="00FA7CE5" w14:paraId="6F6382E0" w14:textId="77777777" w:rsidTr="00FA7CE5">
        <w:tc>
          <w:tcPr>
            <w:tcW w:w="352" w:type="dxa"/>
            <w:tcBorders>
              <w:top w:val="single" w:sz="4" w:space="0" w:color="auto"/>
            </w:tcBorders>
          </w:tcPr>
          <w:p w14:paraId="33A0485A" w14:textId="77777777" w:rsidR="00FA7CE5" w:rsidRDefault="00FA7CE5" w:rsidP="00F4203A">
            <w:pPr>
              <w:rPr>
                <w:szCs w:val="24"/>
                <w:lang w:eastAsia="lt-LT"/>
              </w:rPr>
            </w:pPr>
          </w:p>
        </w:tc>
        <w:tc>
          <w:tcPr>
            <w:tcW w:w="9991" w:type="dxa"/>
            <w:vMerge/>
            <w:vAlign w:val="center"/>
          </w:tcPr>
          <w:p w14:paraId="27046A01" w14:textId="77777777" w:rsidR="00FA7CE5" w:rsidRDefault="00FA7CE5" w:rsidP="00F4203A">
            <w:pPr>
              <w:rPr>
                <w:szCs w:val="24"/>
                <w:lang w:eastAsia="lt-LT"/>
              </w:rPr>
            </w:pPr>
          </w:p>
        </w:tc>
      </w:tr>
      <w:tr w:rsidR="00791E0A" w14:paraId="2BF7FFDB" w14:textId="77777777" w:rsidTr="00FA7CE5">
        <w:tc>
          <w:tcPr>
            <w:tcW w:w="352" w:type="dxa"/>
          </w:tcPr>
          <w:p w14:paraId="553E33C5" w14:textId="77777777" w:rsidR="00791E0A" w:rsidRDefault="00791E0A" w:rsidP="0021527D">
            <w:pPr>
              <w:rPr>
                <w:szCs w:val="24"/>
                <w:lang w:eastAsia="lt-LT"/>
              </w:rPr>
            </w:pPr>
          </w:p>
        </w:tc>
        <w:tc>
          <w:tcPr>
            <w:tcW w:w="9991" w:type="dxa"/>
            <w:vMerge/>
            <w:vAlign w:val="center"/>
            <w:hideMark/>
          </w:tcPr>
          <w:p w14:paraId="4E54F2EB" w14:textId="77777777" w:rsidR="00791E0A" w:rsidRDefault="00791E0A" w:rsidP="0021527D">
            <w:pPr>
              <w:rPr>
                <w:szCs w:val="24"/>
                <w:lang w:eastAsia="lt-LT"/>
              </w:rPr>
            </w:pPr>
          </w:p>
        </w:tc>
      </w:tr>
    </w:tbl>
    <w:p w14:paraId="34914A42" w14:textId="329BF540" w:rsidR="00791E0A" w:rsidRDefault="00791E0A" w:rsidP="00791E0A">
      <w:pPr>
        <w:shd w:val="clear" w:color="auto" w:fill="FFFFFF"/>
        <w:rPr>
          <w:szCs w:val="24"/>
        </w:rPr>
      </w:pPr>
      <w:r>
        <w:rPr>
          <w:szCs w:val="24"/>
        </w:rPr>
        <w:t>Patvirtinu, kad šie duomenys yra teisingi ir aktualūs pasiūlymo pateikimo dieną.</w:t>
      </w:r>
      <w:r w:rsidR="006B52A3">
        <w:rPr>
          <w:szCs w:val="24"/>
        </w:rPr>
        <w:t xml:space="preserve"> </w:t>
      </w:r>
      <w:r w:rsidR="006B52A3" w:rsidRPr="006B52A3">
        <w:rPr>
          <w:color w:val="FF0000"/>
          <w:szCs w:val="24"/>
        </w:rPr>
        <w:t>Deklaruojamoms aplinkybėms pasikeitus, įsipareigoju nedelsiant apie tai informuoti CPO LT ir Užsakovą.</w:t>
      </w:r>
    </w:p>
    <w:p w14:paraId="44DAA117" w14:textId="77777777" w:rsidR="00791E0A" w:rsidRDefault="00791E0A" w:rsidP="00791E0A">
      <w:pPr>
        <w:shd w:val="clear" w:color="auto" w:fill="FFFFFF"/>
        <w:ind w:firstLine="720"/>
        <w:rPr>
          <w:szCs w:val="24"/>
        </w:rPr>
      </w:pPr>
    </w:p>
    <w:p w14:paraId="38A1F621" w14:textId="2A940A9B" w:rsidR="00791E0A" w:rsidRDefault="002B77DD" w:rsidP="002B77DD">
      <w:pPr>
        <w:widowControl w:val="0"/>
        <w:suppressAutoHyphens/>
        <w:jc w:val="both"/>
        <w:textAlignment w:val="baseline"/>
        <w:rPr>
          <w:sz w:val="18"/>
          <w:szCs w:val="18"/>
        </w:rPr>
      </w:pPr>
      <w:r w:rsidRPr="002B77DD">
        <w:rPr>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C78E6">
        <w:rPr>
          <w:szCs w:val="24"/>
          <w:vertAlign w:val="superscript"/>
        </w:rPr>
        <w:t>1</w:t>
      </w:r>
      <w:r w:rsidRPr="002B77DD">
        <w:rPr>
          <w:szCs w:val="24"/>
        </w:rPr>
        <w:t xml:space="preserve"> dalies </w:t>
      </w:r>
      <w:r w:rsidR="00820400" w:rsidRPr="00820400">
        <w:rPr>
          <w:color w:val="FF0000"/>
        </w:rPr>
        <w:t>1, 2, 3 ir 6 punktų</w:t>
      </w:r>
      <w:r w:rsidRPr="002B77DD">
        <w:rPr>
          <w:szCs w:val="24"/>
        </w:rPr>
        <w:t xml:space="preserve"> reikalavimams, jeigu tai būtina siekiant užtikrinti tinkamą pirkimo procedūros atlikimą.</w:t>
      </w:r>
    </w:p>
    <w:p w14:paraId="386C2CAD" w14:textId="77777777" w:rsidR="00791E0A" w:rsidRDefault="00791E0A" w:rsidP="00791E0A">
      <w:pPr>
        <w:widowControl w:val="0"/>
        <w:suppressAutoHyphens/>
        <w:jc w:val="center"/>
        <w:textAlignment w:val="baseline"/>
        <w:rPr>
          <w:sz w:val="18"/>
          <w:szCs w:val="18"/>
        </w:rPr>
      </w:pPr>
    </w:p>
    <w:p w14:paraId="28FAB6C6" w14:textId="77777777" w:rsidR="00791E0A" w:rsidRDefault="00791E0A" w:rsidP="00791E0A">
      <w:pPr>
        <w:widowControl w:val="0"/>
        <w:suppressAutoHyphens/>
        <w:jc w:val="center"/>
        <w:textAlignment w:val="baseline"/>
        <w:rPr>
          <w:sz w:val="18"/>
          <w:szCs w:val="18"/>
        </w:rPr>
      </w:pPr>
    </w:p>
    <w:p w14:paraId="3542A02C" w14:textId="77777777" w:rsidR="00791E0A" w:rsidRDefault="00791E0A" w:rsidP="00791E0A">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58079472" w14:textId="77777777" w:rsidR="00791E0A" w:rsidRDefault="00791E0A" w:rsidP="00791E0A">
      <w:pPr>
        <w:widowControl w:val="0"/>
        <w:suppressAutoHyphens/>
        <w:ind w:firstLine="471"/>
        <w:jc w:val="center"/>
        <w:textAlignment w:val="baseline"/>
      </w:pPr>
      <w:r>
        <w:rPr>
          <w:rFonts w:eastAsia="Calibri"/>
          <w:i/>
          <w:iCs/>
          <w:sz w:val="22"/>
        </w:rPr>
        <w:t>(pareigos)                                                           (parašas)                                                 (vardas ir pavardė)</w:t>
      </w:r>
    </w:p>
    <w:p w14:paraId="70D005AA" w14:textId="77777777" w:rsidR="00791E0A" w:rsidRDefault="00791E0A">
      <w:pPr>
        <w:widowControl w:val="0"/>
        <w:tabs>
          <w:tab w:val="right" w:leader="underscore" w:pos="9071"/>
        </w:tabs>
        <w:suppressAutoHyphens/>
        <w:jc w:val="center"/>
        <w:textAlignment w:val="baseline"/>
        <w:rPr>
          <w:rFonts w:eastAsia="Calibri"/>
          <w:b/>
          <w:bCs/>
        </w:rPr>
      </w:pPr>
    </w:p>
    <w:sectPr w:rsidR="00791E0A">
      <w:headerReference w:type="default" r:id="rId10"/>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C7DDB" w14:textId="77777777" w:rsidR="00BB15F5" w:rsidRDefault="00BB15F5">
      <w:pPr>
        <w:suppressAutoHyphens/>
        <w:textAlignment w:val="baseline"/>
      </w:pPr>
      <w:r>
        <w:separator/>
      </w:r>
    </w:p>
  </w:endnote>
  <w:endnote w:type="continuationSeparator" w:id="0">
    <w:p w14:paraId="5EA58705" w14:textId="77777777" w:rsidR="00BB15F5" w:rsidRDefault="00BB15F5">
      <w:pPr>
        <w:suppressAutoHyphens/>
        <w:textAlignment w:val="baseline"/>
      </w:pPr>
      <w:r>
        <w:continuationSeparator/>
      </w:r>
    </w:p>
  </w:endnote>
  <w:endnote w:type="continuationNotice" w:id="1">
    <w:p w14:paraId="31A5303F" w14:textId="77777777" w:rsidR="00BB15F5" w:rsidRDefault="00BB15F5"/>
  </w:endnote>
  <w:endnote w:id="2">
    <w:p w14:paraId="33FD5ABB" w14:textId="77777777" w:rsidR="004845AE" w:rsidRDefault="004845AE" w:rsidP="004845AE">
      <w:pPr>
        <w:pStyle w:val="EndnoteText"/>
        <w:jc w:val="both"/>
      </w:pPr>
    </w:p>
  </w:endnote>
  <w:endnote w:id="3">
    <w:p w14:paraId="198E7587" w14:textId="77777777" w:rsidR="004845AE" w:rsidRDefault="004845AE" w:rsidP="004845AE">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B2F83" w14:textId="77777777" w:rsidR="00BB15F5" w:rsidRDefault="00BB15F5">
      <w:pPr>
        <w:suppressAutoHyphens/>
        <w:textAlignment w:val="baseline"/>
      </w:pPr>
      <w:r>
        <w:rPr>
          <w:color w:val="000000"/>
        </w:rPr>
        <w:separator/>
      </w:r>
    </w:p>
  </w:footnote>
  <w:footnote w:type="continuationSeparator" w:id="0">
    <w:p w14:paraId="6B7D5169" w14:textId="77777777" w:rsidR="00BB15F5" w:rsidRDefault="00BB15F5">
      <w:pPr>
        <w:suppressAutoHyphens/>
        <w:textAlignment w:val="baseline"/>
      </w:pPr>
      <w:r>
        <w:continuationSeparator/>
      </w:r>
    </w:p>
  </w:footnote>
  <w:footnote w:type="continuationNotice" w:id="1">
    <w:p w14:paraId="11BB0C0C" w14:textId="77777777" w:rsidR="00BB15F5" w:rsidRDefault="00BB1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95" w:type="pct"/>
      <w:tblInd w:w="5" w:type="dxa"/>
      <w:tblLayout w:type="fixed"/>
      <w:tblLook w:val="04A0" w:firstRow="1" w:lastRow="0" w:firstColumn="1" w:lastColumn="0" w:noHBand="0" w:noVBand="1"/>
    </w:tblPr>
    <w:tblGrid>
      <w:gridCol w:w="8013"/>
      <w:gridCol w:w="2997"/>
    </w:tblGrid>
    <w:tr w:rsidR="008C20E8" w:rsidRPr="00AD5403" w14:paraId="4C704600" w14:textId="77777777" w:rsidTr="00E76FD5">
      <w:trPr>
        <w:trHeight w:val="568"/>
      </w:trPr>
      <w:tc>
        <w:tcPr>
          <w:tcW w:w="3639" w:type="pct"/>
          <w:shd w:val="clear" w:color="auto" w:fill="auto"/>
          <w:tcMar>
            <w:left w:w="0" w:type="dxa"/>
            <w:right w:w="0" w:type="dxa"/>
          </w:tcMar>
        </w:tcPr>
        <w:p w14:paraId="7015C28B" w14:textId="6F9393D1" w:rsidR="008D66BA" w:rsidRDefault="00C8565A" w:rsidP="008C20E8">
          <w:pPr>
            <w:ind w:left="4"/>
            <w:rPr>
              <w:sz w:val="20"/>
              <w:lang w:eastAsia="ja-JP"/>
            </w:rPr>
          </w:pPr>
          <w:r>
            <w:rPr>
              <w:sz w:val="20"/>
            </w:rPr>
            <w:t>Maisto produktų</w:t>
          </w:r>
          <w:r w:rsidR="008C20E8" w:rsidRPr="00B92A46">
            <w:rPr>
              <w:sz w:val="20"/>
            </w:rPr>
            <w:t xml:space="preserve"> </w:t>
          </w:r>
          <w:r w:rsidR="008C20E8" w:rsidRPr="00B92A46">
            <w:rPr>
              <w:sz w:val="20"/>
              <w:lang w:eastAsia="ja-JP"/>
            </w:rPr>
            <w:t xml:space="preserve">užsakymai per CPO LT </w:t>
          </w:r>
        </w:p>
        <w:p w14:paraId="12ACECD1" w14:textId="4C90F50D" w:rsidR="008C20E8" w:rsidRPr="00B92A46" w:rsidRDefault="008C20E8" w:rsidP="008C20E8">
          <w:pPr>
            <w:ind w:left="4"/>
            <w:rPr>
              <w:sz w:val="20"/>
              <w:lang w:eastAsia="ja-JP"/>
            </w:rPr>
          </w:pPr>
          <w:r w:rsidRPr="00B92A46">
            <w:rPr>
              <w:sz w:val="20"/>
              <w:lang w:eastAsia="ja-JP"/>
            </w:rPr>
            <w:t>elektroninį katalogą</w:t>
          </w:r>
        </w:p>
        <w:p w14:paraId="0345C4CC" w14:textId="0F05BAE3" w:rsidR="008C20E8" w:rsidRPr="00AD5403" w:rsidRDefault="008C20E8" w:rsidP="008C20E8">
          <w:pPr>
            <w:rPr>
              <w:sz w:val="22"/>
              <w:szCs w:val="22"/>
              <w:lang w:val="cs-CZ" w:eastAsia="ja-JP"/>
            </w:rPr>
          </w:pPr>
          <w:r w:rsidRPr="00B92A46">
            <w:rPr>
              <w:sz w:val="22"/>
              <w:szCs w:val="22"/>
              <w:lang w:eastAsia="ja-JP"/>
            </w:rPr>
            <w:t>PIRKIMO DOKUMENTAI</w:t>
          </w:r>
        </w:p>
      </w:tc>
      <w:tc>
        <w:tcPr>
          <w:tcW w:w="1361" w:type="pct"/>
          <w:shd w:val="clear" w:color="auto" w:fill="auto"/>
        </w:tcPr>
        <w:p w14:paraId="360D7542" w14:textId="77777777" w:rsidR="008C20E8" w:rsidRPr="00B92A46" w:rsidRDefault="008C20E8" w:rsidP="008C20E8">
          <w:pPr>
            <w:rPr>
              <w:sz w:val="22"/>
              <w:szCs w:val="22"/>
              <w:lang w:val="cs-CZ" w:eastAsia="ja-JP"/>
            </w:rPr>
          </w:pPr>
          <w:bookmarkStart w:id="0" w:name="_Hlk125009083"/>
          <w:r w:rsidRPr="00B92A46">
            <w:rPr>
              <w:sz w:val="22"/>
              <w:szCs w:val="22"/>
              <w:lang w:val="cs-CZ" w:eastAsia="ja-JP"/>
            </w:rPr>
            <w:t xml:space="preserve">A </w:t>
          </w:r>
          <w:r w:rsidRPr="00B92A46">
            <w:rPr>
              <w:sz w:val="22"/>
              <w:szCs w:val="22"/>
            </w:rPr>
            <w:t>DALIS</w:t>
          </w:r>
          <w:r w:rsidRPr="00B92A46">
            <w:rPr>
              <w:sz w:val="22"/>
              <w:szCs w:val="22"/>
              <w:lang w:val="cs-CZ" w:eastAsia="ja-JP"/>
            </w:rPr>
            <w:t xml:space="preserve">  </w:t>
          </w:r>
          <w:bookmarkEnd w:id="0"/>
        </w:p>
        <w:p w14:paraId="3D5838F9" w14:textId="4FF94ED9" w:rsidR="008C20E8" w:rsidRDefault="008C20E8" w:rsidP="008C20E8">
          <w:pPr>
            <w:rPr>
              <w:sz w:val="22"/>
              <w:szCs w:val="22"/>
              <w:lang w:val="cs-CZ" w:eastAsia="ja-JP"/>
            </w:rPr>
          </w:pPr>
          <w:r w:rsidRPr="00B92A46">
            <w:rPr>
              <w:sz w:val="22"/>
              <w:szCs w:val="22"/>
              <w:lang w:val="cs-CZ" w:eastAsia="ja-JP"/>
            </w:rPr>
            <w:t xml:space="preserve">PUSLAPIS </w:t>
          </w:r>
          <w:r w:rsidRPr="00B92A46">
            <w:rPr>
              <w:sz w:val="22"/>
              <w:szCs w:val="22"/>
              <w:lang w:val="cs-CZ" w:eastAsia="ja-JP"/>
            </w:rPr>
            <w:fldChar w:fldCharType="begin"/>
          </w:r>
          <w:r w:rsidRPr="00B92A46">
            <w:rPr>
              <w:sz w:val="22"/>
              <w:szCs w:val="22"/>
              <w:lang w:val="cs-CZ" w:eastAsia="ja-JP"/>
            </w:rPr>
            <w:instrText xml:space="preserve">PAGE  </w:instrText>
          </w:r>
          <w:r w:rsidRPr="00B92A46">
            <w:rPr>
              <w:sz w:val="22"/>
              <w:szCs w:val="22"/>
              <w:lang w:val="cs-CZ" w:eastAsia="ja-JP"/>
            </w:rPr>
            <w:fldChar w:fldCharType="separate"/>
          </w:r>
          <w:r w:rsidRPr="00B92A46">
            <w:rPr>
              <w:noProof/>
              <w:sz w:val="22"/>
              <w:szCs w:val="22"/>
              <w:lang w:val="cs-CZ" w:eastAsia="ja-JP"/>
            </w:rPr>
            <w:t>15</w:t>
          </w:r>
          <w:r w:rsidRPr="00B92A46">
            <w:rPr>
              <w:sz w:val="22"/>
              <w:szCs w:val="22"/>
              <w:lang w:val="cs-CZ" w:eastAsia="ja-JP"/>
            </w:rPr>
            <w:fldChar w:fldCharType="end"/>
          </w:r>
          <w:r w:rsidRPr="00B92A46">
            <w:rPr>
              <w:sz w:val="22"/>
              <w:szCs w:val="22"/>
              <w:lang w:val="cs-CZ" w:eastAsia="ja-JP"/>
            </w:rPr>
            <w:t xml:space="preserve"> IŠ </w:t>
          </w:r>
          <w:r w:rsidRPr="00B92A46">
            <w:rPr>
              <w:sz w:val="22"/>
              <w:szCs w:val="22"/>
              <w:lang w:val="cs-CZ" w:eastAsia="ja-JP"/>
            </w:rPr>
            <w:fldChar w:fldCharType="begin"/>
          </w:r>
          <w:r w:rsidRPr="00B92A46">
            <w:rPr>
              <w:sz w:val="22"/>
              <w:szCs w:val="22"/>
              <w:lang w:val="cs-CZ" w:eastAsia="ja-JP"/>
            </w:rPr>
            <w:instrText xml:space="preserve"> NUMPAGES  \* MERGEFORMAT </w:instrText>
          </w:r>
          <w:r w:rsidRPr="00B92A46">
            <w:rPr>
              <w:sz w:val="22"/>
              <w:szCs w:val="22"/>
              <w:lang w:val="cs-CZ" w:eastAsia="ja-JP"/>
            </w:rPr>
            <w:fldChar w:fldCharType="separate"/>
          </w:r>
          <w:r w:rsidRPr="00B92A46">
            <w:rPr>
              <w:noProof/>
              <w:sz w:val="22"/>
              <w:szCs w:val="22"/>
              <w:lang w:val="cs-CZ" w:eastAsia="ja-JP"/>
            </w:rPr>
            <w:t>35</w:t>
          </w:r>
          <w:r w:rsidRPr="00B92A46">
            <w:rPr>
              <w:sz w:val="22"/>
              <w:szCs w:val="22"/>
              <w:lang w:val="cs-CZ" w:eastAsia="ja-JP"/>
            </w:rPr>
            <w:fldChar w:fldCharType="end"/>
          </w:r>
        </w:p>
        <w:p w14:paraId="2A52B1AD" w14:textId="5EB1C3F1" w:rsidR="00853FAC" w:rsidRPr="00B92A46" w:rsidRDefault="00853FAC" w:rsidP="008C20E8">
          <w:pPr>
            <w:rPr>
              <w:sz w:val="22"/>
              <w:szCs w:val="22"/>
              <w:lang w:val="cs-CZ" w:eastAsia="ja-JP"/>
            </w:rPr>
          </w:pPr>
          <w:r>
            <w:rPr>
              <w:sz w:val="22"/>
              <w:szCs w:val="22"/>
              <w:lang w:val="cs-CZ" w:eastAsia="ja-JP"/>
            </w:rPr>
            <w:t>6 priedas</w:t>
          </w:r>
        </w:p>
        <w:p w14:paraId="37156FD6" w14:textId="69DF4957" w:rsidR="008C20E8" w:rsidRPr="00AD5403" w:rsidRDefault="008C20E8" w:rsidP="008C20E8">
          <w:pPr>
            <w:rPr>
              <w:sz w:val="22"/>
              <w:szCs w:val="22"/>
              <w:lang w:val="cs-CZ" w:eastAsia="ja-JP"/>
            </w:rPr>
          </w:pPr>
        </w:p>
      </w:tc>
    </w:tr>
  </w:tbl>
  <w:p w14:paraId="03265107" w14:textId="3D50C48D" w:rsidR="00AB2DB3" w:rsidRPr="00E3103E" w:rsidRDefault="00AB2DB3" w:rsidP="00E310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49F2"/>
    <w:rsid w:val="0003057B"/>
    <w:rsid w:val="00052F23"/>
    <w:rsid w:val="000A1E27"/>
    <w:rsid w:val="000D68DB"/>
    <w:rsid w:val="001028BB"/>
    <w:rsid w:val="00126115"/>
    <w:rsid w:val="001264E6"/>
    <w:rsid w:val="00133809"/>
    <w:rsid w:val="001A71DC"/>
    <w:rsid w:val="001C0E71"/>
    <w:rsid w:val="002043EF"/>
    <w:rsid w:val="00231048"/>
    <w:rsid w:val="002603DD"/>
    <w:rsid w:val="00266987"/>
    <w:rsid w:val="00273759"/>
    <w:rsid w:val="00290D4D"/>
    <w:rsid w:val="002B77DD"/>
    <w:rsid w:val="002D74A9"/>
    <w:rsid w:val="002F162F"/>
    <w:rsid w:val="002F5F2A"/>
    <w:rsid w:val="00344B9B"/>
    <w:rsid w:val="00390A05"/>
    <w:rsid w:val="003C062B"/>
    <w:rsid w:val="003D65C2"/>
    <w:rsid w:val="003E23F7"/>
    <w:rsid w:val="00463C20"/>
    <w:rsid w:val="0048299D"/>
    <w:rsid w:val="004845AE"/>
    <w:rsid w:val="004C3776"/>
    <w:rsid w:val="004E0C69"/>
    <w:rsid w:val="004F5D00"/>
    <w:rsid w:val="0051349F"/>
    <w:rsid w:val="00535F66"/>
    <w:rsid w:val="00551A1E"/>
    <w:rsid w:val="00572112"/>
    <w:rsid w:val="005C0EE7"/>
    <w:rsid w:val="005D09E8"/>
    <w:rsid w:val="005D4B50"/>
    <w:rsid w:val="005D75BF"/>
    <w:rsid w:val="005D7D35"/>
    <w:rsid w:val="00613A03"/>
    <w:rsid w:val="00620498"/>
    <w:rsid w:val="00623A91"/>
    <w:rsid w:val="00630B1A"/>
    <w:rsid w:val="00630E45"/>
    <w:rsid w:val="00631B3C"/>
    <w:rsid w:val="00666FFB"/>
    <w:rsid w:val="00683B74"/>
    <w:rsid w:val="006B52A3"/>
    <w:rsid w:val="006C6B8B"/>
    <w:rsid w:val="006F56FE"/>
    <w:rsid w:val="007510D7"/>
    <w:rsid w:val="00755C2B"/>
    <w:rsid w:val="00791E0A"/>
    <w:rsid w:val="007A1B2A"/>
    <w:rsid w:val="007D51C7"/>
    <w:rsid w:val="00820400"/>
    <w:rsid w:val="00823727"/>
    <w:rsid w:val="00831C7D"/>
    <w:rsid w:val="00853FAC"/>
    <w:rsid w:val="00862DE2"/>
    <w:rsid w:val="00864FE9"/>
    <w:rsid w:val="008763FB"/>
    <w:rsid w:val="008A2CB3"/>
    <w:rsid w:val="008B38DF"/>
    <w:rsid w:val="008B76BD"/>
    <w:rsid w:val="008C20E8"/>
    <w:rsid w:val="008D66BA"/>
    <w:rsid w:val="00901FC5"/>
    <w:rsid w:val="00972617"/>
    <w:rsid w:val="00982C56"/>
    <w:rsid w:val="009A5F86"/>
    <w:rsid w:val="009C78E6"/>
    <w:rsid w:val="009F56AA"/>
    <w:rsid w:val="00A24B57"/>
    <w:rsid w:val="00A447A8"/>
    <w:rsid w:val="00A5362A"/>
    <w:rsid w:val="00A65E68"/>
    <w:rsid w:val="00AB2DB3"/>
    <w:rsid w:val="00AC7D47"/>
    <w:rsid w:val="00AD2288"/>
    <w:rsid w:val="00B25E01"/>
    <w:rsid w:val="00B43FA8"/>
    <w:rsid w:val="00B71054"/>
    <w:rsid w:val="00B71685"/>
    <w:rsid w:val="00B7188B"/>
    <w:rsid w:val="00BA5ADD"/>
    <w:rsid w:val="00BB15F5"/>
    <w:rsid w:val="00BC6317"/>
    <w:rsid w:val="00BD458A"/>
    <w:rsid w:val="00C5303C"/>
    <w:rsid w:val="00C5568E"/>
    <w:rsid w:val="00C74E09"/>
    <w:rsid w:val="00C8565A"/>
    <w:rsid w:val="00C908DF"/>
    <w:rsid w:val="00C9166C"/>
    <w:rsid w:val="00CE6A08"/>
    <w:rsid w:val="00CF58FD"/>
    <w:rsid w:val="00D37A56"/>
    <w:rsid w:val="00D41E9D"/>
    <w:rsid w:val="00DB1FDB"/>
    <w:rsid w:val="00DB6D40"/>
    <w:rsid w:val="00DC5F06"/>
    <w:rsid w:val="00DD6F49"/>
    <w:rsid w:val="00DE3A35"/>
    <w:rsid w:val="00DF5AEA"/>
    <w:rsid w:val="00E3103E"/>
    <w:rsid w:val="00E8448F"/>
    <w:rsid w:val="00F02A36"/>
    <w:rsid w:val="00F0535E"/>
    <w:rsid w:val="00F20FA9"/>
    <w:rsid w:val="00F25EA9"/>
    <w:rsid w:val="00F4203A"/>
    <w:rsid w:val="00F46FC4"/>
    <w:rsid w:val="00F95429"/>
    <w:rsid w:val="00FA622C"/>
    <w:rsid w:val="00FA7CE5"/>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character" w:styleId="CommentReference">
    <w:name w:val="annotation reference"/>
    <w:basedOn w:val="DefaultParagraphFont"/>
    <w:semiHidden/>
    <w:unhideWhenUsed/>
    <w:rsid w:val="00864FE9"/>
    <w:rPr>
      <w:sz w:val="16"/>
      <w:szCs w:val="16"/>
    </w:rPr>
  </w:style>
  <w:style w:type="paragraph" w:styleId="CommentText">
    <w:name w:val="annotation text"/>
    <w:basedOn w:val="Normal"/>
    <w:link w:val="CommentTextChar"/>
    <w:unhideWhenUsed/>
    <w:rsid w:val="00864FE9"/>
    <w:rPr>
      <w:sz w:val="20"/>
    </w:rPr>
  </w:style>
  <w:style w:type="character" w:customStyle="1" w:styleId="CommentTextChar">
    <w:name w:val="Comment Text Char"/>
    <w:basedOn w:val="DefaultParagraphFont"/>
    <w:link w:val="CommentText"/>
    <w:rsid w:val="00864FE9"/>
    <w:rPr>
      <w:sz w:val="20"/>
    </w:rPr>
  </w:style>
  <w:style w:type="paragraph" w:styleId="EndnoteText">
    <w:name w:val="endnote text"/>
    <w:basedOn w:val="Normal"/>
    <w:link w:val="EndnoteTextChar"/>
    <w:uiPriority w:val="99"/>
    <w:semiHidden/>
    <w:unhideWhenUsed/>
    <w:rsid w:val="004845AE"/>
    <w:rPr>
      <w:rFonts w:asciiTheme="minorHAnsi" w:eastAsiaTheme="minorHAnsi" w:hAnsiTheme="minorHAnsi" w:cstheme="minorBidi"/>
      <w:noProof/>
      <w:sz w:val="20"/>
    </w:rPr>
  </w:style>
  <w:style w:type="character" w:customStyle="1" w:styleId="EndnoteTextChar">
    <w:name w:val="Endnote Text Char"/>
    <w:basedOn w:val="DefaultParagraphFont"/>
    <w:link w:val="EndnoteText"/>
    <w:uiPriority w:val="99"/>
    <w:semiHidden/>
    <w:rsid w:val="004845AE"/>
    <w:rPr>
      <w:rFonts w:asciiTheme="minorHAnsi" w:eastAsiaTheme="minorHAnsi" w:hAnsiTheme="minorHAnsi" w:cstheme="minorBidi"/>
      <w:noProof/>
      <w:sz w:val="20"/>
    </w:rPr>
  </w:style>
  <w:style w:type="character" w:styleId="EndnoteReference">
    <w:name w:val="endnote reference"/>
    <w:basedOn w:val="DefaultParagraphFont"/>
    <w:uiPriority w:val="99"/>
    <w:semiHidden/>
    <w:unhideWhenUsed/>
    <w:rsid w:val="004845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956213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4.xml><?xml version="1.0" encoding="utf-8"?>
<ds:datastoreItem xmlns:ds="http://schemas.openxmlformats.org/officeDocument/2006/customXml" ds:itemID="{5CB8784A-A958-4A54-B286-C1E38A823A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573</Words>
  <Characters>3272</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Renata Golovčianskienė</cp:lastModifiedBy>
  <cp:revision>16</cp:revision>
  <cp:lastPrinted>2023-04-11T07:58:00Z</cp:lastPrinted>
  <dcterms:created xsi:type="dcterms:W3CDTF">2023-05-25T05:00:00Z</dcterms:created>
  <dcterms:modified xsi:type="dcterms:W3CDTF">2024-09-27T10:45:00Z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