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51FBB029" w:rsidR="005A5832" w:rsidRPr="00775A6C" w:rsidRDefault="00376ACB" w:rsidP="00376ACB">
            <w:pPr>
              <w:jc w:val="center"/>
              <w:rPr>
                <w:b/>
                <w:bCs/>
                <w:noProof/>
                <w:kern w:val="2"/>
                <w:sz w:val="22"/>
                <w:szCs w:val="22"/>
              </w:rPr>
            </w:pPr>
            <w:r w:rsidRPr="00376ACB">
              <w:rPr>
                <w:b/>
                <w:bCs/>
                <w:noProof/>
                <w:kern w:val="2"/>
                <w:sz w:val="22"/>
                <w:szCs w:val="22"/>
              </w:rPr>
              <w:t xml:space="preserve">Vienkartinės medicinos pagalbos priemonės </w:t>
            </w:r>
            <w:r w:rsidR="00884F1B">
              <w:rPr>
                <w:b/>
                <w:bCs/>
                <w:noProof/>
                <w:kern w:val="2"/>
                <w:sz w:val="22"/>
                <w:szCs w:val="22"/>
              </w:rPr>
              <w:t>intervencinei kardiologijai ir radiologijai</w:t>
            </w:r>
            <w:r w:rsidRPr="00376ACB">
              <w:rPr>
                <w:b/>
                <w:bCs/>
                <w:noProof/>
                <w:kern w:val="2"/>
                <w:sz w:val="22"/>
                <w:szCs w:val="22"/>
              </w:rPr>
              <w:t xml:space="preserve"> (98</w:t>
            </w:r>
            <w:r w:rsidR="00884F1B">
              <w:rPr>
                <w:b/>
                <w:bCs/>
                <w:noProof/>
                <w:kern w:val="2"/>
                <w:sz w:val="22"/>
                <w:szCs w:val="22"/>
              </w:rPr>
              <w:t>26</w:t>
            </w:r>
            <w:r w:rsidR="00E667EA" w:rsidRPr="00E667EA">
              <w:rPr>
                <w:b/>
                <w:bCs/>
                <w:noProof/>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050A1C14"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D47B5">
              <w:rPr>
                <w:kern w:val="2"/>
                <w:sz w:val="22"/>
                <w:szCs w:val="22"/>
              </w:rPr>
              <w:t>vienkartines medicinos pagalbos priemones</w:t>
            </w:r>
            <w:r w:rsidR="00927949">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6D1EF297" w:rsidR="005A5832" w:rsidRPr="00333420" w:rsidRDefault="00AD47B5" w:rsidP="00AD47B5">
            <w:pPr>
              <w:jc w:val="both"/>
              <w:rPr>
                <w:kern w:val="2"/>
                <w:sz w:val="22"/>
                <w:szCs w:val="22"/>
              </w:rPr>
            </w:pPr>
            <w:r w:rsidRPr="00AD47B5">
              <w:rPr>
                <w:noProof/>
                <w:kern w:val="2"/>
                <w:sz w:val="22"/>
                <w:szCs w:val="22"/>
              </w:rPr>
              <w:t xml:space="preserve">Vienkartinės medicinos pagalbos priemonės </w:t>
            </w:r>
            <w:r w:rsidR="00884F1B">
              <w:rPr>
                <w:noProof/>
                <w:kern w:val="2"/>
                <w:sz w:val="22"/>
                <w:szCs w:val="22"/>
              </w:rPr>
              <w:t>intervencinei kardiologijai ir radiologijai</w:t>
            </w:r>
            <w:r w:rsidRPr="00AD47B5">
              <w:rPr>
                <w:kern w:val="2"/>
                <w:sz w:val="22"/>
                <w:szCs w:val="22"/>
              </w:rPr>
              <w:t xml:space="preserve"> (98</w:t>
            </w:r>
            <w:r w:rsidR="00884F1B">
              <w:rPr>
                <w:kern w:val="2"/>
                <w:sz w:val="22"/>
                <w:szCs w:val="22"/>
              </w:rPr>
              <w:t>26</w:t>
            </w:r>
            <w:r w:rsidR="000F3774" w:rsidRPr="000F3774">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2DFA731D"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884F1B">
              <w:rPr>
                <w:kern w:val="2"/>
                <w:sz w:val="22"/>
                <w:szCs w:val="22"/>
              </w:rPr>
              <w:t xml:space="preserve">pristatyti Prekes ne vėliau kaip per </w:t>
            </w:r>
            <w:r w:rsidR="008B4591" w:rsidRPr="00884F1B">
              <w:rPr>
                <w:b/>
                <w:bCs/>
                <w:kern w:val="2"/>
                <w:sz w:val="22"/>
                <w:szCs w:val="22"/>
              </w:rPr>
              <w:t>1</w:t>
            </w:r>
            <w:r w:rsidR="00BD18C1" w:rsidRPr="00884F1B">
              <w:rPr>
                <w:b/>
                <w:bCs/>
                <w:kern w:val="2"/>
                <w:sz w:val="22"/>
                <w:szCs w:val="22"/>
              </w:rPr>
              <w:t>0</w:t>
            </w:r>
            <w:r w:rsidR="0044278D" w:rsidRPr="00884F1B">
              <w:rPr>
                <w:color w:val="FF0000"/>
                <w:kern w:val="2"/>
                <w:sz w:val="22"/>
                <w:szCs w:val="22"/>
              </w:rPr>
              <w:t xml:space="preserve"> </w:t>
            </w:r>
            <w:r w:rsidR="00BC289B" w:rsidRPr="00884F1B">
              <w:rPr>
                <w:kern w:val="2"/>
                <w:sz w:val="22"/>
                <w:szCs w:val="22"/>
              </w:rPr>
              <w:t xml:space="preserve">(dešimt) </w:t>
            </w:r>
            <w:r w:rsidR="0044278D" w:rsidRPr="00884F1B">
              <w:rPr>
                <w:kern w:val="2"/>
                <w:sz w:val="22"/>
                <w:szCs w:val="22"/>
              </w:rPr>
              <w:t>darbo dien</w:t>
            </w:r>
            <w:r w:rsidR="008B4591" w:rsidRPr="00884F1B">
              <w:rPr>
                <w:kern w:val="2"/>
                <w:sz w:val="22"/>
                <w:szCs w:val="22"/>
              </w:rPr>
              <w:t>ų</w:t>
            </w:r>
            <w:r w:rsidR="000135D4" w:rsidRPr="00884F1B">
              <w:rPr>
                <w:kern w:val="2"/>
                <w:sz w:val="22"/>
                <w:szCs w:val="22"/>
              </w:rPr>
              <w:t xml:space="preserve">, o skubos atveju </w:t>
            </w:r>
            <w:r w:rsidRPr="00884F1B">
              <w:rPr>
                <w:kern w:val="2"/>
                <w:sz w:val="22"/>
                <w:szCs w:val="22"/>
              </w:rPr>
              <w:t xml:space="preserve"> </w:t>
            </w:r>
            <w:r w:rsidR="000135D4" w:rsidRPr="00884F1B">
              <w:rPr>
                <w:kern w:val="2"/>
                <w:sz w:val="22"/>
                <w:szCs w:val="22"/>
              </w:rPr>
              <w:t xml:space="preserve">ne vėliau kaip per </w:t>
            </w:r>
            <w:r w:rsidR="000135D4" w:rsidRPr="00884F1B">
              <w:rPr>
                <w:b/>
                <w:bCs/>
                <w:kern w:val="2"/>
                <w:sz w:val="22"/>
                <w:szCs w:val="22"/>
              </w:rPr>
              <w:t>5</w:t>
            </w:r>
            <w:r w:rsidR="000135D4" w:rsidRPr="00884F1B">
              <w:rPr>
                <w:kern w:val="2"/>
                <w:sz w:val="22"/>
                <w:szCs w:val="22"/>
              </w:rPr>
              <w:t xml:space="preserve"> (penkias</w:t>
            </w:r>
            <w:r w:rsidR="000135D4" w:rsidRPr="000135D4">
              <w:rPr>
                <w:kern w:val="2"/>
                <w:sz w:val="22"/>
                <w:szCs w:val="22"/>
              </w:rPr>
              <w:t>) darbo dien</w:t>
            </w:r>
            <w:r w:rsidR="000135D4">
              <w:rPr>
                <w:kern w:val="2"/>
                <w:sz w:val="22"/>
                <w:szCs w:val="22"/>
              </w:rPr>
              <w:t>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8B1FFF" w:rsidRPr="00BF7E46">
              <w:rPr>
                <w:kern w:val="2"/>
                <w:sz w:val="22"/>
                <w:szCs w:val="22"/>
              </w:rPr>
              <w:t>VšĮ Vilniaus universiteto ligoninė Santaros klinik</w:t>
            </w:r>
            <w:r w:rsidR="0023431B">
              <w:rPr>
                <w:kern w:val="2"/>
                <w:sz w:val="22"/>
                <w:szCs w:val="22"/>
              </w:rPr>
              <w:t>os</w:t>
            </w:r>
            <w:r w:rsidR="0044278D" w:rsidRPr="00071915">
              <w:rPr>
                <w:kern w:val="2"/>
                <w:sz w:val="22"/>
                <w:szCs w:val="22"/>
              </w:rPr>
              <w:t xml:space="preserve">, </w:t>
            </w:r>
            <w:r w:rsidR="00A91E37" w:rsidRPr="00071915">
              <w:rPr>
                <w:kern w:val="2"/>
                <w:sz w:val="22"/>
                <w:szCs w:val="22"/>
              </w:rPr>
              <w:t>Santariškių</w:t>
            </w:r>
            <w:r w:rsidR="0044278D" w:rsidRPr="00071915">
              <w:rPr>
                <w:kern w:val="2"/>
                <w:sz w:val="22"/>
                <w:szCs w:val="22"/>
              </w:rPr>
              <w:t xml:space="preserve"> g. </w:t>
            </w:r>
            <w:r w:rsidR="00DB0ACC" w:rsidRPr="00071915">
              <w:rPr>
                <w:kern w:val="2"/>
                <w:sz w:val="22"/>
                <w:szCs w:val="22"/>
              </w:rPr>
              <w:t>2</w:t>
            </w:r>
            <w:r w:rsidR="0044278D" w:rsidRPr="00071915">
              <w:rPr>
                <w:kern w:val="2"/>
                <w:sz w:val="22"/>
                <w:szCs w:val="22"/>
              </w:rPr>
              <w:t>, Vilniuje</w:t>
            </w:r>
            <w:r w:rsidR="00BD18C1" w:rsidRPr="00071915">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w:t>
            </w:r>
            <w:r w:rsidRPr="00B32F2F">
              <w:rPr>
                <w:kern w:val="2"/>
                <w:sz w:val="22"/>
                <w:szCs w:val="22"/>
              </w:rPr>
              <w:lastRenderedPageBreak/>
              <w:t xml:space="preserve">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3"/>
          </w:tcPr>
          <w:p w14:paraId="4B126A17" w14:textId="11D910A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B969FB" w:rsidRPr="00B969FB">
              <w:rPr>
                <w:sz w:val="22"/>
                <w:szCs w:val="22"/>
              </w:rPr>
              <w:t>5</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B753F9" w:rsidRDefault="00BE14B9" w:rsidP="00B753F9">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lastRenderedPageBreak/>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435188">
              <w:rPr>
                <w:kern w:val="2"/>
                <w:sz w:val="22"/>
                <w:szCs w:val="22"/>
                <w:u w:val="single"/>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435188">
              <w:rPr>
                <w:kern w:val="2"/>
                <w:sz w:val="22"/>
                <w:szCs w:val="22"/>
                <w:u w:val="single"/>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435188">
              <w:rPr>
                <w:kern w:val="2"/>
                <w:sz w:val="22"/>
                <w:szCs w:val="22"/>
                <w:u w:val="single"/>
                <w:shd w:val="clear" w:color="auto" w:fill="FFFFFF"/>
              </w:rPr>
              <w:t>dviejų</w:t>
            </w:r>
            <w:r w:rsidRPr="00624BE1">
              <w:rPr>
                <w:b/>
                <w:bCs/>
                <w:kern w:val="2"/>
                <w:sz w:val="22"/>
                <w:szCs w:val="22"/>
                <w:shd w:val="clear" w:color="auto" w:fill="FFFFFF"/>
              </w:rPr>
              <w:t xml:space="preserve">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726960C1"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trumpesnis nei 70% </w:t>
            </w:r>
            <w:r w:rsidR="00540599">
              <w:rPr>
                <w:kern w:val="2"/>
                <w:sz w:val="22"/>
                <w:szCs w:val="22"/>
              </w:rPr>
              <w:t xml:space="preserve">(septyniasdešimt procentų) </w:t>
            </w:r>
            <w:r w:rsidR="00BE5A4D" w:rsidRPr="00BE5A4D">
              <w:rPr>
                <w:kern w:val="2"/>
                <w:sz w:val="22"/>
                <w:szCs w:val="22"/>
              </w:rPr>
              <w:t>priemonės galiojimo termino</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6B70D8" w:rsidRDefault="000E0314" w:rsidP="000E031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552B59">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104BE1">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552B59">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104BE1">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5B3DE9" w:rsidRDefault="000E0314" w:rsidP="000E031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FBF3608" w:rsidR="000E0314" w:rsidRPr="005B3DE9" w:rsidRDefault="000E0314" w:rsidP="000E0314">
            <w:pPr>
              <w:jc w:val="both"/>
              <w:rPr>
                <w:color w:val="4472C4"/>
                <w:kern w:val="2"/>
                <w:sz w:val="22"/>
                <w:szCs w:val="22"/>
              </w:rPr>
            </w:pPr>
            <w:r w:rsidRPr="005B3DE9">
              <w:rPr>
                <w:color w:val="000000"/>
                <w:kern w:val="2"/>
                <w:sz w:val="22"/>
                <w:szCs w:val="22"/>
              </w:rPr>
              <w:t xml:space="preserve">Sutartis galioja iki visiško prievolių </w:t>
            </w:r>
            <w:r w:rsidRPr="005D0691">
              <w:rPr>
                <w:color w:val="000000"/>
                <w:kern w:val="2"/>
                <w:sz w:val="22"/>
                <w:szCs w:val="22"/>
              </w:rPr>
              <w:t>įvykdymo (kol</w:t>
            </w:r>
            <w:r w:rsidRPr="00050E29">
              <w:rPr>
                <w:color w:val="000000"/>
                <w:kern w:val="2"/>
                <w:sz w:val="22"/>
                <w:szCs w:val="22"/>
              </w:rPr>
              <w:t xml:space="preserve"> bus išnaudota Pradinės Sutarties vertė, bet jos terminas negali būti ilgesnis kaip </w:t>
            </w:r>
            <w:r w:rsidR="00050E29" w:rsidRPr="00050E29">
              <w:rPr>
                <w:b/>
                <w:bCs/>
                <w:color w:val="000000"/>
                <w:kern w:val="2"/>
                <w:sz w:val="22"/>
                <w:szCs w:val="22"/>
              </w:rPr>
              <w:t>3</w:t>
            </w:r>
            <w:r w:rsidR="006D72BD" w:rsidRPr="00050E29">
              <w:rPr>
                <w:b/>
                <w:sz w:val="22"/>
                <w:szCs w:val="22"/>
              </w:rPr>
              <w:t>6</w:t>
            </w:r>
            <w:r w:rsidRPr="00050E29">
              <w:rPr>
                <w:b/>
                <w:sz w:val="22"/>
                <w:szCs w:val="22"/>
              </w:rPr>
              <w:t xml:space="preserve"> (</w:t>
            </w:r>
            <w:r w:rsidR="00050E29" w:rsidRPr="00050E29">
              <w:rPr>
                <w:b/>
                <w:sz w:val="22"/>
                <w:szCs w:val="22"/>
              </w:rPr>
              <w:t>tris</w:t>
            </w:r>
            <w:r w:rsidRPr="00050E29">
              <w:rPr>
                <w:b/>
                <w:sz w:val="22"/>
                <w:szCs w:val="22"/>
              </w:rPr>
              <w:t xml:space="preserve">dešimt </w:t>
            </w:r>
            <w:r w:rsidR="006D72BD" w:rsidRPr="00050E29">
              <w:rPr>
                <w:b/>
                <w:sz w:val="22"/>
                <w:szCs w:val="22"/>
              </w:rPr>
              <w:t>šeš</w:t>
            </w:r>
            <w:r w:rsidRPr="00050E29">
              <w:rPr>
                <w:b/>
                <w:sz w:val="22"/>
                <w:szCs w:val="22"/>
              </w:rPr>
              <w:t xml:space="preserve">i) mėnesiai </w:t>
            </w:r>
            <w:r w:rsidRPr="00050E29">
              <w:rPr>
                <w:sz w:val="22"/>
                <w:szCs w:val="22"/>
              </w:rPr>
              <w:t xml:space="preserve">(sutarties vykdymo trukmė (prekių tiekimo terminas) – </w:t>
            </w:r>
            <w:r w:rsidR="00050E29" w:rsidRPr="00050E29">
              <w:rPr>
                <w:sz w:val="22"/>
                <w:szCs w:val="22"/>
              </w:rPr>
              <w:t>38</w:t>
            </w:r>
            <w:r w:rsidRPr="00050E29">
              <w:rPr>
                <w:sz w:val="22"/>
                <w:szCs w:val="22"/>
              </w:rPr>
              <w:t xml:space="preserve"> (trisdešimt </w:t>
            </w:r>
            <w:r w:rsidR="005D0691">
              <w:rPr>
                <w:sz w:val="22"/>
                <w:szCs w:val="22"/>
              </w:rPr>
              <w:t>aštuoni</w:t>
            </w:r>
            <w:r w:rsidRPr="00050E29">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0E0314" w:rsidRDefault="000E0314" w:rsidP="000E031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38D0069F" w14:textId="4A4A37BF" w:rsidR="000E0314" w:rsidRPr="008C595F"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3</w:t>
            </w:r>
            <w:r w:rsidRPr="008C595F">
              <w:rPr>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0E0314" w:rsidRPr="008C595F" w:rsidRDefault="000E0314" w:rsidP="000E0314">
            <w:pPr>
              <w:jc w:val="both"/>
              <w:rPr>
                <w:kern w:val="2"/>
                <w:sz w:val="22"/>
                <w:szCs w:val="22"/>
              </w:rPr>
            </w:pPr>
            <w:r w:rsidRPr="008C595F">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8C595F">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8C595F">
              <w:rPr>
                <w:kern w:val="2"/>
                <w:sz w:val="22"/>
                <w:szCs w:val="22"/>
              </w:rPr>
              <w:t xml:space="preserve"> (</w:t>
            </w:r>
            <w:hyperlink r:id="rId12" w:history="1">
              <w:r w:rsidR="00701A93" w:rsidRPr="003D0CBC">
                <w:rPr>
                  <w:rStyle w:val="Hyperlink"/>
                  <w:kern w:val="2"/>
                  <w:sz w:val="22"/>
                  <w:szCs w:val="22"/>
                </w:rPr>
                <w:t>https://aaa.lrv.lt/</w:t>
              </w:r>
            </w:hyperlink>
            <w:r w:rsidRPr="008C595F">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456F" w14:textId="77777777" w:rsidR="00D91CBB" w:rsidRDefault="00D91CBB">
      <w:pPr>
        <w:rPr>
          <w:kern w:val="2"/>
          <w:sz w:val="22"/>
          <w:szCs w:val="22"/>
          <w:lang w:val="en-US"/>
        </w:rPr>
      </w:pPr>
      <w:r>
        <w:rPr>
          <w:kern w:val="2"/>
          <w:sz w:val="22"/>
          <w:szCs w:val="22"/>
          <w:lang w:val="en-US"/>
        </w:rPr>
        <w:separator/>
      </w:r>
    </w:p>
  </w:endnote>
  <w:endnote w:type="continuationSeparator" w:id="0">
    <w:p w14:paraId="320FA8D0" w14:textId="77777777" w:rsidR="00D91CBB" w:rsidRDefault="00D91CBB">
      <w:pPr>
        <w:rPr>
          <w:kern w:val="2"/>
          <w:sz w:val="22"/>
          <w:szCs w:val="22"/>
          <w:lang w:val="en-US"/>
        </w:rPr>
      </w:pPr>
      <w:r>
        <w:rPr>
          <w:kern w:val="2"/>
          <w:sz w:val="22"/>
          <w:szCs w:val="22"/>
          <w:lang w:val="en-US"/>
        </w:rPr>
        <w:continuationSeparator/>
      </w:r>
    </w:p>
  </w:endnote>
  <w:endnote w:type="continuationNotice" w:id="1">
    <w:p w14:paraId="36480FD1" w14:textId="77777777" w:rsidR="00D91CBB" w:rsidRDefault="00D91C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D227" w14:textId="77777777" w:rsidR="00D91CBB" w:rsidRDefault="00D91CBB">
      <w:pPr>
        <w:rPr>
          <w:kern w:val="2"/>
          <w:sz w:val="22"/>
          <w:szCs w:val="22"/>
          <w:lang w:val="en-US"/>
        </w:rPr>
      </w:pPr>
      <w:r>
        <w:rPr>
          <w:kern w:val="2"/>
          <w:sz w:val="22"/>
          <w:szCs w:val="22"/>
          <w:lang w:val="en-US"/>
        </w:rPr>
        <w:separator/>
      </w:r>
    </w:p>
  </w:footnote>
  <w:footnote w:type="continuationSeparator" w:id="0">
    <w:p w14:paraId="635676AB" w14:textId="77777777" w:rsidR="00D91CBB" w:rsidRDefault="00D91CBB">
      <w:pPr>
        <w:rPr>
          <w:kern w:val="2"/>
          <w:sz w:val="22"/>
          <w:szCs w:val="22"/>
          <w:lang w:val="en-US"/>
        </w:rPr>
      </w:pPr>
      <w:r>
        <w:rPr>
          <w:kern w:val="2"/>
          <w:sz w:val="22"/>
          <w:szCs w:val="22"/>
          <w:lang w:val="en-US"/>
        </w:rPr>
        <w:continuationSeparator/>
      </w:r>
    </w:p>
  </w:footnote>
  <w:footnote w:type="continuationNotice" w:id="1">
    <w:p w14:paraId="0C3F08C0" w14:textId="77777777" w:rsidR="00D91CBB" w:rsidRDefault="00D91C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0E29"/>
    <w:rsid w:val="00054056"/>
    <w:rsid w:val="00062AEF"/>
    <w:rsid w:val="00067E16"/>
    <w:rsid w:val="00071915"/>
    <w:rsid w:val="00073242"/>
    <w:rsid w:val="000775C0"/>
    <w:rsid w:val="00080871"/>
    <w:rsid w:val="00081979"/>
    <w:rsid w:val="00086CC6"/>
    <w:rsid w:val="000A3FB6"/>
    <w:rsid w:val="000B0A2E"/>
    <w:rsid w:val="000B0E2A"/>
    <w:rsid w:val="000D0B2C"/>
    <w:rsid w:val="000D7F49"/>
    <w:rsid w:val="000E0314"/>
    <w:rsid w:val="000E0A90"/>
    <w:rsid w:val="000E0C8B"/>
    <w:rsid w:val="000E0E6C"/>
    <w:rsid w:val="000E4B10"/>
    <w:rsid w:val="000E4F23"/>
    <w:rsid w:val="000F1567"/>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6FAF"/>
    <w:rsid w:val="001E549E"/>
    <w:rsid w:val="001F24B4"/>
    <w:rsid w:val="001F44A3"/>
    <w:rsid w:val="001F4597"/>
    <w:rsid w:val="001F6089"/>
    <w:rsid w:val="00211932"/>
    <w:rsid w:val="00211E35"/>
    <w:rsid w:val="00221F8A"/>
    <w:rsid w:val="00230CBE"/>
    <w:rsid w:val="00231B3F"/>
    <w:rsid w:val="002335C1"/>
    <w:rsid w:val="0023431B"/>
    <w:rsid w:val="00234A4A"/>
    <w:rsid w:val="00245BC4"/>
    <w:rsid w:val="0025121A"/>
    <w:rsid w:val="00257AAB"/>
    <w:rsid w:val="00273FB1"/>
    <w:rsid w:val="002770C9"/>
    <w:rsid w:val="002802E4"/>
    <w:rsid w:val="00280913"/>
    <w:rsid w:val="002A2A19"/>
    <w:rsid w:val="002A3378"/>
    <w:rsid w:val="002A55BA"/>
    <w:rsid w:val="002A5D81"/>
    <w:rsid w:val="002A5DE4"/>
    <w:rsid w:val="002C1BEA"/>
    <w:rsid w:val="002E5159"/>
    <w:rsid w:val="002E59B2"/>
    <w:rsid w:val="002E680B"/>
    <w:rsid w:val="002F016D"/>
    <w:rsid w:val="002F6689"/>
    <w:rsid w:val="00301159"/>
    <w:rsid w:val="0030702D"/>
    <w:rsid w:val="003141DC"/>
    <w:rsid w:val="00315718"/>
    <w:rsid w:val="0031588C"/>
    <w:rsid w:val="00321178"/>
    <w:rsid w:val="00323A7C"/>
    <w:rsid w:val="0032521C"/>
    <w:rsid w:val="00325F7F"/>
    <w:rsid w:val="0033022D"/>
    <w:rsid w:val="0033171F"/>
    <w:rsid w:val="00333420"/>
    <w:rsid w:val="00344B77"/>
    <w:rsid w:val="00361B64"/>
    <w:rsid w:val="00362931"/>
    <w:rsid w:val="003650D9"/>
    <w:rsid w:val="00366D2F"/>
    <w:rsid w:val="003719C8"/>
    <w:rsid w:val="00375B7C"/>
    <w:rsid w:val="00376ACB"/>
    <w:rsid w:val="00397D8B"/>
    <w:rsid w:val="003A2317"/>
    <w:rsid w:val="003B4F6C"/>
    <w:rsid w:val="003B61DA"/>
    <w:rsid w:val="003B6817"/>
    <w:rsid w:val="003D0151"/>
    <w:rsid w:val="003D3832"/>
    <w:rsid w:val="003D5028"/>
    <w:rsid w:val="003D5B32"/>
    <w:rsid w:val="003E7C56"/>
    <w:rsid w:val="003F0F00"/>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5188"/>
    <w:rsid w:val="00436AF1"/>
    <w:rsid w:val="00440DB0"/>
    <w:rsid w:val="00442476"/>
    <w:rsid w:val="0044278D"/>
    <w:rsid w:val="00466763"/>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D23"/>
    <w:rsid w:val="005155FE"/>
    <w:rsid w:val="005259CC"/>
    <w:rsid w:val="0052609D"/>
    <w:rsid w:val="00540599"/>
    <w:rsid w:val="00545422"/>
    <w:rsid w:val="00545E60"/>
    <w:rsid w:val="0054682F"/>
    <w:rsid w:val="00550044"/>
    <w:rsid w:val="00550A94"/>
    <w:rsid w:val="00552B59"/>
    <w:rsid w:val="00554A7B"/>
    <w:rsid w:val="0056465E"/>
    <w:rsid w:val="005669D4"/>
    <w:rsid w:val="00570C67"/>
    <w:rsid w:val="005751E4"/>
    <w:rsid w:val="00575770"/>
    <w:rsid w:val="00581952"/>
    <w:rsid w:val="005837FB"/>
    <w:rsid w:val="005850D7"/>
    <w:rsid w:val="00590385"/>
    <w:rsid w:val="005968A5"/>
    <w:rsid w:val="005A074E"/>
    <w:rsid w:val="005A19DC"/>
    <w:rsid w:val="005A2CE3"/>
    <w:rsid w:val="005A486B"/>
    <w:rsid w:val="005A5832"/>
    <w:rsid w:val="005B0368"/>
    <w:rsid w:val="005B3DE9"/>
    <w:rsid w:val="005B7A74"/>
    <w:rsid w:val="005C38F8"/>
    <w:rsid w:val="005C6E6F"/>
    <w:rsid w:val="005D0691"/>
    <w:rsid w:val="005D2856"/>
    <w:rsid w:val="005D3244"/>
    <w:rsid w:val="005E24AE"/>
    <w:rsid w:val="005E5F0C"/>
    <w:rsid w:val="005F2224"/>
    <w:rsid w:val="005F5B23"/>
    <w:rsid w:val="00607A71"/>
    <w:rsid w:val="00607B92"/>
    <w:rsid w:val="00610A8C"/>
    <w:rsid w:val="00630D1D"/>
    <w:rsid w:val="00631CC4"/>
    <w:rsid w:val="00633447"/>
    <w:rsid w:val="006376C9"/>
    <w:rsid w:val="0064021E"/>
    <w:rsid w:val="0064121B"/>
    <w:rsid w:val="00645DF8"/>
    <w:rsid w:val="0066643B"/>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D72BD"/>
    <w:rsid w:val="006E19AF"/>
    <w:rsid w:val="006E5013"/>
    <w:rsid w:val="006E6A8F"/>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66AB"/>
    <w:rsid w:val="007B7586"/>
    <w:rsid w:val="007D2D41"/>
    <w:rsid w:val="007D68E6"/>
    <w:rsid w:val="007E0790"/>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4F1B"/>
    <w:rsid w:val="00885DA7"/>
    <w:rsid w:val="00890696"/>
    <w:rsid w:val="00892EE7"/>
    <w:rsid w:val="00894532"/>
    <w:rsid w:val="008A024A"/>
    <w:rsid w:val="008A3043"/>
    <w:rsid w:val="008B033E"/>
    <w:rsid w:val="008B1FFF"/>
    <w:rsid w:val="008B4591"/>
    <w:rsid w:val="008B4D0B"/>
    <w:rsid w:val="008C12EC"/>
    <w:rsid w:val="008C494A"/>
    <w:rsid w:val="008C595F"/>
    <w:rsid w:val="008C6040"/>
    <w:rsid w:val="008C7449"/>
    <w:rsid w:val="008C77D9"/>
    <w:rsid w:val="008D2699"/>
    <w:rsid w:val="008D278C"/>
    <w:rsid w:val="008E21BE"/>
    <w:rsid w:val="008E3A37"/>
    <w:rsid w:val="008E3AB0"/>
    <w:rsid w:val="008E6A46"/>
    <w:rsid w:val="008F3D3B"/>
    <w:rsid w:val="008F553C"/>
    <w:rsid w:val="008F57C7"/>
    <w:rsid w:val="00901845"/>
    <w:rsid w:val="00907230"/>
    <w:rsid w:val="00907CCF"/>
    <w:rsid w:val="0091564A"/>
    <w:rsid w:val="009203B9"/>
    <w:rsid w:val="009250BD"/>
    <w:rsid w:val="00927949"/>
    <w:rsid w:val="00943950"/>
    <w:rsid w:val="009512DD"/>
    <w:rsid w:val="0095152E"/>
    <w:rsid w:val="009531B6"/>
    <w:rsid w:val="00954467"/>
    <w:rsid w:val="00954671"/>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D47B5"/>
    <w:rsid w:val="00AE0D4F"/>
    <w:rsid w:val="00AE1219"/>
    <w:rsid w:val="00AE7AD0"/>
    <w:rsid w:val="00AF29A3"/>
    <w:rsid w:val="00AF5B26"/>
    <w:rsid w:val="00B0367E"/>
    <w:rsid w:val="00B12B15"/>
    <w:rsid w:val="00B13979"/>
    <w:rsid w:val="00B17CE7"/>
    <w:rsid w:val="00B26C8F"/>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66C5"/>
    <w:rsid w:val="00BE7672"/>
    <w:rsid w:val="00BF06FC"/>
    <w:rsid w:val="00BF3D39"/>
    <w:rsid w:val="00BF3F15"/>
    <w:rsid w:val="00BF418F"/>
    <w:rsid w:val="00BF5621"/>
    <w:rsid w:val="00BF6253"/>
    <w:rsid w:val="00BF7E46"/>
    <w:rsid w:val="00C018F2"/>
    <w:rsid w:val="00C21034"/>
    <w:rsid w:val="00C33576"/>
    <w:rsid w:val="00C34A55"/>
    <w:rsid w:val="00C35A88"/>
    <w:rsid w:val="00C405C4"/>
    <w:rsid w:val="00C5036A"/>
    <w:rsid w:val="00C53015"/>
    <w:rsid w:val="00C53EE4"/>
    <w:rsid w:val="00C61E2E"/>
    <w:rsid w:val="00C6699B"/>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1508F"/>
    <w:rsid w:val="00D26FDB"/>
    <w:rsid w:val="00D34D7A"/>
    <w:rsid w:val="00D37472"/>
    <w:rsid w:val="00D41F05"/>
    <w:rsid w:val="00D43347"/>
    <w:rsid w:val="00D52A7C"/>
    <w:rsid w:val="00D600FF"/>
    <w:rsid w:val="00D60AF3"/>
    <w:rsid w:val="00D652F1"/>
    <w:rsid w:val="00D7389E"/>
    <w:rsid w:val="00D84A31"/>
    <w:rsid w:val="00D91CBB"/>
    <w:rsid w:val="00D91EE1"/>
    <w:rsid w:val="00D95A23"/>
    <w:rsid w:val="00DA4811"/>
    <w:rsid w:val="00DB0ACC"/>
    <w:rsid w:val="00DB288F"/>
    <w:rsid w:val="00DC10E6"/>
    <w:rsid w:val="00DC3753"/>
    <w:rsid w:val="00DC3C1C"/>
    <w:rsid w:val="00DC3ECD"/>
    <w:rsid w:val="00DC52C5"/>
    <w:rsid w:val="00DE49C6"/>
    <w:rsid w:val="00E1060B"/>
    <w:rsid w:val="00E16BCD"/>
    <w:rsid w:val="00E254B9"/>
    <w:rsid w:val="00E36507"/>
    <w:rsid w:val="00E37E8A"/>
    <w:rsid w:val="00E44EB8"/>
    <w:rsid w:val="00E458C5"/>
    <w:rsid w:val="00E464E7"/>
    <w:rsid w:val="00E536DA"/>
    <w:rsid w:val="00E556DE"/>
    <w:rsid w:val="00E605C0"/>
    <w:rsid w:val="00E63F0D"/>
    <w:rsid w:val="00E667EA"/>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446"/>
    <w:rsid w:val="00ED4866"/>
    <w:rsid w:val="00ED6B28"/>
    <w:rsid w:val="00EE43DC"/>
    <w:rsid w:val="00EF61B8"/>
    <w:rsid w:val="00F020F2"/>
    <w:rsid w:val="00F02DB2"/>
    <w:rsid w:val="00F0354D"/>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2488"/>
    <w:rsid w:val="00016863"/>
    <w:rsid w:val="00032B75"/>
    <w:rsid w:val="0004441E"/>
    <w:rsid w:val="00054E9A"/>
    <w:rsid w:val="0014221D"/>
    <w:rsid w:val="00142C76"/>
    <w:rsid w:val="00172C06"/>
    <w:rsid w:val="001B7284"/>
    <w:rsid w:val="001F05AF"/>
    <w:rsid w:val="00257CA2"/>
    <w:rsid w:val="00296592"/>
    <w:rsid w:val="002A55BA"/>
    <w:rsid w:val="003003D2"/>
    <w:rsid w:val="00301159"/>
    <w:rsid w:val="00362931"/>
    <w:rsid w:val="003D3832"/>
    <w:rsid w:val="003D736E"/>
    <w:rsid w:val="004272CB"/>
    <w:rsid w:val="004E4574"/>
    <w:rsid w:val="005B0350"/>
    <w:rsid w:val="00605547"/>
    <w:rsid w:val="00652E7A"/>
    <w:rsid w:val="0066643B"/>
    <w:rsid w:val="006862DC"/>
    <w:rsid w:val="006E6A8F"/>
    <w:rsid w:val="00750037"/>
    <w:rsid w:val="007B56C6"/>
    <w:rsid w:val="00872556"/>
    <w:rsid w:val="008F4AFB"/>
    <w:rsid w:val="00900C5D"/>
    <w:rsid w:val="00902FC0"/>
    <w:rsid w:val="00947693"/>
    <w:rsid w:val="0095152E"/>
    <w:rsid w:val="009A196F"/>
    <w:rsid w:val="009C7373"/>
    <w:rsid w:val="00A14A7C"/>
    <w:rsid w:val="00A56FCF"/>
    <w:rsid w:val="00A74E99"/>
    <w:rsid w:val="00A83FBF"/>
    <w:rsid w:val="00AA6EC0"/>
    <w:rsid w:val="00AC663E"/>
    <w:rsid w:val="00B93EB0"/>
    <w:rsid w:val="00BD41DA"/>
    <w:rsid w:val="00BE611E"/>
    <w:rsid w:val="00C040DC"/>
    <w:rsid w:val="00C355EF"/>
    <w:rsid w:val="00C47E35"/>
    <w:rsid w:val="00C6699B"/>
    <w:rsid w:val="00C91E9A"/>
    <w:rsid w:val="00C941FE"/>
    <w:rsid w:val="00D1355C"/>
    <w:rsid w:val="00D73274"/>
    <w:rsid w:val="00D778D9"/>
    <w:rsid w:val="00E66BF3"/>
    <w:rsid w:val="00EB41E5"/>
    <w:rsid w:val="00EB7E04"/>
    <w:rsid w:val="00ED4446"/>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69361</Words>
  <Characters>39537</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Biekšienė</cp:lastModifiedBy>
  <cp:revision>28</cp:revision>
  <dcterms:created xsi:type="dcterms:W3CDTF">2025-05-08T04:34:00Z</dcterms:created>
  <dcterms:modified xsi:type="dcterms:W3CDTF">2025-08-13T10:04:00Z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