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E16A8" w14:textId="77777777" w:rsidR="00A5572D" w:rsidRPr="0069623E" w:rsidRDefault="00A5572D" w:rsidP="00A5572D">
      <w:pPr>
        <w:spacing w:after="0" w:line="240" w:lineRule="auto"/>
        <w:jc w:val="right"/>
        <w:rPr>
          <w:rFonts w:ascii="Times New Roman" w:eastAsia="Times New Roman" w:hAnsi="Times New Roman" w:cs="Times New Roman"/>
          <w:sz w:val="20"/>
          <w:szCs w:val="20"/>
          <w:lang w:eastAsia="en-US"/>
        </w:rPr>
      </w:pPr>
      <w:r w:rsidRPr="0069623E">
        <w:rPr>
          <w:rFonts w:ascii="Times New Roman" w:eastAsia="Times New Roman" w:hAnsi="Times New Roman" w:cs="Times New Roman"/>
          <w:sz w:val="20"/>
          <w:szCs w:val="20"/>
          <w:lang w:eastAsia="en-US"/>
        </w:rPr>
        <w:t xml:space="preserve">Pirkimo sąlygų </w:t>
      </w:r>
    </w:p>
    <w:p w14:paraId="2CC8246B" w14:textId="2C11450B" w:rsidR="00A5572D" w:rsidRPr="0069623E" w:rsidRDefault="006C38C1" w:rsidP="00A5572D">
      <w:pPr>
        <w:spacing w:after="0" w:line="240" w:lineRule="auto"/>
        <w:jc w:val="righ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r w:rsidR="00A5572D" w:rsidRPr="0069623E">
        <w:rPr>
          <w:rFonts w:ascii="Times New Roman" w:eastAsia="Times New Roman" w:hAnsi="Times New Roman" w:cs="Times New Roman"/>
          <w:sz w:val="20"/>
          <w:szCs w:val="20"/>
          <w:lang w:eastAsia="en-US"/>
        </w:rPr>
        <w:t xml:space="preserve"> priedas „</w:t>
      </w:r>
      <w:r w:rsidR="00284B0A">
        <w:rPr>
          <w:rFonts w:ascii="Times New Roman" w:eastAsia="Times New Roman" w:hAnsi="Times New Roman" w:cs="Times New Roman"/>
          <w:sz w:val="20"/>
          <w:szCs w:val="20"/>
          <w:lang w:eastAsia="en-US"/>
        </w:rPr>
        <w:t>Pasiūlymų v</w:t>
      </w:r>
      <w:r w:rsidR="00A5572D" w:rsidRPr="0069623E">
        <w:rPr>
          <w:rFonts w:ascii="Times New Roman" w:eastAsia="Times New Roman" w:hAnsi="Times New Roman" w:cs="Times New Roman"/>
          <w:sz w:val="20"/>
          <w:szCs w:val="20"/>
          <w:lang w:eastAsia="en-US"/>
        </w:rPr>
        <w:t>ertinimo kriterijai ir sąlygos“</w:t>
      </w:r>
    </w:p>
    <w:p w14:paraId="4925AC91" w14:textId="6B959888" w:rsidR="008E6D7A" w:rsidRPr="00354554" w:rsidRDefault="008E6D7A" w:rsidP="007C4268">
      <w:pPr>
        <w:spacing w:after="0"/>
        <w:jc w:val="right"/>
        <w:rPr>
          <w:rFonts w:ascii="Times New Roman" w:hAnsi="Times New Roman" w:cs="Times New Roman"/>
          <w:bCs/>
        </w:rPr>
      </w:pPr>
    </w:p>
    <w:p w14:paraId="455A0AD2" w14:textId="15AE7A12" w:rsidR="008E6D7A" w:rsidRPr="00354554" w:rsidRDefault="008E6D7A" w:rsidP="008E6D7A">
      <w:pPr>
        <w:jc w:val="center"/>
        <w:rPr>
          <w:rFonts w:ascii="Times New Roman" w:hAnsi="Times New Roman" w:cs="Times New Roman"/>
          <w:b/>
          <w:bCs/>
          <w:sz w:val="24"/>
          <w:szCs w:val="24"/>
        </w:rPr>
      </w:pPr>
      <w:r w:rsidRPr="00354554">
        <w:rPr>
          <w:rFonts w:ascii="Times New Roman" w:hAnsi="Times New Roman" w:cs="Times New Roman"/>
          <w:b/>
          <w:bCs/>
          <w:sz w:val="24"/>
          <w:szCs w:val="24"/>
        </w:rPr>
        <w:t>PASIŪLYMŲ VERTINIMO KRITERIJAI IR SĄLYGOS</w:t>
      </w:r>
    </w:p>
    <w:p w14:paraId="618DAFD9" w14:textId="0FE35691" w:rsidR="005C7F0A" w:rsidRPr="00354554" w:rsidRDefault="005C7F0A" w:rsidP="008E6D7A">
      <w:pPr>
        <w:jc w:val="center"/>
        <w:rPr>
          <w:rFonts w:ascii="Times New Roman" w:hAnsi="Times New Roman" w:cs="Times New Roman"/>
          <w:bCs/>
          <w:sz w:val="24"/>
          <w:szCs w:val="24"/>
        </w:rPr>
      </w:pPr>
      <w:r w:rsidRPr="00354554">
        <w:rPr>
          <w:rFonts w:ascii="Times New Roman" w:hAnsi="Times New Roman" w:cs="Times New Roman"/>
          <w:b/>
          <w:sz w:val="24"/>
          <w:szCs w:val="24"/>
        </w:rPr>
        <w:t>I</w:t>
      </w:r>
      <w:r w:rsidR="009512E2" w:rsidRPr="00354554">
        <w:rPr>
          <w:rFonts w:ascii="Times New Roman" w:hAnsi="Times New Roman" w:cs="Times New Roman"/>
          <w:bCs/>
          <w:sz w:val="24"/>
          <w:szCs w:val="24"/>
        </w:rPr>
        <w:t>.</w:t>
      </w:r>
      <w:r w:rsidRPr="00354554">
        <w:rPr>
          <w:rFonts w:ascii="Times New Roman" w:hAnsi="Times New Roman" w:cs="Times New Roman"/>
          <w:bCs/>
          <w:sz w:val="24"/>
          <w:szCs w:val="24"/>
        </w:rPr>
        <w:t xml:space="preserve"> </w:t>
      </w:r>
      <w:r w:rsidRPr="00354554">
        <w:rPr>
          <w:rFonts w:ascii="Times New Roman" w:hAnsi="Times New Roman" w:cs="Times New Roman"/>
          <w:b/>
          <w:sz w:val="24"/>
          <w:szCs w:val="24"/>
        </w:rPr>
        <w:t>BENDROSIOS SĄLYGOS</w:t>
      </w:r>
    </w:p>
    <w:p w14:paraId="37BB91DC" w14:textId="07F276C9" w:rsidR="00022E1C" w:rsidRPr="00354554" w:rsidRDefault="008413C3" w:rsidP="00022E1C">
      <w:pPr>
        <w:pStyle w:val="ListParagraph"/>
        <w:numPr>
          <w:ilvl w:val="0"/>
          <w:numId w:val="9"/>
        </w:numPr>
      </w:pPr>
      <w:r w:rsidRPr="00354554">
        <w:rPr>
          <w:rFonts w:eastAsia="Calibri"/>
          <w:szCs w:val="24"/>
        </w:rPr>
        <w:t xml:space="preserve">Šiame pirkime ekonomiškai naudingiausias pasiūlymas bus išrenkamas </w:t>
      </w:r>
      <w:r w:rsidRPr="00354554">
        <w:rPr>
          <w:rFonts w:eastAsia="Calibri"/>
          <w:b/>
          <w:szCs w:val="24"/>
        </w:rPr>
        <w:t xml:space="preserve">pagal kainos ir kokybės </w:t>
      </w:r>
      <w:r w:rsidRPr="00354554">
        <w:rPr>
          <w:b/>
          <w:bCs/>
        </w:rPr>
        <w:t>santykio kriterijus</w:t>
      </w:r>
      <w:r w:rsidR="00022E1C" w:rsidRPr="00354554">
        <w:t>, vadovau</w:t>
      </w:r>
      <w:r w:rsidR="00742B40" w:rsidRPr="00354554">
        <w:t>jantis</w:t>
      </w:r>
      <w:r w:rsidR="00022E1C" w:rsidRPr="00354554">
        <w:t xml:space="preserve"> šiame priede nustatyta vertinimo tvarka.</w:t>
      </w:r>
    </w:p>
    <w:p w14:paraId="7FD30B42" w14:textId="427E1C47" w:rsidR="00022E1C" w:rsidRPr="00354554" w:rsidRDefault="00022E1C" w:rsidP="00022E1C">
      <w:pPr>
        <w:pStyle w:val="ListParagraph"/>
        <w:numPr>
          <w:ilvl w:val="0"/>
          <w:numId w:val="9"/>
        </w:numPr>
      </w:pPr>
      <w:r w:rsidRPr="00354554">
        <w:t>Pasiūlymų vertinimo kriterijai nurodyti 1 lentelėje.</w:t>
      </w:r>
    </w:p>
    <w:p w14:paraId="6ACAD91A" w14:textId="493F1ACB" w:rsidR="00022E1C" w:rsidRPr="00354554" w:rsidRDefault="00022E1C" w:rsidP="00022E1C">
      <w:pPr>
        <w:pStyle w:val="ListParagraph"/>
        <w:numPr>
          <w:ilvl w:val="0"/>
          <w:numId w:val="9"/>
        </w:numPr>
      </w:pPr>
      <w:r w:rsidRPr="00354554">
        <w:t xml:space="preserve">Pasiūlymų vertinimo kriterijai vertinami apžiūros metu ekspertiniu vertinimu. Ekspertinis vertinimas – procesas, kurio metu ekspertai, remdamiesi savo žiniomis ir patirtimi, taip pat vadovaudamiesi ekspertinio vertinimo užduotimi, įvertina </w:t>
      </w:r>
      <w:r w:rsidR="00C81295" w:rsidRPr="00354554">
        <w:t>T</w:t>
      </w:r>
      <w:r w:rsidRPr="00354554">
        <w:t>iekėjų pasiūlymuose nurodytų pirkimo objektų parametrus.</w:t>
      </w:r>
      <w:r w:rsidR="004E43B0" w:rsidRPr="00354554">
        <w:t xml:space="preserve"> </w:t>
      </w:r>
    </w:p>
    <w:p w14:paraId="5DF00A6A" w14:textId="4EB86E61" w:rsidR="00900B69" w:rsidRPr="00951525" w:rsidRDefault="00900B69" w:rsidP="00022E1C">
      <w:pPr>
        <w:pStyle w:val="ListParagraph"/>
        <w:numPr>
          <w:ilvl w:val="0"/>
          <w:numId w:val="9"/>
        </w:numPr>
      </w:pPr>
      <w:r w:rsidRPr="00354554">
        <w:rPr>
          <w:rFonts w:eastAsiaTheme="minorHAnsi" w:cstheme="minorHAnsi"/>
        </w:rPr>
        <w:t xml:space="preserve">Ekspertai vertinimus atlieka konfidencialiai, savarankiškai, nederina vertinimų su kitais ekspertais. </w:t>
      </w:r>
    </w:p>
    <w:p w14:paraId="45C2CC3C" w14:textId="74E4A686" w:rsidR="00951525" w:rsidRPr="00354554" w:rsidRDefault="00951525" w:rsidP="00E52174">
      <w:pPr>
        <w:pStyle w:val="ListParagraph"/>
        <w:numPr>
          <w:ilvl w:val="0"/>
          <w:numId w:val="9"/>
        </w:numPr>
      </w:pPr>
      <w:r w:rsidRPr="000874FC">
        <w:rPr>
          <w:rFonts w:eastAsiaTheme="minorHAnsi" w:cstheme="minorHAnsi"/>
        </w:rPr>
        <w:t xml:space="preserve">Tiekėjas privalo sudaryti sąlygas, kad Perkančiosios organizacijos ekspertai </w:t>
      </w:r>
      <w:r>
        <w:rPr>
          <w:rFonts w:eastAsiaTheme="minorHAnsi" w:cstheme="minorHAnsi"/>
        </w:rPr>
        <w:t xml:space="preserve">fiziškai </w:t>
      </w:r>
      <w:r w:rsidRPr="000874FC">
        <w:rPr>
          <w:rFonts w:eastAsiaTheme="minorHAnsi" w:cstheme="minorHAnsi"/>
        </w:rPr>
        <w:t xml:space="preserve">galėtų įvertinti Tiekėjo pasiūlyme siūlomą koncertinį fortepijoną. Vertinimui turi būti pateiktas siūlomo modelio naujas arba naudotas instrumentas, kurio pagaminimo data pagal gamintojo dokumentus nėra senesnė kaip 12 mėnesių iki pasiūlymo pateikimo dienos. Instrumentas turi būti suderintas ir paruoštas vertinimui. Vertinimas turi būti atliktas per </w:t>
      </w:r>
      <w:r w:rsidR="00394075">
        <w:rPr>
          <w:rFonts w:eastAsiaTheme="minorHAnsi" w:cstheme="minorHAnsi"/>
        </w:rPr>
        <w:t>2</w:t>
      </w:r>
      <w:r w:rsidRPr="000874FC">
        <w:rPr>
          <w:rFonts w:eastAsiaTheme="minorHAnsi" w:cstheme="minorHAnsi"/>
        </w:rPr>
        <w:t xml:space="preserve"> savait</w:t>
      </w:r>
      <w:r w:rsidR="00394075">
        <w:rPr>
          <w:rFonts w:eastAsiaTheme="minorHAnsi" w:cstheme="minorHAnsi"/>
        </w:rPr>
        <w:t>es</w:t>
      </w:r>
      <w:r w:rsidRPr="000874FC">
        <w:rPr>
          <w:rFonts w:eastAsiaTheme="minorHAnsi" w:cstheme="minorHAnsi"/>
        </w:rPr>
        <w:t xml:space="preserve"> nuo gauto sprendimo dėl pirminio pasiūlymų įvertinimo (EBVPD, pasiūlyto modelio ir pateiktų pagrindžiančių dokumentų atitikties Pirkimo sąlygoms). Atlikus ekspertinį vertinimą, jo išvada turi būti pateikta Perkančiajai organizacijai nedelsiant, bet ne vėliau kaip per 3 darbo dienas nuo vertinimo atlikimo. Perkančioji organizacija gautą ekspertų išvadą perduoda Pirkimų komisijai tolesniam pirkimo procedūrų vykdymui</w:t>
      </w:r>
      <w:r w:rsidRPr="00951525">
        <w:rPr>
          <w:rFonts w:eastAsiaTheme="minorHAnsi" w:cstheme="minorHAnsi"/>
          <w:b/>
        </w:rPr>
        <w:t>.</w:t>
      </w:r>
    </w:p>
    <w:p w14:paraId="42501804" w14:textId="36FC018E" w:rsidR="00966324" w:rsidRPr="00354554" w:rsidRDefault="00966324" w:rsidP="00966324">
      <w:pPr>
        <w:pStyle w:val="ListParagraph"/>
        <w:numPr>
          <w:ilvl w:val="0"/>
          <w:numId w:val="9"/>
        </w:numPr>
      </w:pPr>
      <w:r w:rsidRPr="00354554">
        <w:t xml:space="preserve">Numatomas ekspertų </w:t>
      </w:r>
      <w:r w:rsidRPr="00F37EAC">
        <w:t xml:space="preserve">skaičius </w:t>
      </w:r>
      <w:r w:rsidRPr="000874FC">
        <w:t xml:space="preserve">– </w:t>
      </w:r>
      <w:r w:rsidR="00F37EAC" w:rsidRPr="000874FC">
        <w:t xml:space="preserve">3 </w:t>
      </w:r>
      <w:r w:rsidR="00FB1403" w:rsidRPr="000874FC">
        <w:t>(</w:t>
      </w:r>
      <w:r w:rsidR="00F37EAC" w:rsidRPr="000874FC">
        <w:t>trys</w:t>
      </w:r>
      <w:r w:rsidR="00FB1403" w:rsidRPr="000874FC">
        <w:t>)</w:t>
      </w:r>
      <w:r w:rsidRPr="000874FC">
        <w:t>.</w:t>
      </w:r>
      <w:r w:rsidRPr="00354554">
        <w:t xml:space="preserve"> </w:t>
      </w:r>
    </w:p>
    <w:p w14:paraId="3582BDFB" w14:textId="70151AC1" w:rsidR="00FB1403" w:rsidRPr="00354554" w:rsidRDefault="004F0147" w:rsidP="004F0147">
      <w:pPr>
        <w:pStyle w:val="ListParagraph"/>
        <w:numPr>
          <w:ilvl w:val="0"/>
          <w:numId w:val="9"/>
        </w:numPr>
      </w:pPr>
      <w:r w:rsidRPr="00354554">
        <w:t>Instrumentų vertinimas vyks etapais:</w:t>
      </w:r>
    </w:p>
    <w:p w14:paraId="6BBC649B" w14:textId="5E6B2E97" w:rsidR="004F0147" w:rsidRPr="00354554" w:rsidRDefault="00FF2BBF" w:rsidP="00FF2BBF">
      <w:pPr>
        <w:pStyle w:val="ListParagraph"/>
        <w:numPr>
          <w:ilvl w:val="1"/>
          <w:numId w:val="9"/>
        </w:numPr>
      </w:pPr>
      <w:r w:rsidRPr="00354554">
        <w:rPr>
          <w:b/>
          <w:bCs/>
        </w:rPr>
        <w:t>1 etapas.</w:t>
      </w:r>
      <w:r w:rsidRPr="00354554">
        <w:t xml:space="preserve"> Komisijos nariai įvertins dokumentais pagrįstą prekės atitikimą keliamiems reikalavimams. Tuo atveju, jeigu komisijos nariai įvertins, kad prekė neatitinka keliamų reikalavimų, nustatytų šiuose pirkimo dokumentuose, toks pasiūlymas toliau nebus vertinamas ekspertų ir, vadovaujantis pirkimo </w:t>
      </w:r>
      <w:r w:rsidR="00DA145F" w:rsidRPr="00354554">
        <w:t>sąlygomis</w:t>
      </w:r>
      <w:r w:rsidRPr="00354554">
        <w:t>, bus atmestas.</w:t>
      </w:r>
    </w:p>
    <w:p w14:paraId="3E86A82F" w14:textId="5C7E1B21" w:rsidR="00FF2BBF" w:rsidRPr="00354554" w:rsidRDefault="00FF2BBF" w:rsidP="00FF2BBF">
      <w:pPr>
        <w:pStyle w:val="ListParagraph"/>
        <w:numPr>
          <w:ilvl w:val="1"/>
          <w:numId w:val="9"/>
        </w:numPr>
      </w:pPr>
      <w:r w:rsidRPr="00354554">
        <w:rPr>
          <w:b/>
          <w:bCs/>
        </w:rPr>
        <w:t>2 etapas.</w:t>
      </w:r>
      <w:r w:rsidRPr="00354554">
        <w:t xml:space="preserve"> Ekspertai </w:t>
      </w:r>
      <w:r w:rsidR="00394075">
        <w:t xml:space="preserve">fiziškai </w:t>
      </w:r>
      <w:r w:rsidRPr="00354554">
        <w:t xml:space="preserve">įvertins prekės atitikimą prekei keliamiems reikalavimams. Tuo atveju, jeigu ekspertai įvertins, kad prekė neatitinka prekei keliamų reikalavimų, nustatytų šiuose pirkimo dokumentuose, toks pasiūlymas toliau nebus vertinamas pagal kokybinius vertinimo kriterijus ir, vadovaujantis </w:t>
      </w:r>
      <w:r w:rsidR="00DA145F" w:rsidRPr="00354554">
        <w:t>pirkimo sąlygomis,</w:t>
      </w:r>
      <w:r w:rsidRPr="00354554">
        <w:t xml:space="preserve"> bus atmestas.</w:t>
      </w:r>
    </w:p>
    <w:p w14:paraId="01727F52" w14:textId="7CD471E9" w:rsidR="00FF2BBF" w:rsidRPr="00354554" w:rsidRDefault="00FF2BBF" w:rsidP="00FF2BBF">
      <w:pPr>
        <w:pStyle w:val="ListParagraph"/>
        <w:numPr>
          <w:ilvl w:val="1"/>
          <w:numId w:val="9"/>
        </w:numPr>
      </w:pPr>
      <w:r w:rsidRPr="00354554">
        <w:rPr>
          <w:b/>
          <w:bCs/>
        </w:rPr>
        <w:t>3 etapas.</w:t>
      </w:r>
      <w:r w:rsidRPr="00354554">
        <w:t xml:space="preserve"> </w:t>
      </w:r>
      <w:r w:rsidR="00F37EAC">
        <w:t>Komisija</w:t>
      </w:r>
      <w:r w:rsidR="00F37EAC" w:rsidRPr="00354554">
        <w:t xml:space="preserve"> </w:t>
      </w:r>
      <w:r w:rsidRPr="00354554">
        <w:t>vertins prekę pagal kokybės parametrus skiriant balus.</w:t>
      </w:r>
    </w:p>
    <w:p w14:paraId="16BBCD32" w14:textId="77777777" w:rsidR="00FF2BBF" w:rsidRPr="00354554" w:rsidRDefault="00FF2BBF" w:rsidP="00FF2BBF">
      <w:pPr>
        <w:pStyle w:val="ListParagraph"/>
        <w:numPr>
          <w:ilvl w:val="0"/>
          <w:numId w:val="9"/>
        </w:numPr>
      </w:pPr>
      <w:r w:rsidRPr="00354554">
        <w:t xml:space="preserve">Numatytų vertinimo kriterijų </w:t>
      </w:r>
      <w:r w:rsidRPr="00354554">
        <w:rPr>
          <w:u w:val="single"/>
        </w:rPr>
        <w:t>lyginamieji svoriai:</w:t>
      </w:r>
    </w:p>
    <w:p w14:paraId="3DBBAB64" w14:textId="2B954CF7" w:rsidR="00FF2BBF" w:rsidRPr="00354554" w:rsidRDefault="00FF2BBF" w:rsidP="00FF2BBF">
      <w:pPr>
        <w:pStyle w:val="ListParagraph"/>
        <w:ind w:left="1296"/>
      </w:pPr>
      <w:r w:rsidRPr="00354554">
        <w:t xml:space="preserve">1) </w:t>
      </w:r>
      <w:r w:rsidR="003F0F74" w:rsidRPr="00354554">
        <w:t>k</w:t>
      </w:r>
      <w:r w:rsidRPr="00354554">
        <w:t xml:space="preserve">aina (S) – </w:t>
      </w:r>
      <w:r w:rsidR="00865ADE" w:rsidRPr="00354554">
        <w:t>40</w:t>
      </w:r>
      <w:r w:rsidRPr="00354554">
        <w:t>;</w:t>
      </w:r>
    </w:p>
    <w:p w14:paraId="63AAE5F4" w14:textId="08CA230F" w:rsidR="00FF2BBF" w:rsidRPr="00354554" w:rsidRDefault="00FF2BBF" w:rsidP="00FF2BBF">
      <w:pPr>
        <w:pStyle w:val="ListParagraph"/>
        <w:ind w:left="1296"/>
      </w:pPr>
      <w:r w:rsidRPr="00354554">
        <w:t xml:space="preserve">2) </w:t>
      </w:r>
      <w:r w:rsidR="003F0F74" w:rsidRPr="00354554">
        <w:t>k</w:t>
      </w:r>
      <w:r w:rsidRPr="00354554">
        <w:t xml:space="preserve">okybiniai pranašumui (T) – </w:t>
      </w:r>
      <w:r w:rsidR="00865ADE" w:rsidRPr="00354554">
        <w:t>60</w:t>
      </w:r>
      <w:r w:rsidRPr="00354554">
        <w:t>.</w:t>
      </w:r>
    </w:p>
    <w:p w14:paraId="79FF1FB4" w14:textId="4DAFAE92" w:rsidR="00FF2BBF" w:rsidRPr="00354554" w:rsidRDefault="00FF2BBF" w:rsidP="00FF2BBF">
      <w:pPr>
        <w:pStyle w:val="ListParagraph"/>
        <w:numPr>
          <w:ilvl w:val="0"/>
          <w:numId w:val="9"/>
        </w:numPr>
      </w:pPr>
      <w:r w:rsidRPr="00354554">
        <w:t>Pasiūlymas, nesurinkęs nustatyto minimalaus balų skaičiaus</w:t>
      </w:r>
      <w:r w:rsidR="003F0F74" w:rsidRPr="00354554">
        <w:t>,</w:t>
      </w:r>
      <w:r w:rsidRPr="00354554">
        <w:t xml:space="preserve"> bus atmestas. </w:t>
      </w:r>
      <w:r w:rsidR="009512E2" w:rsidRPr="00354554">
        <w:t xml:space="preserve">Minimalus balų skaičius – 30. </w:t>
      </w:r>
    </w:p>
    <w:p w14:paraId="2EE7FE8D" w14:textId="41638052" w:rsidR="00FF2BBF" w:rsidRPr="000874FC" w:rsidRDefault="009512E2" w:rsidP="00FF2BBF">
      <w:pPr>
        <w:pStyle w:val="ListParagraph"/>
        <w:numPr>
          <w:ilvl w:val="0"/>
          <w:numId w:val="9"/>
        </w:numPr>
      </w:pPr>
      <w:r w:rsidRPr="000874FC">
        <w:t>E</w:t>
      </w:r>
      <w:r w:rsidR="00FF2BBF" w:rsidRPr="000874FC">
        <w:t xml:space="preserve">kspertams </w:t>
      </w:r>
      <w:r w:rsidRPr="000874FC">
        <w:t xml:space="preserve">įvertinus </w:t>
      </w:r>
      <w:r w:rsidR="00FF2BBF" w:rsidRPr="000874FC">
        <w:t xml:space="preserve">pasirinktą 1 (vieną) pasiūlyme </w:t>
      </w:r>
      <w:bookmarkStart w:id="0" w:name="_Hlk210643138"/>
      <w:r w:rsidR="00FF2BBF" w:rsidRPr="000874FC">
        <w:t xml:space="preserve">nurodyto modelio koncertinį fortepijoną, </w:t>
      </w:r>
      <w:bookmarkEnd w:id="0"/>
      <w:r w:rsidR="00C81295" w:rsidRPr="000874FC">
        <w:t>T</w:t>
      </w:r>
      <w:r w:rsidR="00FF2BBF" w:rsidRPr="000874FC">
        <w:t xml:space="preserve">iekėjas privalo </w:t>
      </w:r>
      <w:r w:rsidR="00394075" w:rsidRPr="000874FC">
        <w:t xml:space="preserve">naują nurodyto modelio koncertinį fortepijoną </w:t>
      </w:r>
      <w:r w:rsidR="00FF2BBF" w:rsidRPr="000874FC">
        <w:t>rezervuoti iki Pirkimo procedūrų pabaigos (LR VPĮ 29 str. 2 d.).</w:t>
      </w:r>
    </w:p>
    <w:p w14:paraId="411D4853" w14:textId="213EA50E" w:rsidR="00FF2BBF" w:rsidRPr="000874FC" w:rsidRDefault="00FF2BBF" w:rsidP="00FF2BBF">
      <w:pPr>
        <w:pStyle w:val="ListParagraph"/>
        <w:numPr>
          <w:ilvl w:val="0"/>
          <w:numId w:val="9"/>
        </w:numPr>
      </w:pPr>
      <w:r w:rsidRPr="000874FC">
        <w:t xml:space="preserve">Laimėjimo atveju, Tiekėjas rezervuotą naują koncertinį fortepijoną turės pristatyti per </w:t>
      </w:r>
      <w:r w:rsidR="00F37EAC" w:rsidRPr="000874FC">
        <w:t xml:space="preserve">6 (šešis) </w:t>
      </w:r>
      <w:r w:rsidRPr="000874FC">
        <w:t>mėn. nuo sutarties įsigaliojimo</w:t>
      </w:r>
      <w:r w:rsidR="009512E2" w:rsidRPr="000874FC">
        <w:t xml:space="preserve"> datos</w:t>
      </w:r>
      <w:r w:rsidRPr="000874FC">
        <w:t>. Taip pat yra numatyta galimybė pratęsti pristatymo terminą ne ilgesniam kaip 30 kalendorinių dienų laikotarpiui.</w:t>
      </w:r>
    </w:p>
    <w:p w14:paraId="451FDE47" w14:textId="77777777" w:rsidR="0069623E" w:rsidRPr="00354554" w:rsidRDefault="0069623E" w:rsidP="0069623E">
      <w:pPr>
        <w:pStyle w:val="ListParagraph"/>
        <w:ind w:left="709"/>
      </w:pPr>
    </w:p>
    <w:p w14:paraId="2F08126A" w14:textId="1F7CBFC9" w:rsidR="00FF2BBF" w:rsidRPr="00354554" w:rsidRDefault="00FF2BBF" w:rsidP="005C7F0A">
      <w:pPr>
        <w:jc w:val="center"/>
        <w:rPr>
          <w:b/>
          <w:bCs/>
          <w:sz w:val="21"/>
          <w:szCs w:val="21"/>
        </w:rPr>
      </w:pPr>
      <w:r w:rsidRPr="00354554">
        <w:rPr>
          <w:rFonts w:ascii="Times New Roman" w:hAnsi="Times New Roman" w:cs="Times New Roman"/>
          <w:b/>
          <w:bCs/>
          <w:sz w:val="24"/>
          <w:szCs w:val="24"/>
        </w:rPr>
        <w:t>II</w:t>
      </w:r>
      <w:r w:rsidR="009512E2" w:rsidRPr="00354554">
        <w:rPr>
          <w:rFonts w:ascii="Times New Roman" w:hAnsi="Times New Roman" w:cs="Times New Roman"/>
          <w:b/>
          <w:bCs/>
          <w:sz w:val="24"/>
          <w:szCs w:val="24"/>
        </w:rPr>
        <w:t>.</w:t>
      </w:r>
      <w:r w:rsidRPr="00354554">
        <w:rPr>
          <w:rFonts w:ascii="Times New Roman" w:hAnsi="Times New Roman" w:cs="Times New Roman"/>
          <w:b/>
          <w:bCs/>
          <w:sz w:val="24"/>
          <w:szCs w:val="24"/>
        </w:rPr>
        <w:t xml:space="preserve"> PIRMASIS-ANTRASIS INSTRUMENTŲ VERTINIMO ETAPAS</w:t>
      </w:r>
    </w:p>
    <w:p w14:paraId="0393D7BA" w14:textId="5681A2D2" w:rsidR="00FF2BBF" w:rsidRPr="00354554" w:rsidRDefault="00FF2BBF" w:rsidP="000442D6">
      <w:pPr>
        <w:pStyle w:val="Default"/>
        <w:numPr>
          <w:ilvl w:val="0"/>
          <w:numId w:val="9"/>
        </w:numPr>
        <w:jc w:val="both"/>
        <w:rPr>
          <w:color w:val="auto"/>
        </w:rPr>
      </w:pPr>
      <w:r w:rsidRPr="00354554">
        <w:rPr>
          <w:color w:val="auto"/>
        </w:rPr>
        <w:t>Prekės atitikimo keliamiems reikalavimams vertinimas pagal dokumentus ir ekspertų vertinim</w:t>
      </w:r>
      <w:r w:rsidR="000442D6" w:rsidRPr="00354554">
        <w:rPr>
          <w:color w:val="auto"/>
        </w:rPr>
        <w:t>ą</w:t>
      </w:r>
      <w:r w:rsidRPr="00354554">
        <w:rPr>
          <w:color w:val="auto"/>
        </w:rPr>
        <w:t xml:space="preserve">: </w:t>
      </w:r>
    </w:p>
    <w:p w14:paraId="1D44A5A8" w14:textId="77777777" w:rsidR="00CE0118" w:rsidRDefault="00CE0118" w:rsidP="000442D6">
      <w:pPr>
        <w:pStyle w:val="Default"/>
        <w:ind w:left="709"/>
        <w:jc w:val="right"/>
        <w:rPr>
          <w:b/>
          <w:bCs/>
          <w:color w:val="auto"/>
          <w:sz w:val="22"/>
          <w:szCs w:val="22"/>
        </w:rPr>
      </w:pPr>
    </w:p>
    <w:p w14:paraId="24E9C1E1" w14:textId="7F3B33F1" w:rsidR="000442D6" w:rsidRPr="00354554" w:rsidRDefault="000442D6" w:rsidP="000442D6">
      <w:pPr>
        <w:pStyle w:val="Default"/>
        <w:ind w:left="709"/>
        <w:jc w:val="right"/>
        <w:rPr>
          <w:color w:val="auto"/>
          <w:sz w:val="22"/>
          <w:szCs w:val="22"/>
        </w:rPr>
      </w:pPr>
      <w:r w:rsidRPr="00354554">
        <w:rPr>
          <w:b/>
          <w:bCs/>
          <w:color w:val="auto"/>
          <w:sz w:val="22"/>
          <w:szCs w:val="22"/>
        </w:rPr>
        <w:t>1 lentelė.</w:t>
      </w:r>
      <w:r w:rsidRPr="00354554">
        <w:rPr>
          <w:color w:val="auto"/>
          <w:sz w:val="22"/>
          <w:szCs w:val="22"/>
        </w:rPr>
        <w:t xml:space="preserve"> Vertinimo kriterijai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7"/>
        <w:gridCol w:w="4439"/>
        <w:gridCol w:w="1577"/>
        <w:gridCol w:w="1495"/>
      </w:tblGrid>
      <w:tr w:rsidR="00354554" w:rsidRPr="00354554" w14:paraId="65F8E25C" w14:textId="5D67E70B" w:rsidTr="000442D6">
        <w:tc>
          <w:tcPr>
            <w:tcW w:w="662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252494" w14:textId="3C7E0157" w:rsidR="005C7F0A" w:rsidRPr="00354554" w:rsidRDefault="005C7F0A" w:rsidP="004A1C84">
            <w:pPr>
              <w:spacing w:after="0" w:line="240" w:lineRule="auto"/>
              <w:jc w:val="center"/>
              <w:rPr>
                <w:rFonts w:ascii="Times New Roman" w:hAnsi="Times New Roman" w:cs="Times New Roman"/>
                <w:b/>
                <w:bCs/>
                <w:sz w:val="24"/>
                <w:szCs w:val="24"/>
              </w:rPr>
            </w:pPr>
            <w:r w:rsidRPr="00354554">
              <w:rPr>
                <w:rFonts w:ascii="Times New Roman" w:hAnsi="Times New Roman" w:cs="Times New Roman"/>
                <w:b/>
                <w:bCs/>
                <w:sz w:val="24"/>
                <w:szCs w:val="24"/>
              </w:rPr>
              <w:lastRenderedPageBreak/>
              <w:t>Prekės techniniai parametrai</w:t>
            </w:r>
          </w:p>
        </w:tc>
        <w:tc>
          <w:tcPr>
            <w:tcW w:w="14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60E430" w14:textId="0A8A8A3A" w:rsidR="005C7F0A" w:rsidRPr="00354554" w:rsidRDefault="005C7F0A" w:rsidP="004A1C84">
            <w:pPr>
              <w:spacing w:after="0" w:line="240" w:lineRule="auto"/>
              <w:jc w:val="center"/>
              <w:rPr>
                <w:rFonts w:ascii="Times New Roman" w:hAnsi="Times New Roman" w:cs="Times New Roman"/>
                <w:b/>
                <w:bCs/>
                <w:sz w:val="24"/>
                <w:szCs w:val="24"/>
              </w:rPr>
            </w:pPr>
            <w:r w:rsidRPr="00354554">
              <w:rPr>
                <w:rFonts w:ascii="Times New Roman" w:hAnsi="Times New Roman" w:cs="Times New Roman"/>
                <w:b/>
                <w:bCs/>
                <w:sz w:val="24"/>
                <w:szCs w:val="24"/>
              </w:rPr>
              <w:t>Dokumentais grįstas atitikimas</w:t>
            </w:r>
          </w:p>
        </w:tc>
        <w:tc>
          <w:tcPr>
            <w:tcW w:w="15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177CD1" w14:textId="3140AC53" w:rsidR="005C7F0A" w:rsidRPr="00354554" w:rsidRDefault="005C7F0A" w:rsidP="004A1C84">
            <w:pPr>
              <w:spacing w:after="0" w:line="240" w:lineRule="auto"/>
              <w:jc w:val="center"/>
              <w:rPr>
                <w:rFonts w:ascii="Times New Roman" w:hAnsi="Times New Roman" w:cs="Times New Roman"/>
                <w:b/>
                <w:bCs/>
                <w:sz w:val="24"/>
                <w:szCs w:val="24"/>
              </w:rPr>
            </w:pPr>
            <w:r w:rsidRPr="00354554">
              <w:rPr>
                <w:rFonts w:ascii="Times New Roman" w:hAnsi="Times New Roman" w:cs="Times New Roman"/>
                <w:b/>
                <w:bCs/>
                <w:sz w:val="24"/>
                <w:szCs w:val="24"/>
              </w:rPr>
              <w:t>Atitikimą vertina ekspertai</w:t>
            </w:r>
          </w:p>
        </w:tc>
      </w:tr>
      <w:tr w:rsidR="00354554" w:rsidRPr="00354554" w14:paraId="522271B1" w14:textId="7E1C5D60" w:rsidTr="000442D6">
        <w:tc>
          <w:tcPr>
            <w:tcW w:w="96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372B08" w14:textId="5573B71F" w:rsidR="005C7F0A" w:rsidRPr="00354554" w:rsidRDefault="002E00D0" w:rsidP="004A1C84">
            <w:pPr>
              <w:spacing w:after="0" w:line="240" w:lineRule="auto"/>
              <w:jc w:val="center"/>
              <w:rPr>
                <w:rFonts w:ascii="Times New Roman" w:hAnsi="Times New Roman" w:cs="Times New Roman"/>
                <w:b/>
                <w:bCs/>
                <w:sz w:val="24"/>
                <w:szCs w:val="24"/>
              </w:rPr>
            </w:pPr>
            <w:r w:rsidRPr="00354554">
              <w:rPr>
                <w:rFonts w:ascii="Times New Roman" w:eastAsia="Calibri" w:hAnsi="Times New Roman" w:cs="Times New Roman"/>
                <w:b/>
                <w:bCs/>
                <w:noProof/>
                <w:sz w:val="24"/>
                <w:szCs w:val="24"/>
                <w:lang w:eastAsia="en-US"/>
              </w:rPr>
              <w:t>Bendroji charakteristika</w:t>
            </w:r>
          </w:p>
        </w:tc>
      </w:tr>
      <w:tr w:rsidR="00354554" w:rsidRPr="00354554" w14:paraId="0622E612" w14:textId="1B46BF0C" w:rsidTr="004621E9">
        <w:tc>
          <w:tcPr>
            <w:tcW w:w="2122" w:type="dxa"/>
            <w:tcBorders>
              <w:top w:val="single" w:sz="4" w:space="0" w:color="000000"/>
              <w:left w:val="single" w:sz="4" w:space="0" w:color="000000"/>
              <w:bottom w:val="single" w:sz="4" w:space="0" w:color="000000"/>
              <w:right w:val="single" w:sz="4" w:space="0" w:color="000000"/>
            </w:tcBorders>
          </w:tcPr>
          <w:p w14:paraId="4A93A0EA" w14:textId="77777777" w:rsidR="00FF2BBF" w:rsidRPr="00354554" w:rsidRDefault="00FF2BBF" w:rsidP="004A1C84">
            <w:pPr>
              <w:spacing w:after="0" w:line="240" w:lineRule="auto"/>
              <w:rPr>
                <w:rFonts w:ascii="Times New Roman" w:hAnsi="Times New Roman" w:cs="Times New Roman"/>
                <w:i/>
                <w:iCs/>
                <w:sz w:val="24"/>
                <w:szCs w:val="24"/>
              </w:rPr>
            </w:pPr>
            <w:r w:rsidRPr="00354554">
              <w:rPr>
                <w:rFonts w:ascii="Times New Roman" w:hAnsi="Times New Roman" w:cs="Times New Roman"/>
                <w:i/>
                <w:iCs/>
                <w:sz w:val="24"/>
                <w:szCs w:val="24"/>
              </w:rPr>
              <w:t>Instrumento išmatavimai</w:t>
            </w:r>
          </w:p>
        </w:tc>
        <w:tc>
          <w:tcPr>
            <w:tcW w:w="4507" w:type="dxa"/>
            <w:tcBorders>
              <w:top w:val="single" w:sz="4" w:space="0" w:color="000000"/>
              <w:left w:val="single" w:sz="4" w:space="0" w:color="000000"/>
              <w:bottom w:val="single" w:sz="4" w:space="0" w:color="000000"/>
              <w:right w:val="single" w:sz="4" w:space="0" w:color="000000"/>
            </w:tcBorders>
          </w:tcPr>
          <w:p w14:paraId="1C911D6F" w14:textId="1A7766A6" w:rsidR="00FF2BBF" w:rsidRPr="00354554" w:rsidRDefault="000442D6" w:rsidP="004A1C84">
            <w:pPr>
              <w:spacing w:after="0" w:line="240" w:lineRule="auto"/>
              <w:jc w:val="both"/>
              <w:rPr>
                <w:rFonts w:ascii="Times New Roman" w:hAnsi="Times New Roman" w:cs="Times New Roman"/>
                <w:sz w:val="24"/>
                <w:szCs w:val="24"/>
              </w:rPr>
            </w:pPr>
            <w:r w:rsidRPr="00354554">
              <w:rPr>
                <w:rFonts w:ascii="Times New Roman" w:eastAsia="Calibri" w:hAnsi="Times New Roman" w:cs="Times New Roman"/>
                <w:noProof/>
                <w:sz w:val="24"/>
                <w:szCs w:val="24"/>
                <w:lang w:eastAsia="en-US"/>
              </w:rPr>
              <w:t>Ilgis – ne mažiau kaip 270 cm ir ne daugiau kaip 280 cm</w:t>
            </w:r>
          </w:p>
        </w:tc>
        <w:tc>
          <w:tcPr>
            <w:tcW w:w="1496" w:type="dxa"/>
            <w:tcBorders>
              <w:top w:val="single" w:sz="4" w:space="0" w:color="000000"/>
              <w:left w:val="single" w:sz="4" w:space="0" w:color="000000"/>
              <w:bottom w:val="single" w:sz="4" w:space="0" w:color="000000"/>
              <w:right w:val="single" w:sz="4" w:space="0" w:color="000000"/>
            </w:tcBorders>
          </w:tcPr>
          <w:p w14:paraId="2332C70D" w14:textId="1A1969A5" w:rsidR="00FF2BBF" w:rsidRPr="00354554" w:rsidRDefault="005C7F0A"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041BE011" w14:textId="77777777" w:rsidR="00FF2BBF" w:rsidRPr="00354554" w:rsidRDefault="00FF2BBF" w:rsidP="004A1C84">
            <w:pPr>
              <w:spacing w:after="0" w:line="240" w:lineRule="auto"/>
              <w:jc w:val="center"/>
              <w:rPr>
                <w:rFonts w:ascii="Times New Roman" w:hAnsi="Times New Roman" w:cs="Times New Roman"/>
                <w:sz w:val="24"/>
                <w:szCs w:val="24"/>
              </w:rPr>
            </w:pPr>
          </w:p>
        </w:tc>
      </w:tr>
      <w:tr w:rsidR="00354554" w:rsidRPr="00354554" w14:paraId="31CD2146" w14:textId="3C6FA233" w:rsidTr="004621E9">
        <w:tc>
          <w:tcPr>
            <w:tcW w:w="2122" w:type="dxa"/>
            <w:tcBorders>
              <w:top w:val="single" w:sz="4" w:space="0" w:color="000000"/>
              <w:left w:val="single" w:sz="4" w:space="0" w:color="000000"/>
              <w:bottom w:val="single" w:sz="4" w:space="0" w:color="000000"/>
              <w:right w:val="single" w:sz="4" w:space="0" w:color="000000"/>
            </w:tcBorders>
          </w:tcPr>
          <w:p w14:paraId="03E1039B" w14:textId="7E7CB5F4" w:rsidR="00FF2BBF" w:rsidRPr="00354554" w:rsidRDefault="000442D6" w:rsidP="004A1C84">
            <w:pPr>
              <w:spacing w:after="0" w:line="240" w:lineRule="auto"/>
              <w:rPr>
                <w:rFonts w:ascii="Times New Roman" w:hAnsi="Times New Roman" w:cs="Times New Roman"/>
                <w:sz w:val="24"/>
                <w:szCs w:val="24"/>
              </w:rPr>
            </w:pPr>
            <w:r w:rsidRPr="00354554">
              <w:rPr>
                <w:rFonts w:ascii="Times New Roman" w:eastAsia="Calibri" w:hAnsi="Times New Roman" w:cs="Times New Roman"/>
                <w:i/>
                <w:iCs/>
                <w:noProof/>
                <w:sz w:val="24"/>
                <w:szCs w:val="24"/>
                <w:lang w:eastAsia="en-US"/>
              </w:rPr>
              <w:t>Vienetų skaičius</w:t>
            </w:r>
          </w:p>
        </w:tc>
        <w:tc>
          <w:tcPr>
            <w:tcW w:w="4507" w:type="dxa"/>
            <w:tcBorders>
              <w:top w:val="single" w:sz="4" w:space="0" w:color="000000"/>
              <w:left w:val="single" w:sz="4" w:space="0" w:color="000000"/>
              <w:bottom w:val="single" w:sz="4" w:space="0" w:color="000000"/>
              <w:right w:val="single" w:sz="4" w:space="0" w:color="000000"/>
            </w:tcBorders>
          </w:tcPr>
          <w:p w14:paraId="6A53F439" w14:textId="5D77BBEA" w:rsidR="00FF2BBF" w:rsidRPr="00354554" w:rsidRDefault="000442D6" w:rsidP="004A1C84">
            <w:pPr>
              <w:spacing w:after="0" w:line="240" w:lineRule="auto"/>
              <w:jc w:val="both"/>
              <w:rPr>
                <w:rFonts w:ascii="Times New Roman" w:hAnsi="Times New Roman" w:cs="Times New Roman"/>
                <w:sz w:val="24"/>
                <w:szCs w:val="24"/>
              </w:rPr>
            </w:pPr>
            <w:r w:rsidRPr="00354554">
              <w:rPr>
                <w:rFonts w:ascii="Times New Roman" w:eastAsia="Calibri" w:hAnsi="Times New Roman" w:cs="Times New Roman"/>
                <w:noProof/>
                <w:sz w:val="24"/>
                <w:szCs w:val="24"/>
                <w:lang w:eastAsia="en-US"/>
              </w:rPr>
              <w:t>1 vienetas</w:t>
            </w:r>
          </w:p>
        </w:tc>
        <w:tc>
          <w:tcPr>
            <w:tcW w:w="1496" w:type="dxa"/>
            <w:tcBorders>
              <w:top w:val="single" w:sz="4" w:space="0" w:color="000000"/>
              <w:left w:val="single" w:sz="4" w:space="0" w:color="000000"/>
              <w:bottom w:val="single" w:sz="4" w:space="0" w:color="000000"/>
              <w:right w:val="single" w:sz="4" w:space="0" w:color="000000"/>
            </w:tcBorders>
          </w:tcPr>
          <w:p w14:paraId="373E0765" w14:textId="6778D111" w:rsidR="00FF2BBF" w:rsidRPr="00354554" w:rsidRDefault="005C7F0A"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21AE56F2" w14:textId="77777777" w:rsidR="00FF2BBF" w:rsidRPr="00354554" w:rsidRDefault="00FF2BBF" w:rsidP="004A1C84">
            <w:pPr>
              <w:spacing w:after="0" w:line="240" w:lineRule="auto"/>
              <w:jc w:val="center"/>
              <w:rPr>
                <w:rFonts w:ascii="Times New Roman" w:hAnsi="Times New Roman" w:cs="Times New Roman"/>
                <w:sz w:val="24"/>
                <w:szCs w:val="24"/>
              </w:rPr>
            </w:pPr>
          </w:p>
        </w:tc>
      </w:tr>
      <w:tr w:rsidR="00354554" w:rsidRPr="00354554" w14:paraId="599F293F" w14:textId="384A4247" w:rsidTr="004621E9">
        <w:tc>
          <w:tcPr>
            <w:tcW w:w="2122" w:type="dxa"/>
            <w:tcBorders>
              <w:top w:val="single" w:sz="4" w:space="0" w:color="000000"/>
              <w:left w:val="single" w:sz="4" w:space="0" w:color="000000"/>
              <w:bottom w:val="single" w:sz="4" w:space="0" w:color="000000"/>
              <w:right w:val="single" w:sz="4" w:space="0" w:color="000000"/>
            </w:tcBorders>
          </w:tcPr>
          <w:p w14:paraId="258249DB" w14:textId="7D7564C7" w:rsidR="00FF2BBF" w:rsidRPr="00354554" w:rsidRDefault="000442D6" w:rsidP="004A1C84">
            <w:pPr>
              <w:spacing w:after="0" w:line="240" w:lineRule="auto"/>
              <w:rPr>
                <w:rFonts w:ascii="Times New Roman" w:hAnsi="Times New Roman" w:cs="Times New Roman"/>
                <w:sz w:val="24"/>
                <w:szCs w:val="24"/>
              </w:rPr>
            </w:pPr>
            <w:r w:rsidRPr="00354554">
              <w:rPr>
                <w:rFonts w:ascii="Times New Roman" w:eastAsia="Calibri" w:hAnsi="Times New Roman" w:cs="Times New Roman"/>
                <w:i/>
                <w:iCs/>
                <w:noProof/>
                <w:sz w:val="24"/>
                <w:szCs w:val="24"/>
                <w:lang w:eastAsia="en-US"/>
              </w:rPr>
              <w:t>Naujas ar naudotas</w:t>
            </w:r>
          </w:p>
        </w:tc>
        <w:tc>
          <w:tcPr>
            <w:tcW w:w="4507" w:type="dxa"/>
            <w:tcBorders>
              <w:top w:val="single" w:sz="4" w:space="0" w:color="000000"/>
              <w:left w:val="single" w:sz="4" w:space="0" w:color="000000"/>
              <w:bottom w:val="single" w:sz="4" w:space="0" w:color="000000"/>
              <w:right w:val="single" w:sz="4" w:space="0" w:color="000000"/>
            </w:tcBorders>
          </w:tcPr>
          <w:p w14:paraId="12581EB8" w14:textId="69FEF2E4" w:rsidR="00FF2BBF" w:rsidRPr="00354554" w:rsidRDefault="00252ED6" w:rsidP="004A1C84">
            <w:pPr>
              <w:spacing w:after="0" w:line="240" w:lineRule="auto"/>
              <w:jc w:val="both"/>
              <w:rPr>
                <w:rFonts w:ascii="Times New Roman" w:hAnsi="Times New Roman" w:cs="Times New Roman"/>
                <w:sz w:val="24"/>
                <w:szCs w:val="24"/>
              </w:rPr>
            </w:pPr>
            <w:r w:rsidRPr="00252ED6">
              <w:rPr>
                <w:rFonts w:ascii="Times New Roman" w:eastAsia="Calibri" w:hAnsi="Times New Roman" w:cs="Times New Roman"/>
                <w:noProof/>
                <w:sz w:val="24"/>
                <w:szCs w:val="24"/>
                <w:lang w:eastAsia="en-US"/>
              </w:rPr>
              <w:t>Instrumentas turi būti visiškai naujas, nenaudotas</w:t>
            </w:r>
            <w:r>
              <w:rPr>
                <w:rFonts w:ascii="Times New Roman" w:eastAsia="Calibri" w:hAnsi="Times New Roman" w:cs="Times New Roman"/>
                <w:noProof/>
                <w:sz w:val="24"/>
                <w:szCs w:val="24"/>
                <w:lang w:eastAsia="en-US"/>
              </w:rPr>
              <w:t>.</w:t>
            </w:r>
          </w:p>
        </w:tc>
        <w:tc>
          <w:tcPr>
            <w:tcW w:w="1496" w:type="dxa"/>
            <w:tcBorders>
              <w:top w:val="single" w:sz="4" w:space="0" w:color="000000"/>
              <w:left w:val="single" w:sz="4" w:space="0" w:color="000000"/>
              <w:bottom w:val="single" w:sz="4" w:space="0" w:color="000000"/>
              <w:right w:val="single" w:sz="4" w:space="0" w:color="000000"/>
            </w:tcBorders>
          </w:tcPr>
          <w:p w14:paraId="7EF7050F" w14:textId="3E5E2C79" w:rsidR="00FF2BBF" w:rsidRPr="00354554" w:rsidRDefault="005C7F0A"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13DD78C2" w14:textId="77777777" w:rsidR="00FF2BBF" w:rsidRPr="00354554" w:rsidRDefault="00FF2BBF" w:rsidP="004A1C84">
            <w:pPr>
              <w:spacing w:after="0" w:line="240" w:lineRule="auto"/>
              <w:jc w:val="center"/>
              <w:rPr>
                <w:rFonts w:ascii="Times New Roman" w:hAnsi="Times New Roman" w:cs="Times New Roman"/>
                <w:sz w:val="24"/>
                <w:szCs w:val="24"/>
              </w:rPr>
            </w:pPr>
          </w:p>
        </w:tc>
      </w:tr>
      <w:tr w:rsidR="00354554" w:rsidRPr="00354554" w14:paraId="082C064A" w14:textId="22F5D4CF" w:rsidTr="000442D6">
        <w:tc>
          <w:tcPr>
            <w:tcW w:w="96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F1C67D" w14:textId="2D932D3B" w:rsidR="005C7F0A" w:rsidRPr="00354554" w:rsidRDefault="005C7F0A" w:rsidP="004A1C84">
            <w:pPr>
              <w:snapToGrid w:val="0"/>
              <w:spacing w:after="0" w:line="240" w:lineRule="auto"/>
              <w:jc w:val="center"/>
              <w:rPr>
                <w:rFonts w:ascii="Times New Roman" w:hAnsi="Times New Roman" w:cs="Times New Roman"/>
                <w:b/>
                <w:bCs/>
                <w:sz w:val="24"/>
                <w:szCs w:val="24"/>
              </w:rPr>
            </w:pPr>
            <w:r w:rsidRPr="00354554">
              <w:rPr>
                <w:rFonts w:ascii="Times New Roman" w:hAnsi="Times New Roman" w:cs="Times New Roman"/>
                <w:b/>
                <w:bCs/>
                <w:sz w:val="24"/>
                <w:szCs w:val="24"/>
              </w:rPr>
              <w:t>Korpusas ir jo dalys</w:t>
            </w:r>
          </w:p>
        </w:tc>
      </w:tr>
      <w:tr w:rsidR="00354554" w:rsidRPr="00354554" w14:paraId="6E88EB31" w14:textId="15589995" w:rsidTr="004621E9">
        <w:tc>
          <w:tcPr>
            <w:tcW w:w="2122" w:type="dxa"/>
            <w:vMerge w:val="restart"/>
            <w:tcBorders>
              <w:top w:val="single" w:sz="4" w:space="0" w:color="000000"/>
              <w:left w:val="single" w:sz="4" w:space="0" w:color="000000"/>
              <w:right w:val="single" w:sz="4" w:space="0" w:color="000000"/>
            </w:tcBorders>
            <w:hideMark/>
          </w:tcPr>
          <w:p w14:paraId="1BF9E93A" w14:textId="19381AF1" w:rsidR="00865ADE" w:rsidRPr="00354554" w:rsidRDefault="000442D6" w:rsidP="004A1C84">
            <w:pPr>
              <w:spacing w:after="0" w:line="240" w:lineRule="auto"/>
              <w:rPr>
                <w:rFonts w:ascii="Times New Roman" w:hAnsi="Times New Roman" w:cs="Times New Roman"/>
                <w:sz w:val="24"/>
                <w:szCs w:val="24"/>
              </w:rPr>
            </w:pPr>
            <w:r w:rsidRPr="00354554">
              <w:rPr>
                <w:rFonts w:ascii="Times New Roman" w:eastAsia="Calibri" w:hAnsi="Times New Roman" w:cs="Times New Roman"/>
                <w:i/>
                <w:iCs/>
                <w:noProof/>
                <w:sz w:val="24"/>
                <w:szCs w:val="24"/>
                <w:lang w:eastAsia="en-US"/>
              </w:rPr>
              <w:t>Korpusas</w:t>
            </w:r>
          </w:p>
        </w:tc>
        <w:tc>
          <w:tcPr>
            <w:tcW w:w="4507" w:type="dxa"/>
            <w:tcBorders>
              <w:top w:val="single" w:sz="4" w:space="0" w:color="000000"/>
              <w:left w:val="single" w:sz="4" w:space="0" w:color="000000"/>
              <w:bottom w:val="single" w:sz="4" w:space="0" w:color="000000"/>
              <w:right w:val="single" w:sz="4" w:space="0" w:color="000000"/>
            </w:tcBorders>
            <w:hideMark/>
          </w:tcPr>
          <w:p w14:paraId="5D750D37" w14:textId="439C69E5" w:rsidR="00865ADE" w:rsidRPr="00354554" w:rsidRDefault="00A80D04" w:rsidP="004A1C84">
            <w:pPr>
              <w:spacing w:after="0" w:line="240" w:lineRule="auto"/>
              <w:jc w:val="both"/>
              <w:rPr>
                <w:rFonts w:ascii="Times New Roman" w:hAnsi="Times New Roman" w:cs="Times New Roman"/>
                <w:sz w:val="24"/>
                <w:szCs w:val="24"/>
              </w:rPr>
            </w:pPr>
            <w:r w:rsidRPr="00354554">
              <w:rPr>
                <w:rFonts w:ascii="Times New Roman" w:hAnsi="Times New Roman" w:cs="Times New Roman"/>
                <w:sz w:val="24"/>
                <w:szCs w:val="24"/>
              </w:rPr>
              <w:t>Tvirtas ir stabilus</w:t>
            </w:r>
          </w:p>
        </w:tc>
        <w:tc>
          <w:tcPr>
            <w:tcW w:w="1496" w:type="dxa"/>
            <w:tcBorders>
              <w:top w:val="single" w:sz="4" w:space="0" w:color="000000"/>
              <w:left w:val="single" w:sz="4" w:space="0" w:color="000000"/>
              <w:bottom w:val="single" w:sz="4" w:space="0" w:color="000000"/>
              <w:right w:val="single" w:sz="4" w:space="0" w:color="000000"/>
            </w:tcBorders>
          </w:tcPr>
          <w:p w14:paraId="52F374DD" w14:textId="7B482B93" w:rsidR="00865ADE" w:rsidRPr="00354554" w:rsidRDefault="00865ADE"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03089963" w14:textId="77777777" w:rsidR="00865ADE" w:rsidRPr="00354554" w:rsidRDefault="00865ADE" w:rsidP="004A1C84">
            <w:pPr>
              <w:spacing w:after="0" w:line="240" w:lineRule="auto"/>
              <w:jc w:val="center"/>
              <w:rPr>
                <w:rFonts w:ascii="Times New Roman" w:hAnsi="Times New Roman" w:cs="Times New Roman"/>
                <w:sz w:val="24"/>
                <w:szCs w:val="24"/>
              </w:rPr>
            </w:pPr>
          </w:p>
        </w:tc>
      </w:tr>
      <w:tr w:rsidR="00354554" w:rsidRPr="00354554" w14:paraId="6610BB07" w14:textId="77777777" w:rsidTr="004621E9">
        <w:tc>
          <w:tcPr>
            <w:tcW w:w="2122" w:type="dxa"/>
            <w:vMerge/>
            <w:tcBorders>
              <w:left w:val="single" w:sz="4" w:space="0" w:color="000000"/>
              <w:right w:val="single" w:sz="4" w:space="0" w:color="000000"/>
            </w:tcBorders>
          </w:tcPr>
          <w:p w14:paraId="3ADC3384" w14:textId="77777777" w:rsidR="00865ADE" w:rsidRPr="00354554" w:rsidRDefault="00865ADE" w:rsidP="004A1C84">
            <w:pPr>
              <w:spacing w:after="0" w:line="240" w:lineRule="auto"/>
              <w:rPr>
                <w:rFonts w:ascii="Times New Roman" w:hAnsi="Times New Roman" w:cs="Times New Roman"/>
                <w:sz w:val="24"/>
                <w:szCs w:val="24"/>
              </w:rPr>
            </w:pPr>
          </w:p>
        </w:tc>
        <w:tc>
          <w:tcPr>
            <w:tcW w:w="4507" w:type="dxa"/>
            <w:tcBorders>
              <w:top w:val="single" w:sz="4" w:space="0" w:color="000000"/>
              <w:left w:val="single" w:sz="4" w:space="0" w:color="000000"/>
              <w:bottom w:val="single" w:sz="4" w:space="0" w:color="000000"/>
              <w:right w:val="single" w:sz="4" w:space="0" w:color="000000"/>
            </w:tcBorders>
          </w:tcPr>
          <w:p w14:paraId="2CB10F78" w14:textId="6E9BF8F0" w:rsidR="00865ADE" w:rsidRPr="00354554" w:rsidRDefault="00A80D04" w:rsidP="004A1C84">
            <w:pPr>
              <w:spacing w:after="0" w:line="240" w:lineRule="auto"/>
              <w:jc w:val="both"/>
              <w:rPr>
                <w:rFonts w:ascii="Times New Roman" w:hAnsi="Times New Roman" w:cs="Times New Roman"/>
                <w:sz w:val="24"/>
                <w:szCs w:val="24"/>
              </w:rPr>
            </w:pPr>
            <w:r w:rsidRPr="00354554">
              <w:rPr>
                <w:rFonts w:ascii="Times New Roman" w:hAnsi="Times New Roman" w:cs="Times New Roman"/>
                <w:sz w:val="24"/>
                <w:szCs w:val="24"/>
              </w:rPr>
              <w:t>P</w:t>
            </w:r>
            <w:r w:rsidR="00865ADE" w:rsidRPr="00354554">
              <w:rPr>
                <w:rFonts w:ascii="Times New Roman" w:hAnsi="Times New Roman" w:cs="Times New Roman"/>
                <w:sz w:val="24"/>
                <w:szCs w:val="24"/>
              </w:rPr>
              <w:t>agamin</w:t>
            </w:r>
            <w:r w:rsidRPr="00354554">
              <w:rPr>
                <w:rFonts w:ascii="Times New Roman" w:hAnsi="Times New Roman" w:cs="Times New Roman"/>
                <w:sz w:val="24"/>
                <w:szCs w:val="24"/>
              </w:rPr>
              <w:t>tas iš daugiasluoksnės medienos</w:t>
            </w:r>
          </w:p>
        </w:tc>
        <w:tc>
          <w:tcPr>
            <w:tcW w:w="1496" w:type="dxa"/>
            <w:tcBorders>
              <w:top w:val="single" w:sz="4" w:space="0" w:color="000000"/>
              <w:left w:val="single" w:sz="4" w:space="0" w:color="000000"/>
              <w:bottom w:val="single" w:sz="4" w:space="0" w:color="000000"/>
              <w:right w:val="single" w:sz="4" w:space="0" w:color="000000"/>
            </w:tcBorders>
          </w:tcPr>
          <w:p w14:paraId="1FAB3122" w14:textId="7336F694" w:rsidR="00865ADE" w:rsidRPr="00354554" w:rsidRDefault="00865ADE" w:rsidP="004A1C84">
            <w:pPr>
              <w:spacing w:after="0" w:line="240" w:lineRule="auto"/>
              <w:jc w:val="center"/>
              <w:rPr>
                <w:rFonts w:ascii="Times New Roman" w:hAnsi="Times New Roman" w:cs="Times New Roman"/>
                <w:sz w:val="24"/>
                <w:szCs w:val="24"/>
                <w:lang w:eastAsia="ru-RU"/>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0588A438" w14:textId="77777777" w:rsidR="00865ADE" w:rsidRPr="00354554" w:rsidRDefault="00865ADE" w:rsidP="004A1C84">
            <w:pPr>
              <w:spacing w:after="0" w:line="240" w:lineRule="auto"/>
              <w:jc w:val="center"/>
              <w:rPr>
                <w:rFonts w:ascii="Times New Roman" w:hAnsi="Times New Roman" w:cs="Times New Roman"/>
                <w:sz w:val="24"/>
                <w:szCs w:val="24"/>
              </w:rPr>
            </w:pPr>
          </w:p>
        </w:tc>
      </w:tr>
      <w:tr w:rsidR="00354554" w:rsidRPr="00354554" w14:paraId="288CF8EE" w14:textId="77777777" w:rsidTr="004621E9">
        <w:tc>
          <w:tcPr>
            <w:tcW w:w="2122" w:type="dxa"/>
            <w:vMerge/>
            <w:tcBorders>
              <w:left w:val="single" w:sz="4" w:space="0" w:color="000000"/>
              <w:right w:val="single" w:sz="4" w:space="0" w:color="000000"/>
            </w:tcBorders>
          </w:tcPr>
          <w:p w14:paraId="07E29111" w14:textId="77777777" w:rsidR="00865ADE" w:rsidRPr="00354554" w:rsidRDefault="00865ADE" w:rsidP="004A1C84">
            <w:pPr>
              <w:spacing w:after="0" w:line="240" w:lineRule="auto"/>
              <w:rPr>
                <w:rFonts w:ascii="Times New Roman" w:hAnsi="Times New Roman" w:cs="Times New Roman"/>
                <w:sz w:val="24"/>
                <w:szCs w:val="24"/>
              </w:rPr>
            </w:pPr>
          </w:p>
        </w:tc>
        <w:tc>
          <w:tcPr>
            <w:tcW w:w="4507" w:type="dxa"/>
            <w:tcBorders>
              <w:top w:val="single" w:sz="4" w:space="0" w:color="000000"/>
              <w:left w:val="single" w:sz="4" w:space="0" w:color="000000"/>
              <w:bottom w:val="single" w:sz="4" w:space="0" w:color="000000"/>
              <w:right w:val="single" w:sz="4" w:space="0" w:color="000000"/>
            </w:tcBorders>
          </w:tcPr>
          <w:p w14:paraId="19E3E8FC" w14:textId="4288F991" w:rsidR="00865ADE" w:rsidRPr="00354554" w:rsidRDefault="00A80D04" w:rsidP="004A1C84">
            <w:pPr>
              <w:spacing w:after="0" w:line="240" w:lineRule="auto"/>
              <w:jc w:val="both"/>
              <w:rPr>
                <w:rFonts w:ascii="Times New Roman" w:hAnsi="Times New Roman" w:cs="Times New Roman"/>
                <w:sz w:val="24"/>
                <w:szCs w:val="24"/>
              </w:rPr>
            </w:pPr>
            <w:r w:rsidRPr="00354554">
              <w:rPr>
                <w:rFonts w:ascii="Times New Roman" w:hAnsi="Times New Roman" w:cs="Times New Roman"/>
                <w:sz w:val="24"/>
                <w:szCs w:val="24"/>
              </w:rPr>
              <w:t>Faneruotas</w:t>
            </w:r>
          </w:p>
        </w:tc>
        <w:tc>
          <w:tcPr>
            <w:tcW w:w="1496" w:type="dxa"/>
            <w:tcBorders>
              <w:top w:val="single" w:sz="4" w:space="0" w:color="000000"/>
              <w:left w:val="single" w:sz="4" w:space="0" w:color="000000"/>
              <w:bottom w:val="single" w:sz="4" w:space="0" w:color="000000"/>
              <w:right w:val="single" w:sz="4" w:space="0" w:color="000000"/>
            </w:tcBorders>
          </w:tcPr>
          <w:p w14:paraId="576DBAAD" w14:textId="212C1495" w:rsidR="00865ADE" w:rsidRPr="00354554" w:rsidRDefault="00865ADE" w:rsidP="004A1C84">
            <w:pPr>
              <w:spacing w:after="0" w:line="240" w:lineRule="auto"/>
              <w:jc w:val="center"/>
              <w:rPr>
                <w:rFonts w:ascii="Times New Roman" w:hAnsi="Times New Roman" w:cs="Times New Roman"/>
                <w:sz w:val="24"/>
                <w:szCs w:val="24"/>
                <w:lang w:eastAsia="ru-RU"/>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279F625B" w14:textId="77777777" w:rsidR="00865ADE" w:rsidRPr="00354554" w:rsidRDefault="00865ADE" w:rsidP="004A1C84">
            <w:pPr>
              <w:spacing w:after="0" w:line="240" w:lineRule="auto"/>
              <w:jc w:val="center"/>
              <w:rPr>
                <w:rFonts w:ascii="Times New Roman" w:hAnsi="Times New Roman" w:cs="Times New Roman"/>
                <w:sz w:val="24"/>
                <w:szCs w:val="24"/>
              </w:rPr>
            </w:pPr>
          </w:p>
        </w:tc>
      </w:tr>
      <w:tr w:rsidR="00354554" w:rsidRPr="00354554" w14:paraId="3EA90291" w14:textId="77777777" w:rsidTr="004621E9">
        <w:tc>
          <w:tcPr>
            <w:tcW w:w="2122" w:type="dxa"/>
            <w:vMerge/>
            <w:tcBorders>
              <w:left w:val="single" w:sz="4" w:space="0" w:color="000000"/>
              <w:bottom w:val="single" w:sz="4" w:space="0" w:color="000000"/>
              <w:right w:val="single" w:sz="4" w:space="0" w:color="000000"/>
            </w:tcBorders>
          </w:tcPr>
          <w:p w14:paraId="650AB4DD" w14:textId="77777777" w:rsidR="00865ADE" w:rsidRPr="00354554" w:rsidRDefault="00865ADE" w:rsidP="004A1C84">
            <w:pPr>
              <w:spacing w:after="0" w:line="240" w:lineRule="auto"/>
              <w:rPr>
                <w:rFonts w:ascii="Times New Roman" w:hAnsi="Times New Roman" w:cs="Times New Roman"/>
                <w:sz w:val="24"/>
                <w:szCs w:val="24"/>
              </w:rPr>
            </w:pPr>
          </w:p>
        </w:tc>
        <w:tc>
          <w:tcPr>
            <w:tcW w:w="4507" w:type="dxa"/>
            <w:tcBorders>
              <w:top w:val="single" w:sz="4" w:space="0" w:color="000000"/>
              <w:left w:val="single" w:sz="4" w:space="0" w:color="000000"/>
              <w:bottom w:val="single" w:sz="4" w:space="0" w:color="000000"/>
              <w:right w:val="single" w:sz="4" w:space="0" w:color="000000"/>
            </w:tcBorders>
          </w:tcPr>
          <w:p w14:paraId="66C95FF2" w14:textId="255C9995" w:rsidR="00865ADE" w:rsidRPr="00354554" w:rsidRDefault="00A80D04" w:rsidP="004A1C84">
            <w:pPr>
              <w:spacing w:after="0" w:line="240" w:lineRule="auto"/>
              <w:jc w:val="both"/>
              <w:rPr>
                <w:rFonts w:ascii="Times New Roman" w:hAnsi="Times New Roman" w:cs="Times New Roman"/>
                <w:sz w:val="24"/>
                <w:szCs w:val="24"/>
              </w:rPr>
            </w:pPr>
            <w:r w:rsidRPr="00354554">
              <w:rPr>
                <w:rFonts w:ascii="Times New Roman" w:hAnsi="Times New Roman" w:cs="Times New Roman"/>
                <w:sz w:val="24"/>
                <w:szCs w:val="24"/>
              </w:rPr>
              <w:t>K</w:t>
            </w:r>
            <w:r w:rsidR="00865ADE" w:rsidRPr="00354554">
              <w:rPr>
                <w:rFonts w:ascii="Times New Roman" w:hAnsi="Times New Roman" w:cs="Times New Roman"/>
                <w:sz w:val="24"/>
                <w:szCs w:val="24"/>
              </w:rPr>
              <w:t>orpuso dizainas originalus, sukurtas gamintojo</w:t>
            </w:r>
          </w:p>
        </w:tc>
        <w:tc>
          <w:tcPr>
            <w:tcW w:w="1496" w:type="dxa"/>
            <w:tcBorders>
              <w:top w:val="single" w:sz="4" w:space="0" w:color="000000"/>
              <w:left w:val="single" w:sz="4" w:space="0" w:color="000000"/>
              <w:bottom w:val="single" w:sz="4" w:space="0" w:color="000000"/>
              <w:right w:val="single" w:sz="4" w:space="0" w:color="000000"/>
            </w:tcBorders>
          </w:tcPr>
          <w:p w14:paraId="5672A2B3" w14:textId="06B2E39F" w:rsidR="00865ADE" w:rsidRPr="00354554" w:rsidRDefault="00865ADE" w:rsidP="004A1C84">
            <w:pPr>
              <w:spacing w:after="0" w:line="240" w:lineRule="auto"/>
              <w:jc w:val="center"/>
              <w:rPr>
                <w:rFonts w:ascii="Times New Roman" w:hAnsi="Times New Roman" w:cs="Times New Roman"/>
                <w:sz w:val="24"/>
                <w:szCs w:val="24"/>
                <w:lang w:eastAsia="ru-RU"/>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06D89A6D" w14:textId="77777777" w:rsidR="00865ADE" w:rsidRPr="00354554" w:rsidRDefault="00865ADE" w:rsidP="004A1C84">
            <w:pPr>
              <w:spacing w:after="0" w:line="240" w:lineRule="auto"/>
              <w:jc w:val="center"/>
              <w:rPr>
                <w:rFonts w:ascii="Times New Roman" w:hAnsi="Times New Roman" w:cs="Times New Roman"/>
                <w:sz w:val="24"/>
                <w:szCs w:val="24"/>
              </w:rPr>
            </w:pPr>
          </w:p>
        </w:tc>
      </w:tr>
      <w:tr w:rsidR="00354554" w:rsidRPr="00354554" w14:paraId="15B13666" w14:textId="77777777" w:rsidTr="004621E9">
        <w:tc>
          <w:tcPr>
            <w:tcW w:w="2122" w:type="dxa"/>
            <w:tcBorders>
              <w:top w:val="single" w:sz="4" w:space="0" w:color="000000"/>
              <w:left w:val="single" w:sz="4" w:space="0" w:color="000000"/>
              <w:bottom w:val="single" w:sz="4" w:space="0" w:color="000000"/>
              <w:right w:val="single" w:sz="4" w:space="0" w:color="000000"/>
            </w:tcBorders>
          </w:tcPr>
          <w:p w14:paraId="3A78C429" w14:textId="45C5A20A" w:rsidR="000442D6" w:rsidRPr="00354554" w:rsidRDefault="000442D6" w:rsidP="004A1C84">
            <w:pPr>
              <w:spacing w:after="0" w:line="240" w:lineRule="auto"/>
              <w:rPr>
                <w:rFonts w:ascii="Times New Roman" w:hAnsi="Times New Roman" w:cs="Times New Roman"/>
                <w:sz w:val="24"/>
                <w:szCs w:val="24"/>
              </w:rPr>
            </w:pPr>
            <w:r w:rsidRPr="00354554">
              <w:rPr>
                <w:rFonts w:ascii="Times New Roman" w:eastAsia="Calibri" w:hAnsi="Times New Roman" w:cs="Times New Roman"/>
                <w:i/>
                <w:iCs/>
                <w:noProof/>
                <w:sz w:val="24"/>
                <w:szCs w:val="24"/>
                <w:lang w:eastAsia="en-US"/>
              </w:rPr>
              <w:t>Priekinis klaviatūros skydas</w:t>
            </w:r>
          </w:p>
        </w:tc>
        <w:tc>
          <w:tcPr>
            <w:tcW w:w="4507" w:type="dxa"/>
            <w:tcBorders>
              <w:top w:val="single" w:sz="4" w:space="0" w:color="000000"/>
              <w:left w:val="single" w:sz="4" w:space="0" w:color="000000"/>
              <w:bottom w:val="single" w:sz="4" w:space="0" w:color="000000"/>
              <w:right w:val="single" w:sz="4" w:space="0" w:color="000000"/>
            </w:tcBorders>
          </w:tcPr>
          <w:p w14:paraId="460A25D9" w14:textId="13B37B16" w:rsidR="000442D6" w:rsidRPr="00354554" w:rsidRDefault="000442D6" w:rsidP="004A1C84">
            <w:pPr>
              <w:spacing w:after="0" w:line="240" w:lineRule="auto"/>
              <w:jc w:val="both"/>
              <w:rPr>
                <w:rFonts w:ascii="Times New Roman" w:hAnsi="Times New Roman" w:cs="Times New Roman"/>
                <w:sz w:val="24"/>
                <w:szCs w:val="24"/>
              </w:rPr>
            </w:pPr>
            <w:r w:rsidRPr="00354554">
              <w:rPr>
                <w:rFonts w:ascii="Times New Roman" w:eastAsia="Calibri" w:hAnsi="Times New Roman" w:cs="Times New Roman"/>
                <w:noProof/>
                <w:sz w:val="24"/>
                <w:szCs w:val="24"/>
                <w:lang w:eastAsia="en-US"/>
              </w:rPr>
              <w:t>Neslidi klavišų danga</w:t>
            </w:r>
          </w:p>
        </w:tc>
        <w:tc>
          <w:tcPr>
            <w:tcW w:w="1496" w:type="dxa"/>
            <w:tcBorders>
              <w:top w:val="single" w:sz="4" w:space="0" w:color="000000"/>
              <w:left w:val="single" w:sz="4" w:space="0" w:color="000000"/>
              <w:bottom w:val="single" w:sz="4" w:space="0" w:color="000000"/>
              <w:right w:val="single" w:sz="4" w:space="0" w:color="000000"/>
            </w:tcBorders>
          </w:tcPr>
          <w:p w14:paraId="0E5ABE37" w14:textId="4AC54064" w:rsidR="000442D6" w:rsidRPr="00354554" w:rsidRDefault="000442D6" w:rsidP="00CC6CD0">
            <w:pPr>
              <w:spacing w:after="0" w:line="240" w:lineRule="auto"/>
              <w:rPr>
                <w:rFonts w:ascii="Times New Roman" w:hAnsi="Times New Roman" w:cs="Times New Roman"/>
                <w:sz w:val="24"/>
                <w:szCs w:val="24"/>
                <w:highlight w:val="yellow"/>
                <w:lang w:eastAsia="ru-RU"/>
              </w:rPr>
            </w:pPr>
          </w:p>
        </w:tc>
        <w:tc>
          <w:tcPr>
            <w:tcW w:w="1503" w:type="dxa"/>
            <w:tcBorders>
              <w:top w:val="single" w:sz="4" w:space="0" w:color="000000"/>
              <w:left w:val="single" w:sz="4" w:space="0" w:color="000000"/>
              <w:bottom w:val="single" w:sz="4" w:space="0" w:color="000000"/>
              <w:right w:val="single" w:sz="4" w:space="0" w:color="000000"/>
            </w:tcBorders>
          </w:tcPr>
          <w:p w14:paraId="4A40094A" w14:textId="2201CABB" w:rsidR="000442D6" w:rsidRPr="00354554" w:rsidRDefault="000442D6" w:rsidP="004A1C84">
            <w:pPr>
              <w:spacing w:after="0" w:line="240" w:lineRule="auto"/>
              <w:jc w:val="center"/>
              <w:rPr>
                <w:rFonts w:ascii="Times New Roman" w:hAnsi="Times New Roman" w:cs="Times New Roman"/>
                <w:sz w:val="24"/>
                <w:szCs w:val="24"/>
                <w:highlight w:val="yellow"/>
              </w:rPr>
            </w:pPr>
            <w:r w:rsidRPr="00354554">
              <w:rPr>
                <w:rFonts w:ascii="Times New Roman" w:hAnsi="Times New Roman" w:cs="Times New Roman"/>
                <w:sz w:val="24"/>
                <w:szCs w:val="24"/>
                <w:lang w:eastAsia="ru-RU"/>
              </w:rPr>
              <w:sym w:font="Wingdings" w:char="F0FC"/>
            </w:r>
          </w:p>
        </w:tc>
      </w:tr>
      <w:tr w:rsidR="00354554" w:rsidRPr="00354554" w14:paraId="600766D1" w14:textId="7BF11D8A" w:rsidTr="004621E9">
        <w:tc>
          <w:tcPr>
            <w:tcW w:w="2122" w:type="dxa"/>
            <w:tcBorders>
              <w:top w:val="single" w:sz="4" w:space="0" w:color="000000"/>
              <w:left w:val="single" w:sz="4" w:space="0" w:color="000000"/>
              <w:bottom w:val="single" w:sz="4" w:space="0" w:color="000000"/>
              <w:right w:val="single" w:sz="4" w:space="0" w:color="000000"/>
            </w:tcBorders>
          </w:tcPr>
          <w:p w14:paraId="15B3AC71" w14:textId="77777777" w:rsidR="00FF2BBF" w:rsidRPr="00354554" w:rsidRDefault="00FF2BBF" w:rsidP="004A1C84">
            <w:pPr>
              <w:spacing w:after="0" w:line="240" w:lineRule="auto"/>
              <w:rPr>
                <w:rFonts w:ascii="Times New Roman" w:hAnsi="Times New Roman" w:cs="Times New Roman"/>
                <w:i/>
                <w:iCs/>
                <w:sz w:val="24"/>
                <w:szCs w:val="24"/>
              </w:rPr>
            </w:pPr>
            <w:r w:rsidRPr="00354554">
              <w:rPr>
                <w:rFonts w:ascii="Times New Roman" w:hAnsi="Times New Roman" w:cs="Times New Roman"/>
                <w:i/>
                <w:iCs/>
                <w:sz w:val="24"/>
                <w:szCs w:val="24"/>
              </w:rPr>
              <w:t>Fortepijono dangtis</w:t>
            </w:r>
          </w:p>
        </w:tc>
        <w:tc>
          <w:tcPr>
            <w:tcW w:w="4507" w:type="dxa"/>
            <w:tcBorders>
              <w:top w:val="single" w:sz="4" w:space="0" w:color="000000"/>
              <w:left w:val="single" w:sz="4" w:space="0" w:color="000000"/>
              <w:bottom w:val="single" w:sz="4" w:space="0" w:color="000000"/>
              <w:right w:val="single" w:sz="4" w:space="0" w:color="000000"/>
            </w:tcBorders>
          </w:tcPr>
          <w:p w14:paraId="28EB256C" w14:textId="0FCECE11" w:rsidR="00FF2BBF" w:rsidRPr="00354554" w:rsidRDefault="00FF2BBF" w:rsidP="004A1C84">
            <w:pPr>
              <w:spacing w:after="0" w:line="240" w:lineRule="auto"/>
              <w:jc w:val="both"/>
              <w:rPr>
                <w:rFonts w:ascii="Times New Roman" w:hAnsi="Times New Roman" w:cs="Times New Roman"/>
                <w:sz w:val="24"/>
                <w:szCs w:val="24"/>
              </w:rPr>
            </w:pPr>
            <w:r w:rsidRPr="00354554">
              <w:rPr>
                <w:rFonts w:ascii="Times New Roman" w:hAnsi="Times New Roman" w:cs="Times New Roman"/>
                <w:sz w:val="24"/>
                <w:szCs w:val="24"/>
              </w:rPr>
              <w:t>Ne mažiau kaip 3 dangčio pozicijos</w:t>
            </w:r>
          </w:p>
        </w:tc>
        <w:tc>
          <w:tcPr>
            <w:tcW w:w="1496" w:type="dxa"/>
            <w:tcBorders>
              <w:top w:val="single" w:sz="4" w:space="0" w:color="000000"/>
              <w:left w:val="single" w:sz="4" w:space="0" w:color="000000"/>
              <w:bottom w:val="single" w:sz="4" w:space="0" w:color="000000"/>
              <w:right w:val="single" w:sz="4" w:space="0" w:color="000000"/>
            </w:tcBorders>
          </w:tcPr>
          <w:p w14:paraId="39A08F4E" w14:textId="7EA6EACE" w:rsidR="00FF2BBF" w:rsidRPr="00354554" w:rsidRDefault="005C7F0A"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6C072846" w14:textId="77777777" w:rsidR="00FF2BBF" w:rsidRPr="00354554" w:rsidRDefault="00FF2BBF" w:rsidP="004A1C84">
            <w:pPr>
              <w:spacing w:after="0" w:line="240" w:lineRule="auto"/>
              <w:jc w:val="center"/>
              <w:rPr>
                <w:rFonts w:ascii="Times New Roman" w:hAnsi="Times New Roman" w:cs="Times New Roman"/>
                <w:sz w:val="24"/>
                <w:szCs w:val="24"/>
              </w:rPr>
            </w:pPr>
          </w:p>
        </w:tc>
      </w:tr>
      <w:tr w:rsidR="00354554" w:rsidRPr="00354554" w14:paraId="3FBDF1DC" w14:textId="69A100FC" w:rsidTr="004621E9">
        <w:tc>
          <w:tcPr>
            <w:tcW w:w="2122" w:type="dxa"/>
            <w:vMerge w:val="restart"/>
            <w:tcBorders>
              <w:top w:val="single" w:sz="4" w:space="0" w:color="000000"/>
              <w:left w:val="single" w:sz="4" w:space="0" w:color="000000"/>
              <w:right w:val="single" w:sz="4" w:space="0" w:color="000000"/>
            </w:tcBorders>
          </w:tcPr>
          <w:p w14:paraId="17003DD0" w14:textId="6F6D38CF" w:rsidR="00865ADE" w:rsidRPr="00354554" w:rsidRDefault="00865ADE" w:rsidP="004A1C84">
            <w:pPr>
              <w:spacing w:after="0" w:line="240" w:lineRule="auto"/>
              <w:rPr>
                <w:rFonts w:ascii="Times New Roman" w:hAnsi="Times New Roman" w:cs="Times New Roman"/>
                <w:i/>
                <w:iCs/>
                <w:sz w:val="24"/>
                <w:szCs w:val="24"/>
              </w:rPr>
            </w:pPr>
            <w:r w:rsidRPr="00354554">
              <w:rPr>
                <w:rFonts w:ascii="Times New Roman" w:hAnsi="Times New Roman" w:cs="Times New Roman"/>
                <w:i/>
                <w:iCs/>
                <w:sz w:val="24"/>
                <w:szCs w:val="24"/>
              </w:rPr>
              <w:t xml:space="preserve">Kojos </w:t>
            </w:r>
            <w:r w:rsidR="00A80D04" w:rsidRPr="00354554">
              <w:rPr>
                <w:rFonts w:ascii="Times New Roman" w:hAnsi="Times New Roman" w:cs="Times New Roman"/>
                <w:i/>
                <w:iCs/>
                <w:sz w:val="24"/>
                <w:szCs w:val="24"/>
              </w:rPr>
              <w:t>ir ratukai</w:t>
            </w:r>
          </w:p>
        </w:tc>
        <w:tc>
          <w:tcPr>
            <w:tcW w:w="4507" w:type="dxa"/>
            <w:tcBorders>
              <w:top w:val="single" w:sz="4" w:space="0" w:color="000000"/>
              <w:left w:val="single" w:sz="4" w:space="0" w:color="000000"/>
              <w:bottom w:val="single" w:sz="4" w:space="0" w:color="000000"/>
              <w:right w:val="single" w:sz="4" w:space="0" w:color="000000"/>
            </w:tcBorders>
          </w:tcPr>
          <w:p w14:paraId="7F501EE3" w14:textId="3D531C31" w:rsidR="00865ADE" w:rsidRPr="00354554" w:rsidRDefault="00865ADE" w:rsidP="004A1C84">
            <w:pPr>
              <w:spacing w:after="0" w:line="240" w:lineRule="auto"/>
              <w:jc w:val="both"/>
              <w:rPr>
                <w:rFonts w:ascii="Times New Roman" w:hAnsi="Times New Roman" w:cs="Times New Roman"/>
                <w:sz w:val="24"/>
                <w:szCs w:val="24"/>
              </w:rPr>
            </w:pPr>
            <w:r w:rsidRPr="00354554">
              <w:rPr>
                <w:rFonts w:ascii="Times New Roman" w:hAnsi="Times New Roman" w:cs="Times New Roman"/>
                <w:sz w:val="24"/>
                <w:szCs w:val="24"/>
              </w:rPr>
              <w:t xml:space="preserve">Vientiso medžio masyvo, labai gerai įtvirtintos </w:t>
            </w:r>
          </w:p>
        </w:tc>
        <w:tc>
          <w:tcPr>
            <w:tcW w:w="1496" w:type="dxa"/>
            <w:tcBorders>
              <w:top w:val="single" w:sz="4" w:space="0" w:color="000000"/>
              <w:left w:val="single" w:sz="4" w:space="0" w:color="000000"/>
              <w:bottom w:val="single" w:sz="4" w:space="0" w:color="000000"/>
              <w:right w:val="single" w:sz="4" w:space="0" w:color="000000"/>
            </w:tcBorders>
          </w:tcPr>
          <w:p w14:paraId="0DA4C0FC" w14:textId="2BC5C8F3" w:rsidR="00865ADE" w:rsidRPr="00354554" w:rsidRDefault="00865ADE"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60AFB19D" w14:textId="77777777" w:rsidR="00865ADE" w:rsidRPr="00354554" w:rsidRDefault="00865ADE" w:rsidP="004A1C84">
            <w:pPr>
              <w:spacing w:after="0" w:line="240" w:lineRule="auto"/>
              <w:jc w:val="center"/>
              <w:rPr>
                <w:rFonts w:ascii="Times New Roman" w:hAnsi="Times New Roman" w:cs="Times New Roman"/>
                <w:sz w:val="24"/>
                <w:szCs w:val="24"/>
              </w:rPr>
            </w:pPr>
          </w:p>
        </w:tc>
      </w:tr>
      <w:tr w:rsidR="00354554" w:rsidRPr="00354554" w14:paraId="176E1369" w14:textId="77777777" w:rsidTr="004621E9">
        <w:tc>
          <w:tcPr>
            <w:tcW w:w="2122" w:type="dxa"/>
            <w:vMerge/>
            <w:tcBorders>
              <w:left w:val="single" w:sz="4" w:space="0" w:color="000000"/>
              <w:bottom w:val="single" w:sz="4" w:space="0" w:color="000000"/>
              <w:right w:val="single" w:sz="4" w:space="0" w:color="000000"/>
            </w:tcBorders>
          </w:tcPr>
          <w:p w14:paraId="6BFBC737" w14:textId="77777777" w:rsidR="00865ADE" w:rsidRPr="00354554" w:rsidRDefault="00865ADE" w:rsidP="004A1C84">
            <w:pPr>
              <w:spacing w:after="0" w:line="240" w:lineRule="auto"/>
              <w:rPr>
                <w:rFonts w:ascii="Times New Roman" w:hAnsi="Times New Roman" w:cs="Times New Roman"/>
                <w:sz w:val="24"/>
                <w:szCs w:val="24"/>
              </w:rPr>
            </w:pPr>
          </w:p>
        </w:tc>
        <w:tc>
          <w:tcPr>
            <w:tcW w:w="4507" w:type="dxa"/>
            <w:tcBorders>
              <w:top w:val="single" w:sz="4" w:space="0" w:color="000000"/>
              <w:left w:val="single" w:sz="4" w:space="0" w:color="000000"/>
              <w:bottom w:val="single" w:sz="4" w:space="0" w:color="000000"/>
              <w:right w:val="single" w:sz="4" w:space="0" w:color="000000"/>
            </w:tcBorders>
          </w:tcPr>
          <w:p w14:paraId="351668AA" w14:textId="61EC1100" w:rsidR="00865ADE" w:rsidRPr="00354554" w:rsidRDefault="00A80D04" w:rsidP="004A1C84">
            <w:pPr>
              <w:spacing w:after="0" w:line="240" w:lineRule="auto"/>
              <w:jc w:val="both"/>
              <w:rPr>
                <w:rFonts w:ascii="Times New Roman" w:hAnsi="Times New Roman" w:cs="Times New Roman"/>
                <w:sz w:val="24"/>
                <w:szCs w:val="24"/>
              </w:rPr>
            </w:pPr>
            <w:r w:rsidRPr="00354554">
              <w:rPr>
                <w:rFonts w:ascii="Times New Roman" w:hAnsi="Times New Roman" w:cs="Times New Roman"/>
                <w:sz w:val="24"/>
                <w:szCs w:val="24"/>
              </w:rPr>
              <w:t>Ratukai s</w:t>
            </w:r>
            <w:r w:rsidR="00865ADE" w:rsidRPr="00354554">
              <w:rPr>
                <w:rFonts w:ascii="Times New Roman" w:hAnsi="Times New Roman" w:cs="Times New Roman"/>
                <w:sz w:val="24"/>
                <w:szCs w:val="24"/>
              </w:rPr>
              <w:t>u stabdžio funkcija</w:t>
            </w:r>
          </w:p>
        </w:tc>
        <w:tc>
          <w:tcPr>
            <w:tcW w:w="1496" w:type="dxa"/>
            <w:tcBorders>
              <w:top w:val="single" w:sz="4" w:space="0" w:color="000000"/>
              <w:left w:val="single" w:sz="4" w:space="0" w:color="000000"/>
              <w:bottom w:val="single" w:sz="4" w:space="0" w:color="000000"/>
              <w:right w:val="single" w:sz="4" w:space="0" w:color="000000"/>
            </w:tcBorders>
          </w:tcPr>
          <w:p w14:paraId="37BA19F3" w14:textId="3FC1D2C5" w:rsidR="00865ADE" w:rsidRPr="00354554" w:rsidRDefault="00865ADE" w:rsidP="004A1C84">
            <w:pPr>
              <w:spacing w:after="0" w:line="240" w:lineRule="auto"/>
              <w:jc w:val="center"/>
              <w:rPr>
                <w:rFonts w:ascii="Times New Roman" w:hAnsi="Times New Roman" w:cs="Times New Roman"/>
                <w:sz w:val="24"/>
                <w:szCs w:val="24"/>
                <w:lang w:eastAsia="ru-RU"/>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79825119" w14:textId="77777777" w:rsidR="00865ADE" w:rsidRPr="00354554" w:rsidRDefault="00865ADE" w:rsidP="004A1C84">
            <w:pPr>
              <w:spacing w:after="0" w:line="240" w:lineRule="auto"/>
              <w:jc w:val="center"/>
              <w:rPr>
                <w:rFonts w:ascii="Times New Roman" w:hAnsi="Times New Roman" w:cs="Times New Roman"/>
                <w:sz w:val="24"/>
                <w:szCs w:val="24"/>
              </w:rPr>
            </w:pPr>
          </w:p>
        </w:tc>
      </w:tr>
      <w:tr w:rsidR="00354554" w:rsidRPr="00354554" w14:paraId="689982AF" w14:textId="77777777" w:rsidTr="004621E9">
        <w:tc>
          <w:tcPr>
            <w:tcW w:w="2122" w:type="dxa"/>
            <w:tcBorders>
              <w:top w:val="single" w:sz="4" w:space="0" w:color="000000"/>
              <w:left w:val="single" w:sz="4" w:space="0" w:color="000000"/>
              <w:bottom w:val="single" w:sz="4" w:space="0" w:color="000000"/>
              <w:right w:val="single" w:sz="4" w:space="0" w:color="000000"/>
            </w:tcBorders>
          </w:tcPr>
          <w:p w14:paraId="681C3D8A" w14:textId="34999A0C" w:rsidR="002E00D0" w:rsidRPr="00354554" w:rsidRDefault="002E00D0" w:rsidP="004A1C84">
            <w:pPr>
              <w:spacing w:after="0" w:line="240" w:lineRule="auto"/>
              <w:rPr>
                <w:rFonts w:ascii="Times New Roman" w:hAnsi="Times New Roman" w:cs="Times New Roman"/>
                <w:sz w:val="24"/>
                <w:szCs w:val="24"/>
              </w:rPr>
            </w:pPr>
            <w:r w:rsidRPr="00354554">
              <w:rPr>
                <w:rFonts w:ascii="Times New Roman" w:eastAsia="Calibri" w:hAnsi="Times New Roman" w:cs="Times New Roman"/>
                <w:i/>
                <w:iCs/>
                <w:noProof/>
                <w:sz w:val="24"/>
                <w:szCs w:val="24"/>
                <w:lang w:eastAsia="en-US"/>
              </w:rPr>
              <w:t>Paviršius</w:t>
            </w:r>
          </w:p>
        </w:tc>
        <w:tc>
          <w:tcPr>
            <w:tcW w:w="4507" w:type="dxa"/>
            <w:tcBorders>
              <w:top w:val="single" w:sz="4" w:space="0" w:color="000000"/>
              <w:left w:val="single" w:sz="4" w:space="0" w:color="000000"/>
              <w:bottom w:val="single" w:sz="4" w:space="0" w:color="000000"/>
              <w:right w:val="single" w:sz="4" w:space="0" w:color="000000"/>
            </w:tcBorders>
          </w:tcPr>
          <w:p w14:paraId="1E71B612" w14:textId="127EC4F0" w:rsidR="002E00D0" w:rsidRPr="00354554" w:rsidRDefault="002E00D0" w:rsidP="004A1C84">
            <w:pPr>
              <w:spacing w:after="0" w:line="240" w:lineRule="auto"/>
              <w:jc w:val="both"/>
              <w:rPr>
                <w:rFonts w:ascii="Times New Roman" w:hAnsi="Times New Roman" w:cs="Times New Roman"/>
                <w:noProof/>
                <w:sz w:val="24"/>
                <w:szCs w:val="24"/>
              </w:rPr>
            </w:pPr>
            <w:r w:rsidRPr="00354554">
              <w:rPr>
                <w:rFonts w:ascii="Times New Roman" w:eastAsia="Calibri" w:hAnsi="Times New Roman" w:cs="Times New Roman"/>
                <w:noProof/>
                <w:sz w:val="24"/>
                <w:szCs w:val="24"/>
                <w:lang w:eastAsia="en-US"/>
              </w:rPr>
              <w:t>Blizgus, poliruotas</w:t>
            </w:r>
          </w:p>
        </w:tc>
        <w:tc>
          <w:tcPr>
            <w:tcW w:w="1496" w:type="dxa"/>
            <w:tcBorders>
              <w:top w:val="single" w:sz="4" w:space="0" w:color="000000"/>
              <w:left w:val="single" w:sz="4" w:space="0" w:color="000000"/>
              <w:bottom w:val="single" w:sz="4" w:space="0" w:color="000000"/>
              <w:right w:val="single" w:sz="4" w:space="0" w:color="000000"/>
            </w:tcBorders>
          </w:tcPr>
          <w:p w14:paraId="0B62A057" w14:textId="4D17D40E" w:rsidR="002E00D0" w:rsidRPr="00354554" w:rsidRDefault="002E00D0" w:rsidP="004A1C84">
            <w:pPr>
              <w:spacing w:after="0" w:line="240" w:lineRule="auto"/>
              <w:jc w:val="center"/>
              <w:rPr>
                <w:rFonts w:ascii="Times New Roman" w:hAnsi="Times New Roman" w:cs="Times New Roman"/>
                <w:sz w:val="24"/>
                <w:szCs w:val="24"/>
                <w:lang w:eastAsia="ru-RU"/>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61ADEE3D" w14:textId="77777777" w:rsidR="002E00D0" w:rsidRPr="00354554" w:rsidRDefault="002E00D0" w:rsidP="004A1C84">
            <w:pPr>
              <w:spacing w:after="0" w:line="240" w:lineRule="auto"/>
              <w:jc w:val="center"/>
              <w:rPr>
                <w:rFonts w:ascii="Times New Roman" w:hAnsi="Times New Roman" w:cs="Times New Roman"/>
                <w:sz w:val="24"/>
                <w:szCs w:val="24"/>
              </w:rPr>
            </w:pPr>
          </w:p>
        </w:tc>
      </w:tr>
      <w:tr w:rsidR="00354554" w:rsidRPr="00354554" w14:paraId="0E0DE673" w14:textId="4F3DCDB8" w:rsidTr="004621E9">
        <w:tc>
          <w:tcPr>
            <w:tcW w:w="2122" w:type="dxa"/>
            <w:tcBorders>
              <w:top w:val="single" w:sz="4" w:space="0" w:color="000000"/>
              <w:left w:val="single" w:sz="4" w:space="0" w:color="000000"/>
              <w:bottom w:val="single" w:sz="4" w:space="0" w:color="000000"/>
              <w:right w:val="single" w:sz="4" w:space="0" w:color="000000"/>
            </w:tcBorders>
          </w:tcPr>
          <w:p w14:paraId="74F46773" w14:textId="3792BCF7" w:rsidR="00FF2BBF" w:rsidRPr="00354554" w:rsidRDefault="002E00D0" w:rsidP="004A1C84">
            <w:pPr>
              <w:spacing w:after="0" w:line="240" w:lineRule="auto"/>
              <w:rPr>
                <w:rFonts w:ascii="Times New Roman" w:hAnsi="Times New Roman" w:cs="Times New Roman"/>
                <w:sz w:val="24"/>
                <w:szCs w:val="24"/>
              </w:rPr>
            </w:pPr>
            <w:r w:rsidRPr="00354554">
              <w:rPr>
                <w:rFonts w:ascii="Times New Roman" w:eastAsia="Calibri" w:hAnsi="Times New Roman" w:cs="Times New Roman"/>
                <w:i/>
                <w:iCs/>
                <w:noProof/>
                <w:sz w:val="24"/>
                <w:szCs w:val="24"/>
                <w:lang w:eastAsia="en-US"/>
              </w:rPr>
              <w:t>Spalva</w:t>
            </w:r>
          </w:p>
        </w:tc>
        <w:tc>
          <w:tcPr>
            <w:tcW w:w="4507" w:type="dxa"/>
            <w:tcBorders>
              <w:top w:val="single" w:sz="4" w:space="0" w:color="000000"/>
              <w:left w:val="single" w:sz="4" w:space="0" w:color="000000"/>
              <w:bottom w:val="single" w:sz="4" w:space="0" w:color="000000"/>
              <w:right w:val="single" w:sz="4" w:space="0" w:color="000000"/>
            </w:tcBorders>
          </w:tcPr>
          <w:p w14:paraId="5F31A182" w14:textId="5B6BD9B4" w:rsidR="00FF2BBF" w:rsidRPr="00354554" w:rsidRDefault="00FF2BBF" w:rsidP="004A1C84">
            <w:pPr>
              <w:spacing w:after="0" w:line="240" w:lineRule="auto"/>
              <w:jc w:val="both"/>
              <w:rPr>
                <w:rFonts w:ascii="Times New Roman" w:hAnsi="Times New Roman" w:cs="Times New Roman"/>
                <w:noProof/>
                <w:sz w:val="24"/>
                <w:szCs w:val="24"/>
              </w:rPr>
            </w:pPr>
            <w:r w:rsidRPr="00354554">
              <w:rPr>
                <w:rFonts w:ascii="Times New Roman" w:hAnsi="Times New Roman" w:cs="Times New Roman"/>
                <w:noProof/>
                <w:sz w:val="24"/>
                <w:szCs w:val="24"/>
              </w:rPr>
              <w:t>Juoda</w:t>
            </w:r>
          </w:p>
        </w:tc>
        <w:tc>
          <w:tcPr>
            <w:tcW w:w="1496" w:type="dxa"/>
            <w:tcBorders>
              <w:top w:val="single" w:sz="4" w:space="0" w:color="000000"/>
              <w:left w:val="single" w:sz="4" w:space="0" w:color="000000"/>
              <w:bottom w:val="single" w:sz="4" w:space="0" w:color="000000"/>
              <w:right w:val="single" w:sz="4" w:space="0" w:color="000000"/>
            </w:tcBorders>
          </w:tcPr>
          <w:p w14:paraId="133306D4" w14:textId="18B9D3D5" w:rsidR="00FF2BBF" w:rsidRPr="00354554" w:rsidRDefault="005C7F0A"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1109E516" w14:textId="77777777" w:rsidR="00FF2BBF" w:rsidRPr="00354554" w:rsidRDefault="00FF2BBF" w:rsidP="004A1C84">
            <w:pPr>
              <w:spacing w:after="0" w:line="240" w:lineRule="auto"/>
              <w:jc w:val="center"/>
              <w:rPr>
                <w:rFonts w:ascii="Times New Roman" w:hAnsi="Times New Roman" w:cs="Times New Roman"/>
                <w:sz w:val="24"/>
                <w:szCs w:val="24"/>
              </w:rPr>
            </w:pPr>
          </w:p>
        </w:tc>
      </w:tr>
      <w:tr w:rsidR="00354554" w:rsidRPr="00354554" w14:paraId="59A7D515" w14:textId="43A63D48" w:rsidTr="004621E9">
        <w:tc>
          <w:tcPr>
            <w:tcW w:w="2122" w:type="dxa"/>
            <w:tcBorders>
              <w:top w:val="single" w:sz="4" w:space="0" w:color="000000"/>
              <w:left w:val="single" w:sz="4" w:space="0" w:color="000000"/>
              <w:bottom w:val="single" w:sz="4" w:space="0" w:color="000000"/>
              <w:right w:val="single" w:sz="4" w:space="0" w:color="000000"/>
            </w:tcBorders>
          </w:tcPr>
          <w:p w14:paraId="464E84AC" w14:textId="77777777" w:rsidR="00FF2BBF" w:rsidRPr="00354554" w:rsidRDefault="00FF2BBF" w:rsidP="004A1C84">
            <w:pPr>
              <w:spacing w:after="0" w:line="240" w:lineRule="auto"/>
              <w:rPr>
                <w:rFonts w:ascii="Times New Roman" w:hAnsi="Times New Roman" w:cs="Times New Roman"/>
                <w:i/>
                <w:iCs/>
                <w:sz w:val="24"/>
                <w:szCs w:val="24"/>
              </w:rPr>
            </w:pPr>
            <w:r w:rsidRPr="00354554">
              <w:rPr>
                <w:rFonts w:ascii="Times New Roman" w:hAnsi="Times New Roman" w:cs="Times New Roman"/>
                <w:i/>
                <w:iCs/>
                <w:sz w:val="24"/>
                <w:szCs w:val="24"/>
              </w:rPr>
              <w:t>Metalo jungiamosios detalės</w:t>
            </w:r>
          </w:p>
        </w:tc>
        <w:tc>
          <w:tcPr>
            <w:tcW w:w="4507" w:type="dxa"/>
            <w:tcBorders>
              <w:top w:val="single" w:sz="4" w:space="0" w:color="000000"/>
              <w:left w:val="single" w:sz="4" w:space="0" w:color="000000"/>
              <w:bottom w:val="single" w:sz="4" w:space="0" w:color="000000"/>
              <w:right w:val="single" w:sz="4" w:space="0" w:color="000000"/>
            </w:tcBorders>
          </w:tcPr>
          <w:p w14:paraId="4D448B7B" w14:textId="2315962E" w:rsidR="00FF2BBF" w:rsidRPr="00354554" w:rsidRDefault="002E00D0" w:rsidP="004A1C84">
            <w:pPr>
              <w:spacing w:after="0" w:line="240" w:lineRule="auto"/>
              <w:jc w:val="both"/>
              <w:rPr>
                <w:rFonts w:ascii="Times New Roman" w:hAnsi="Times New Roman" w:cs="Times New Roman"/>
                <w:noProof/>
                <w:sz w:val="24"/>
                <w:szCs w:val="24"/>
              </w:rPr>
            </w:pPr>
            <w:r w:rsidRPr="00354554">
              <w:rPr>
                <w:rFonts w:ascii="Times New Roman" w:eastAsia="Calibri" w:hAnsi="Times New Roman" w:cs="Times New Roman"/>
                <w:noProof/>
                <w:sz w:val="24"/>
                <w:szCs w:val="24"/>
                <w:lang w:eastAsia="en-US"/>
              </w:rPr>
              <w:t>Visos metalinės detalės – vientiso vario; pedalai, vyriai ir kt. turi būti apsaugoti nuo aplinkos poveikio</w:t>
            </w:r>
          </w:p>
        </w:tc>
        <w:tc>
          <w:tcPr>
            <w:tcW w:w="1496" w:type="dxa"/>
            <w:tcBorders>
              <w:top w:val="single" w:sz="4" w:space="0" w:color="000000"/>
              <w:left w:val="single" w:sz="4" w:space="0" w:color="000000"/>
              <w:bottom w:val="single" w:sz="4" w:space="0" w:color="000000"/>
              <w:right w:val="single" w:sz="4" w:space="0" w:color="000000"/>
            </w:tcBorders>
          </w:tcPr>
          <w:p w14:paraId="4C922193" w14:textId="7C0D5B4E" w:rsidR="00FF2BBF" w:rsidRPr="00354554" w:rsidRDefault="005C7F0A"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5B89C726" w14:textId="77777777" w:rsidR="00FF2BBF" w:rsidRPr="00354554" w:rsidRDefault="00FF2BBF" w:rsidP="004A1C84">
            <w:pPr>
              <w:spacing w:after="0" w:line="240" w:lineRule="auto"/>
              <w:jc w:val="center"/>
              <w:rPr>
                <w:rFonts w:ascii="Times New Roman" w:hAnsi="Times New Roman" w:cs="Times New Roman"/>
                <w:sz w:val="24"/>
                <w:szCs w:val="24"/>
              </w:rPr>
            </w:pPr>
          </w:p>
        </w:tc>
      </w:tr>
      <w:tr w:rsidR="00354554" w:rsidRPr="00354554" w14:paraId="470D62E2" w14:textId="4FA9EE65" w:rsidTr="004621E9">
        <w:tc>
          <w:tcPr>
            <w:tcW w:w="2122" w:type="dxa"/>
            <w:vMerge w:val="restart"/>
            <w:tcBorders>
              <w:top w:val="single" w:sz="4" w:space="0" w:color="000000"/>
              <w:left w:val="single" w:sz="4" w:space="0" w:color="000000"/>
              <w:right w:val="single" w:sz="4" w:space="0" w:color="000000"/>
            </w:tcBorders>
          </w:tcPr>
          <w:p w14:paraId="16A679F2" w14:textId="77777777" w:rsidR="00865ADE" w:rsidRPr="00354554" w:rsidRDefault="00865ADE" w:rsidP="004A1C84">
            <w:pPr>
              <w:spacing w:after="0" w:line="240" w:lineRule="auto"/>
              <w:rPr>
                <w:rFonts w:ascii="Times New Roman" w:hAnsi="Times New Roman" w:cs="Times New Roman"/>
                <w:i/>
                <w:iCs/>
                <w:sz w:val="24"/>
                <w:szCs w:val="24"/>
              </w:rPr>
            </w:pPr>
            <w:r w:rsidRPr="00354554">
              <w:rPr>
                <w:rFonts w:ascii="Times New Roman" w:hAnsi="Times New Roman" w:cs="Times New Roman"/>
                <w:i/>
                <w:iCs/>
                <w:sz w:val="24"/>
                <w:szCs w:val="24"/>
              </w:rPr>
              <w:t>Pedalai</w:t>
            </w:r>
          </w:p>
        </w:tc>
        <w:tc>
          <w:tcPr>
            <w:tcW w:w="4507" w:type="dxa"/>
            <w:tcBorders>
              <w:top w:val="single" w:sz="4" w:space="0" w:color="000000"/>
              <w:left w:val="single" w:sz="4" w:space="0" w:color="000000"/>
              <w:bottom w:val="single" w:sz="4" w:space="0" w:color="000000"/>
              <w:right w:val="single" w:sz="4" w:space="0" w:color="000000"/>
            </w:tcBorders>
          </w:tcPr>
          <w:p w14:paraId="3ABB85EB" w14:textId="6C64EEC8" w:rsidR="00865ADE" w:rsidRPr="00354554" w:rsidRDefault="00865ADE" w:rsidP="004A1C84">
            <w:pPr>
              <w:spacing w:after="0" w:line="240" w:lineRule="auto"/>
              <w:jc w:val="both"/>
              <w:rPr>
                <w:rFonts w:ascii="Times New Roman" w:hAnsi="Times New Roman" w:cs="Times New Roman"/>
                <w:noProof/>
                <w:sz w:val="24"/>
                <w:szCs w:val="24"/>
              </w:rPr>
            </w:pPr>
            <w:r w:rsidRPr="00354554">
              <w:rPr>
                <w:rFonts w:ascii="Times New Roman" w:hAnsi="Times New Roman" w:cs="Times New Roman"/>
                <w:noProof/>
                <w:sz w:val="24"/>
                <w:szCs w:val="24"/>
              </w:rPr>
              <w:t>3 (trys) pedalai, lieti iš vientiso žalvario lydinio</w:t>
            </w:r>
          </w:p>
        </w:tc>
        <w:tc>
          <w:tcPr>
            <w:tcW w:w="1496" w:type="dxa"/>
            <w:tcBorders>
              <w:top w:val="single" w:sz="4" w:space="0" w:color="000000"/>
              <w:left w:val="single" w:sz="4" w:space="0" w:color="000000"/>
              <w:bottom w:val="single" w:sz="4" w:space="0" w:color="000000"/>
              <w:right w:val="single" w:sz="4" w:space="0" w:color="000000"/>
            </w:tcBorders>
          </w:tcPr>
          <w:p w14:paraId="44CD9BDC" w14:textId="0DEC6D38" w:rsidR="00865ADE" w:rsidRPr="00354554" w:rsidRDefault="00865ADE"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452B809E" w14:textId="77777777" w:rsidR="00865ADE" w:rsidRPr="00354554" w:rsidRDefault="00865ADE" w:rsidP="004A1C84">
            <w:pPr>
              <w:spacing w:after="0" w:line="240" w:lineRule="auto"/>
              <w:jc w:val="center"/>
              <w:rPr>
                <w:rFonts w:ascii="Times New Roman" w:hAnsi="Times New Roman" w:cs="Times New Roman"/>
                <w:sz w:val="24"/>
                <w:szCs w:val="24"/>
              </w:rPr>
            </w:pPr>
          </w:p>
        </w:tc>
      </w:tr>
      <w:tr w:rsidR="00354554" w:rsidRPr="00354554" w14:paraId="65F85AC5" w14:textId="77777777" w:rsidTr="004621E9">
        <w:tc>
          <w:tcPr>
            <w:tcW w:w="2122" w:type="dxa"/>
            <w:vMerge/>
            <w:tcBorders>
              <w:left w:val="single" w:sz="4" w:space="0" w:color="000000"/>
              <w:bottom w:val="single" w:sz="4" w:space="0" w:color="000000"/>
              <w:right w:val="single" w:sz="4" w:space="0" w:color="000000"/>
            </w:tcBorders>
          </w:tcPr>
          <w:p w14:paraId="647D56D2" w14:textId="77777777" w:rsidR="00865ADE" w:rsidRPr="00354554" w:rsidRDefault="00865ADE" w:rsidP="004A1C84">
            <w:pPr>
              <w:spacing w:after="0" w:line="240" w:lineRule="auto"/>
              <w:rPr>
                <w:rFonts w:ascii="Times New Roman" w:hAnsi="Times New Roman" w:cs="Times New Roman"/>
                <w:sz w:val="24"/>
                <w:szCs w:val="24"/>
              </w:rPr>
            </w:pPr>
          </w:p>
        </w:tc>
        <w:tc>
          <w:tcPr>
            <w:tcW w:w="4507" w:type="dxa"/>
            <w:tcBorders>
              <w:top w:val="single" w:sz="4" w:space="0" w:color="000000"/>
              <w:left w:val="single" w:sz="4" w:space="0" w:color="000000"/>
              <w:bottom w:val="single" w:sz="4" w:space="0" w:color="000000"/>
              <w:right w:val="single" w:sz="4" w:space="0" w:color="000000"/>
            </w:tcBorders>
          </w:tcPr>
          <w:p w14:paraId="37789E5E" w14:textId="41308D10" w:rsidR="00865ADE" w:rsidRPr="00354554" w:rsidRDefault="002E00D0" w:rsidP="004A1C84">
            <w:pPr>
              <w:spacing w:after="0" w:line="240" w:lineRule="auto"/>
              <w:jc w:val="both"/>
              <w:rPr>
                <w:rFonts w:ascii="Times New Roman" w:hAnsi="Times New Roman" w:cs="Times New Roman"/>
                <w:noProof/>
                <w:sz w:val="24"/>
                <w:szCs w:val="24"/>
              </w:rPr>
            </w:pPr>
            <w:r w:rsidRPr="00354554">
              <w:rPr>
                <w:rFonts w:ascii="Times New Roman" w:hAnsi="Times New Roman" w:cs="Times New Roman"/>
                <w:noProof/>
                <w:sz w:val="24"/>
                <w:szCs w:val="24"/>
              </w:rPr>
              <w:t>2</w:t>
            </w:r>
            <w:r w:rsidR="00865ADE" w:rsidRPr="00354554">
              <w:rPr>
                <w:rFonts w:ascii="Times New Roman" w:hAnsi="Times New Roman" w:cs="Times New Roman"/>
                <w:noProof/>
                <w:sz w:val="24"/>
                <w:szCs w:val="24"/>
              </w:rPr>
              <w:t xml:space="preserve"> (</w:t>
            </w:r>
            <w:r w:rsidRPr="00354554">
              <w:rPr>
                <w:rFonts w:ascii="Times New Roman" w:hAnsi="Times New Roman" w:cs="Times New Roman"/>
                <w:noProof/>
                <w:sz w:val="24"/>
                <w:szCs w:val="24"/>
              </w:rPr>
              <w:t>antrasis</w:t>
            </w:r>
            <w:r w:rsidR="00865ADE" w:rsidRPr="00354554">
              <w:rPr>
                <w:rFonts w:ascii="Times New Roman" w:hAnsi="Times New Roman" w:cs="Times New Roman"/>
                <w:noProof/>
                <w:sz w:val="24"/>
                <w:szCs w:val="24"/>
              </w:rPr>
              <w:t>) pedalas</w:t>
            </w:r>
            <w:r w:rsidRPr="00354554">
              <w:rPr>
                <w:rFonts w:ascii="Times New Roman" w:hAnsi="Times New Roman" w:cs="Times New Roman"/>
                <w:noProof/>
                <w:sz w:val="24"/>
                <w:szCs w:val="24"/>
              </w:rPr>
              <w:t xml:space="preserve"> turi</w:t>
            </w:r>
            <w:r w:rsidR="00865ADE" w:rsidRPr="00354554">
              <w:rPr>
                <w:rFonts w:ascii="Times New Roman" w:hAnsi="Times New Roman" w:cs="Times New Roman"/>
                <w:noProof/>
                <w:sz w:val="24"/>
                <w:szCs w:val="24"/>
              </w:rPr>
              <w:t xml:space="preserve"> sostenuto funkcij</w:t>
            </w:r>
            <w:r w:rsidRPr="00354554">
              <w:rPr>
                <w:rFonts w:ascii="Times New Roman" w:hAnsi="Times New Roman" w:cs="Times New Roman"/>
                <w:noProof/>
                <w:sz w:val="24"/>
                <w:szCs w:val="24"/>
              </w:rPr>
              <w:t>ą</w:t>
            </w:r>
          </w:p>
        </w:tc>
        <w:tc>
          <w:tcPr>
            <w:tcW w:w="1496" w:type="dxa"/>
            <w:tcBorders>
              <w:top w:val="single" w:sz="4" w:space="0" w:color="000000"/>
              <w:left w:val="single" w:sz="4" w:space="0" w:color="000000"/>
              <w:bottom w:val="single" w:sz="4" w:space="0" w:color="000000"/>
              <w:right w:val="single" w:sz="4" w:space="0" w:color="000000"/>
            </w:tcBorders>
          </w:tcPr>
          <w:p w14:paraId="29603B17" w14:textId="1349F066" w:rsidR="00865ADE" w:rsidRPr="00354554" w:rsidRDefault="00865ADE" w:rsidP="004A1C84">
            <w:pPr>
              <w:spacing w:after="0" w:line="240" w:lineRule="auto"/>
              <w:jc w:val="center"/>
              <w:rPr>
                <w:rFonts w:ascii="Times New Roman" w:hAnsi="Times New Roman" w:cs="Times New Roman"/>
                <w:sz w:val="24"/>
                <w:szCs w:val="24"/>
                <w:lang w:eastAsia="ru-RU"/>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6BC7AB02" w14:textId="77777777" w:rsidR="00865ADE" w:rsidRPr="00354554" w:rsidRDefault="00865ADE" w:rsidP="004A1C84">
            <w:pPr>
              <w:spacing w:after="0" w:line="240" w:lineRule="auto"/>
              <w:jc w:val="center"/>
              <w:rPr>
                <w:rFonts w:ascii="Times New Roman" w:hAnsi="Times New Roman" w:cs="Times New Roman"/>
                <w:sz w:val="24"/>
                <w:szCs w:val="24"/>
              </w:rPr>
            </w:pPr>
          </w:p>
        </w:tc>
      </w:tr>
      <w:tr w:rsidR="00354554" w:rsidRPr="00354554" w14:paraId="465B287B" w14:textId="30F204C4" w:rsidTr="004621E9">
        <w:tc>
          <w:tcPr>
            <w:tcW w:w="2122" w:type="dxa"/>
            <w:vMerge w:val="restart"/>
            <w:tcBorders>
              <w:top w:val="single" w:sz="4" w:space="0" w:color="000000"/>
              <w:left w:val="single" w:sz="4" w:space="0" w:color="000000"/>
              <w:right w:val="single" w:sz="4" w:space="0" w:color="000000"/>
            </w:tcBorders>
          </w:tcPr>
          <w:p w14:paraId="6797621F" w14:textId="77777777" w:rsidR="005C7F0A" w:rsidRPr="00354554" w:rsidRDefault="005C7F0A" w:rsidP="004A1C84">
            <w:pPr>
              <w:spacing w:after="0" w:line="240" w:lineRule="auto"/>
              <w:rPr>
                <w:rFonts w:ascii="Times New Roman" w:hAnsi="Times New Roman" w:cs="Times New Roman"/>
                <w:i/>
                <w:iCs/>
                <w:sz w:val="24"/>
                <w:szCs w:val="24"/>
              </w:rPr>
            </w:pPr>
            <w:r w:rsidRPr="00354554">
              <w:rPr>
                <w:rFonts w:ascii="Times New Roman" w:hAnsi="Times New Roman" w:cs="Times New Roman"/>
                <w:i/>
                <w:iCs/>
                <w:sz w:val="24"/>
                <w:szCs w:val="24"/>
              </w:rPr>
              <w:t>Stygos</w:t>
            </w:r>
          </w:p>
        </w:tc>
        <w:tc>
          <w:tcPr>
            <w:tcW w:w="4507" w:type="dxa"/>
            <w:tcBorders>
              <w:top w:val="single" w:sz="4" w:space="0" w:color="000000"/>
              <w:left w:val="single" w:sz="4" w:space="0" w:color="000000"/>
              <w:bottom w:val="single" w:sz="4" w:space="0" w:color="000000"/>
              <w:right w:val="single" w:sz="4" w:space="0" w:color="000000"/>
            </w:tcBorders>
          </w:tcPr>
          <w:p w14:paraId="359C404A" w14:textId="7EA0859C" w:rsidR="005C7F0A" w:rsidRPr="00354554" w:rsidRDefault="002E00D0" w:rsidP="004A1C84">
            <w:pPr>
              <w:spacing w:after="0" w:line="240" w:lineRule="auto"/>
              <w:jc w:val="both"/>
              <w:rPr>
                <w:rFonts w:ascii="Times New Roman" w:hAnsi="Times New Roman" w:cs="Times New Roman"/>
                <w:noProof/>
                <w:sz w:val="24"/>
                <w:szCs w:val="24"/>
              </w:rPr>
            </w:pPr>
            <w:r w:rsidRPr="00354554">
              <w:rPr>
                <w:rFonts w:ascii="Times New Roman" w:eastAsia="Calibri" w:hAnsi="Times New Roman" w:cs="Times New Roman"/>
                <w:noProof/>
                <w:sz w:val="24"/>
                <w:szCs w:val="24"/>
                <w:lang w:eastAsia="en-US"/>
              </w:rPr>
              <w:t>Iš aukščiausios kokybės plieno; boso stygų apvijos – gryno vario</w:t>
            </w:r>
          </w:p>
        </w:tc>
        <w:tc>
          <w:tcPr>
            <w:tcW w:w="1496" w:type="dxa"/>
            <w:tcBorders>
              <w:top w:val="single" w:sz="4" w:space="0" w:color="000000"/>
              <w:left w:val="single" w:sz="4" w:space="0" w:color="000000"/>
              <w:bottom w:val="single" w:sz="4" w:space="0" w:color="000000"/>
              <w:right w:val="single" w:sz="4" w:space="0" w:color="000000"/>
            </w:tcBorders>
          </w:tcPr>
          <w:p w14:paraId="3C1D5CBF" w14:textId="5FDC2D98" w:rsidR="005C7F0A" w:rsidRPr="00354554" w:rsidRDefault="005C7F0A"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4FADA519" w14:textId="7090CAEC" w:rsidR="005C7F0A" w:rsidRPr="00354554" w:rsidRDefault="005C7F0A" w:rsidP="004A1C84">
            <w:pPr>
              <w:spacing w:after="0" w:line="240" w:lineRule="auto"/>
              <w:jc w:val="center"/>
              <w:rPr>
                <w:rFonts w:ascii="Times New Roman" w:hAnsi="Times New Roman" w:cs="Times New Roman"/>
                <w:sz w:val="24"/>
                <w:szCs w:val="24"/>
              </w:rPr>
            </w:pPr>
          </w:p>
        </w:tc>
      </w:tr>
      <w:tr w:rsidR="00354554" w:rsidRPr="00354554" w14:paraId="7C672FBD" w14:textId="77777777" w:rsidTr="004621E9">
        <w:tc>
          <w:tcPr>
            <w:tcW w:w="2122" w:type="dxa"/>
            <w:vMerge/>
            <w:tcBorders>
              <w:left w:val="single" w:sz="4" w:space="0" w:color="000000"/>
              <w:bottom w:val="single" w:sz="4" w:space="0" w:color="000000"/>
              <w:right w:val="single" w:sz="4" w:space="0" w:color="000000"/>
            </w:tcBorders>
          </w:tcPr>
          <w:p w14:paraId="77054566" w14:textId="77777777" w:rsidR="005C7F0A" w:rsidRPr="00354554" w:rsidRDefault="005C7F0A" w:rsidP="004A1C84">
            <w:pPr>
              <w:spacing w:after="0" w:line="240" w:lineRule="auto"/>
              <w:rPr>
                <w:rFonts w:ascii="Times New Roman" w:hAnsi="Times New Roman" w:cs="Times New Roman"/>
                <w:sz w:val="24"/>
                <w:szCs w:val="24"/>
              </w:rPr>
            </w:pPr>
          </w:p>
        </w:tc>
        <w:tc>
          <w:tcPr>
            <w:tcW w:w="4507" w:type="dxa"/>
            <w:tcBorders>
              <w:top w:val="single" w:sz="4" w:space="0" w:color="000000"/>
              <w:left w:val="single" w:sz="4" w:space="0" w:color="000000"/>
              <w:bottom w:val="single" w:sz="4" w:space="0" w:color="000000"/>
              <w:right w:val="single" w:sz="4" w:space="0" w:color="000000"/>
            </w:tcBorders>
          </w:tcPr>
          <w:p w14:paraId="20444D4C" w14:textId="6F32B9F7" w:rsidR="005C7F0A" w:rsidRPr="00354554" w:rsidRDefault="005C7F0A" w:rsidP="004A1C84">
            <w:pPr>
              <w:spacing w:after="0" w:line="240" w:lineRule="auto"/>
              <w:jc w:val="both"/>
              <w:rPr>
                <w:rFonts w:ascii="Times New Roman" w:hAnsi="Times New Roman" w:cs="Times New Roman"/>
                <w:noProof/>
                <w:sz w:val="24"/>
                <w:szCs w:val="24"/>
              </w:rPr>
            </w:pPr>
            <w:r w:rsidRPr="00354554">
              <w:rPr>
                <w:rFonts w:ascii="Times New Roman" w:hAnsi="Times New Roman" w:cs="Times New Roman"/>
                <w:noProof/>
                <w:sz w:val="24"/>
                <w:szCs w:val="24"/>
              </w:rPr>
              <w:t>Turi skambėti visiškai švariai – be jokių pašalinių obertonų</w:t>
            </w:r>
          </w:p>
        </w:tc>
        <w:tc>
          <w:tcPr>
            <w:tcW w:w="1496" w:type="dxa"/>
            <w:tcBorders>
              <w:top w:val="single" w:sz="4" w:space="0" w:color="000000"/>
              <w:left w:val="single" w:sz="4" w:space="0" w:color="000000"/>
              <w:bottom w:val="single" w:sz="4" w:space="0" w:color="000000"/>
              <w:right w:val="single" w:sz="4" w:space="0" w:color="000000"/>
            </w:tcBorders>
          </w:tcPr>
          <w:p w14:paraId="77561E2B" w14:textId="77777777" w:rsidR="005C7F0A" w:rsidRPr="00354554" w:rsidRDefault="005C7F0A" w:rsidP="004A1C84">
            <w:pPr>
              <w:spacing w:after="0" w:line="240" w:lineRule="auto"/>
              <w:jc w:val="center"/>
              <w:rPr>
                <w:rFonts w:ascii="Times New Roman" w:hAnsi="Times New Roman" w:cs="Times New Roman"/>
                <w:sz w:val="24"/>
                <w:szCs w:val="24"/>
                <w:lang w:eastAsia="ru-RU"/>
              </w:rPr>
            </w:pPr>
          </w:p>
        </w:tc>
        <w:tc>
          <w:tcPr>
            <w:tcW w:w="1503" w:type="dxa"/>
            <w:tcBorders>
              <w:top w:val="single" w:sz="4" w:space="0" w:color="000000"/>
              <w:left w:val="single" w:sz="4" w:space="0" w:color="000000"/>
              <w:bottom w:val="single" w:sz="4" w:space="0" w:color="000000"/>
              <w:right w:val="single" w:sz="4" w:space="0" w:color="000000"/>
            </w:tcBorders>
          </w:tcPr>
          <w:p w14:paraId="3DD0555A" w14:textId="2A834E30" w:rsidR="005C7F0A" w:rsidRPr="00354554" w:rsidRDefault="005C7F0A" w:rsidP="004A1C84">
            <w:pPr>
              <w:spacing w:after="0" w:line="240" w:lineRule="auto"/>
              <w:jc w:val="center"/>
              <w:rPr>
                <w:rFonts w:ascii="Times New Roman" w:hAnsi="Times New Roman" w:cs="Times New Roman"/>
                <w:sz w:val="24"/>
                <w:szCs w:val="24"/>
                <w:lang w:eastAsia="ru-RU"/>
              </w:rPr>
            </w:pPr>
            <w:r w:rsidRPr="00354554">
              <w:rPr>
                <w:rFonts w:ascii="Times New Roman" w:hAnsi="Times New Roman" w:cs="Times New Roman"/>
                <w:sz w:val="24"/>
                <w:szCs w:val="24"/>
                <w:lang w:eastAsia="ru-RU"/>
              </w:rPr>
              <w:sym w:font="Wingdings" w:char="F0FC"/>
            </w:r>
          </w:p>
        </w:tc>
      </w:tr>
      <w:tr w:rsidR="00354554" w:rsidRPr="00354554" w14:paraId="7B2BE327" w14:textId="53A39E60" w:rsidTr="002E00D0">
        <w:tc>
          <w:tcPr>
            <w:tcW w:w="96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FFB11A" w14:textId="31C8C7C5" w:rsidR="005C7F0A" w:rsidRPr="00354554" w:rsidRDefault="002E00D0" w:rsidP="004A1C84">
            <w:pPr>
              <w:spacing w:after="0" w:line="240" w:lineRule="auto"/>
              <w:jc w:val="center"/>
              <w:rPr>
                <w:rFonts w:ascii="Times New Roman" w:hAnsi="Times New Roman" w:cs="Times New Roman"/>
                <w:noProof/>
                <w:sz w:val="24"/>
                <w:szCs w:val="24"/>
              </w:rPr>
            </w:pPr>
            <w:r w:rsidRPr="00354554">
              <w:rPr>
                <w:rFonts w:ascii="Times New Roman" w:eastAsia="Calibri" w:hAnsi="Times New Roman" w:cs="Times New Roman"/>
                <w:b/>
                <w:bCs/>
                <w:noProof/>
                <w:sz w:val="24"/>
                <w:szCs w:val="24"/>
                <w:lang w:eastAsia="en-US"/>
              </w:rPr>
              <w:t>Instrumento dalių ir jų funkcijų privalomos savybės</w:t>
            </w:r>
          </w:p>
        </w:tc>
      </w:tr>
      <w:tr w:rsidR="00354554" w:rsidRPr="00354554" w14:paraId="7262EC4E" w14:textId="5A39FF52" w:rsidTr="004621E9">
        <w:tc>
          <w:tcPr>
            <w:tcW w:w="2122" w:type="dxa"/>
            <w:tcBorders>
              <w:top w:val="single" w:sz="4" w:space="0" w:color="000000"/>
              <w:left w:val="single" w:sz="4" w:space="0" w:color="000000"/>
              <w:bottom w:val="single" w:sz="4" w:space="0" w:color="000000"/>
              <w:right w:val="single" w:sz="4" w:space="0" w:color="000000"/>
            </w:tcBorders>
            <w:hideMark/>
          </w:tcPr>
          <w:p w14:paraId="5DB640E8" w14:textId="77777777" w:rsidR="00FF2BBF" w:rsidRPr="00354554" w:rsidRDefault="00FF2BBF" w:rsidP="004A1C84">
            <w:pPr>
              <w:spacing w:after="0" w:line="240" w:lineRule="auto"/>
              <w:rPr>
                <w:rFonts w:ascii="Times New Roman" w:hAnsi="Times New Roman" w:cs="Times New Roman"/>
                <w:i/>
                <w:iCs/>
                <w:sz w:val="24"/>
                <w:szCs w:val="24"/>
              </w:rPr>
            </w:pPr>
            <w:r w:rsidRPr="00354554">
              <w:rPr>
                <w:rFonts w:ascii="Times New Roman" w:hAnsi="Times New Roman" w:cs="Times New Roman"/>
                <w:i/>
                <w:iCs/>
                <w:sz w:val="24"/>
                <w:szCs w:val="24"/>
              </w:rPr>
              <w:t>Medžio rėmas</w:t>
            </w:r>
          </w:p>
        </w:tc>
        <w:tc>
          <w:tcPr>
            <w:tcW w:w="4507" w:type="dxa"/>
            <w:tcBorders>
              <w:top w:val="single" w:sz="4" w:space="0" w:color="000000"/>
              <w:left w:val="single" w:sz="4" w:space="0" w:color="000000"/>
              <w:bottom w:val="single" w:sz="4" w:space="0" w:color="000000"/>
              <w:right w:val="single" w:sz="4" w:space="0" w:color="000000"/>
            </w:tcBorders>
            <w:hideMark/>
          </w:tcPr>
          <w:p w14:paraId="33E4FA4B" w14:textId="08152229" w:rsidR="00FF2BBF" w:rsidRPr="00354554" w:rsidRDefault="002E00D0" w:rsidP="004A1C84">
            <w:pPr>
              <w:spacing w:after="0" w:line="240" w:lineRule="auto"/>
              <w:jc w:val="both"/>
              <w:rPr>
                <w:rFonts w:ascii="Times New Roman" w:hAnsi="Times New Roman" w:cs="Times New Roman"/>
                <w:noProof/>
                <w:sz w:val="24"/>
                <w:szCs w:val="24"/>
              </w:rPr>
            </w:pPr>
            <w:r w:rsidRPr="00354554">
              <w:rPr>
                <w:rFonts w:ascii="Times New Roman" w:eastAsia="Calibri" w:hAnsi="Times New Roman" w:cs="Times New Roman"/>
                <w:noProof/>
                <w:sz w:val="24"/>
                <w:szCs w:val="24"/>
                <w:lang w:eastAsia="en-US"/>
              </w:rPr>
              <w:t>Daugiasluoksnis, vientisas; privalo užtikrinti konstrukcijos tvirtumą ir stabilumą, o taip pat, rezonansinės dekos (rezonuojamosios plokštės), stygų ir visų kitų instrumento dalių nepriekaištingą padėtį ir funkcijas</w:t>
            </w:r>
          </w:p>
        </w:tc>
        <w:tc>
          <w:tcPr>
            <w:tcW w:w="1496" w:type="dxa"/>
            <w:tcBorders>
              <w:top w:val="single" w:sz="4" w:space="0" w:color="000000"/>
              <w:left w:val="single" w:sz="4" w:space="0" w:color="000000"/>
              <w:bottom w:val="single" w:sz="4" w:space="0" w:color="000000"/>
              <w:right w:val="single" w:sz="4" w:space="0" w:color="000000"/>
            </w:tcBorders>
          </w:tcPr>
          <w:p w14:paraId="2F0DA3BA" w14:textId="77777777" w:rsidR="00FF2BBF" w:rsidRPr="00354554" w:rsidRDefault="00FF2BBF" w:rsidP="004A1C84">
            <w:pPr>
              <w:spacing w:after="0" w:line="240" w:lineRule="auto"/>
              <w:jc w:val="center"/>
              <w:rPr>
                <w:rFonts w:ascii="Times New Roman" w:hAnsi="Times New Roman" w:cs="Times New Roman"/>
                <w:sz w:val="24"/>
                <w:szCs w:val="24"/>
              </w:rPr>
            </w:pPr>
          </w:p>
        </w:tc>
        <w:tc>
          <w:tcPr>
            <w:tcW w:w="1503" w:type="dxa"/>
            <w:tcBorders>
              <w:top w:val="single" w:sz="4" w:space="0" w:color="000000"/>
              <w:left w:val="single" w:sz="4" w:space="0" w:color="000000"/>
              <w:bottom w:val="single" w:sz="4" w:space="0" w:color="000000"/>
              <w:right w:val="single" w:sz="4" w:space="0" w:color="000000"/>
            </w:tcBorders>
          </w:tcPr>
          <w:p w14:paraId="7E04D490" w14:textId="36017DB9" w:rsidR="00FF2BBF" w:rsidRPr="00354554" w:rsidRDefault="005C7F0A"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r>
      <w:tr w:rsidR="00354554" w:rsidRPr="00354554" w14:paraId="0B2B519F" w14:textId="1A5B881C" w:rsidTr="004621E9">
        <w:tc>
          <w:tcPr>
            <w:tcW w:w="2122" w:type="dxa"/>
            <w:vMerge w:val="restart"/>
            <w:tcBorders>
              <w:top w:val="single" w:sz="4" w:space="0" w:color="000000"/>
              <w:left w:val="single" w:sz="4" w:space="0" w:color="000000"/>
              <w:right w:val="single" w:sz="4" w:space="0" w:color="000000"/>
            </w:tcBorders>
          </w:tcPr>
          <w:p w14:paraId="35274BDA" w14:textId="77777777" w:rsidR="002E00D0" w:rsidRPr="00354554" w:rsidRDefault="002E00D0" w:rsidP="004A1C84">
            <w:pPr>
              <w:spacing w:after="0" w:line="240" w:lineRule="auto"/>
              <w:rPr>
                <w:rFonts w:ascii="Times New Roman" w:hAnsi="Times New Roman" w:cs="Times New Roman"/>
                <w:i/>
                <w:iCs/>
                <w:sz w:val="24"/>
                <w:szCs w:val="24"/>
              </w:rPr>
            </w:pPr>
            <w:r w:rsidRPr="00354554">
              <w:rPr>
                <w:rFonts w:ascii="Times New Roman" w:hAnsi="Times New Roman" w:cs="Times New Roman"/>
                <w:i/>
                <w:iCs/>
                <w:sz w:val="24"/>
                <w:szCs w:val="24"/>
              </w:rPr>
              <w:t xml:space="preserve">Rezonansinė </w:t>
            </w:r>
            <w:proofErr w:type="spellStart"/>
            <w:r w:rsidRPr="00354554">
              <w:rPr>
                <w:rFonts w:ascii="Times New Roman" w:hAnsi="Times New Roman" w:cs="Times New Roman"/>
                <w:i/>
                <w:iCs/>
                <w:sz w:val="24"/>
                <w:szCs w:val="24"/>
              </w:rPr>
              <w:t>deka</w:t>
            </w:r>
            <w:proofErr w:type="spellEnd"/>
          </w:p>
          <w:p w14:paraId="58105D1A" w14:textId="2A05BB46" w:rsidR="00865ADE" w:rsidRPr="00354554" w:rsidRDefault="002E00D0" w:rsidP="004A1C84">
            <w:pPr>
              <w:spacing w:after="0" w:line="240" w:lineRule="auto"/>
              <w:rPr>
                <w:rFonts w:ascii="Times New Roman" w:hAnsi="Times New Roman" w:cs="Times New Roman"/>
                <w:sz w:val="24"/>
                <w:szCs w:val="24"/>
              </w:rPr>
            </w:pPr>
            <w:r w:rsidRPr="00354554">
              <w:rPr>
                <w:rFonts w:ascii="Times New Roman" w:hAnsi="Times New Roman" w:cs="Times New Roman"/>
                <w:i/>
                <w:iCs/>
                <w:sz w:val="24"/>
                <w:szCs w:val="24"/>
              </w:rPr>
              <w:t>(rezonuojamoji plokštė)</w:t>
            </w:r>
          </w:p>
        </w:tc>
        <w:tc>
          <w:tcPr>
            <w:tcW w:w="4507" w:type="dxa"/>
            <w:tcBorders>
              <w:top w:val="single" w:sz="4" w:space="0" w:color="000000"/>
              <w:left w:val="single" w:sz="4" w:space="0" w:color="000000"/>
              <w:bottom w:val="single" w:sz="4" w:space="0" w:color="000000"/>
              <w:right w:val="single" w:sz="4" w:space="0" w:color="000000"/>
            </w:tcBorders>
          </w:tcPr>
          <w:p w14:paraId="06D09686" w14:textId="2DCC21E3" w:rsidR="00865ADE" w:rsidRPr="00354554" w:rsidRDefault="002E00D0" w:rsidP="004A1C84">
            <w:pPr>
              <w:spacing w:after="0" w:line="240" w:lineRule="auto"/>
              <w:jc w:val="both"/>
              <w:rPr>
                <w:rFonts w:ascii="Times New Roman" w:hAnsi="Times New Roman" w:cs="Times New Roman"/>
                <w:noProof/>
                <w:sz w:val="24"/>
                <w:szCs w:val="24"/>
              </w:rPr>
            </w:pPr>
            <w:r w:rsidRPr="00354554">
              <w:rPr>
                <w:rFonts w:ascii="Times New Roman" w:eastAsia="Calibri" w:hAnsi="Times New Roman" w:cs="Times New Roman"/>
                <w:noProof/>
                <w:sz w:val="24"/>
                <w:szCs w:val="24"/>
                <w:lang w:eastAsia="en-US"/>
              </w:rPr>
              <w:t>Elastinga ir stangri; turi gerai perteikti ir sustiprinti garso virpesius, sukurdama turtingą ir ilgai besitęsiantį garsą</w:t>
            </w:r>
          </w:p>
        </w:tc>
        <w:tc>
          <w:tcPr>
            <w:tcW w:w="1496" w:type="dxa"/>
            <w:tcBorders>
              <w:top w:val="single" w:sz="4" w:space="0" w:color="000000"/>
              <w:left w:val="single" w:sz="4" w:space="0" w:color="000000"/>
              <w:bottom w:val="single" w:sz="4" w:space="0" w:color="000000"/>
              <w:right w:val="single" w:sz="4" w:space="0" w:color="000000"/>
            </w:tcBorders>
          </w:tcPr>
          <w:p w14:paraId="2061CC3F" w14:textId="77777777" w:rsidR="00865ADE" w:rsidRPr="00354554" w:rsidRDefault="00865ADE" w:rsidP="004A1C84">
            <w:pPr>
              <w:spacing w:after="0" w:line="240" w:lineRule="auto"/>
              <w:jc w:val="center"/>
              <w:rPr>
                <w:rFonts w:ascii="Times New Roman" w:hAnsi="Times New Roman" w:cs="Times New Roman"/>
                <w:sz w:val="24"/>
                <w:szCs w:val="24"/>
              </w:rPr>
            </w:pPr>
          </w:p>
        </w:tc>
        <w:tc>
          <w:tcPr>
            <w:tcW w:w="1503" w:type="dxa"/>
            <w:tcBorders>
              <w:top w:val="single" w:sz="4" w:space="0" w:color="000000"/>
              <w:left w:val="single" w:sz="4" w:space="0" w:color="000000"/>
              <w:bottom w:val="single" w:sz="4" w:space="0" w:color="000000"/>
              <w:right w:val="single" w:sz="4" w:space="0" w:color="000000"/>
            </w:tcBorders>
          </w:tcPr>
          <w:p w14:paraId="44814DF3" w14:textId="6988427D" w:rsidR="00865ADE" w:rsidRPr="00354554" w:rsidRDefault="00865ADE"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r>
      <w:tr w:rsidR="00354554" w:rsidRPr="00354554" w14:paraId="119FAF42" w14:textId="77777777" w:rsidTr="004621E9">
        <w:tc>
          <w:tcPr>
            <w:tcW w:w="2122" w:type="dxa"/>
            <w:vMerge/>
            <w:tcBorders>
              <w:left w:val="single" w:sz="4" w:space="0" w:color="000000"/>
              <w:right w:val="single" w:sz="4" w:space="0" w:color="000000"/>
            </w:tcBorders>
          </w:tcPr>
          <w:p w14:paraId="60DA3C9B" w14:textId="77777777" w:rsidR="00865ADE" w:rsidRPr="00354554" w:rsidRDefault="00865ADE" w:rsidP="004A1C84">
            <w:pPr>
              <w:spacing w:after="0" w:line="240" w:lineRule="auto"/>
              <w:rPr>
                <w:rFonts w:ascii="Times New Roman" w:hAnsi="Times New Roman" w:cs="Times New Roman"/>
                <w:sz w:val="24"/>
                <w:szCs w:val="24"/>
              </w:rPr>
            </w:pPr>
          </w:p>
        </w:tc>
        <w:tc>
          <w:tcPr>
            <w:tcW w:w="4507" w:type="dxa"/>
            <w:tcBorders>
              <w:top w:val="single" w:sz="4" w:space="0" w:color="000000"/>
              <w:left w:val="single" w:sz="4" w:space="0" w:color="000000"/>
              <w:bottom w:val="single" w:sz="4" w:space="0" w:color="000000"/>
              <w:right w:val="single" w:sz="4" w:space="0" w:color="000000"/>
            </w:tcBorders>
          </w:tcPr>
          <w:p w14:paraId="2F53F8E0" w14:textId="0B3CD4A4" w:rsidR="00865ADE" w:rsidRPr="00354554" w:rsidRDefault="00865ADE" w:rsidP="004A1C84">
            <w:pPr>
              <w:spacing w:after="0" w:line="240" w:lineRule="auto"/>
              <w:jc w:val="both"/>
              <w:rPr>
                <w:rFonts w:ascii="Times New Roman" w:hAnsi="Times New Roman" w:cs="Times New Roman"/>
                <w:noProof/>
                <w:sz w:val="24"/>
                <w:szCs w:val="24"/>
              </w:rPr>
            </w:pPr>
            <w:r w:rsidRPr="00354554">
              <w:rPr>
                <w:rFonts w:ascii="Times New Roman" w:hAnsi="Times New Roman" w:cs="Times New Roman"/>
                <w:noProof/>
                <w:sz w:val="24"/>
                <w:szCs w:val="24"/>
              </w:rPr>
              <w:t>Instrumentas turi pasižymėti stipriu ir ilgu, obertonais turtingu garsu</w:t>
            </w:r>
          </w:p>
        </w:tc>
        <w:tc>
          <w:tcPr>
            <w:tcW w:w="1496" w:type="dxa"/>
            <w:tcBorders>
              <w:top w:val="single" w:sz="4" w:space="0" w:color="000000"/>
              <w:left w:val="single" w:sz="4" w:space="0" w:color="000000"/>
              <w:bottom w:val="single" w:sz="4" w:space="0" w:color="000000"/>
              <w:right w:val="single" w:sz="4" w:space="0" w:color="000000"/>
            </w:tcBorders>
          </w:tcPr>
          <w:p w14:paraId="437F78CD" w14:textId="77777777" w:rsidR="00865ADE" w:rsidRPr="00354554" w:rsidRDefault="00865ADE" w:rsidP="004A1C84">
            <w:pPr>
              <w:spacing w:after="0" w:line="240" w:lineRule="auto"/>
              <w:jc w:val="center"/>
              <w:rPr>
                <w:rFonts w:ascii="Times New Roman" w:hAnsi="Times New Roman" w:cs="Times New Roman"/>
                <w:sz w:val="24"/>
                <w:szCs w:val="24"/>
              </w:rPr>
            </w:pPr>
          </w:p>
        </w:tc>
        <w:tc>
          <w:tcPr>
            <w:tcW w:w="1503" w:type="dxa"/>
            <w:tcBorders>
              <w:top w:val="single" w:sz="4" w:space="0" w:color="000000"/>
              <w:left w:val="single" w:sz="4" w:space="0" w:color="000000"/>
              <w:bottom w:val="single" w:sz="4" w:space="0" w:color="000000"/>
              <w:right w:val="single" w:sz="4" w:space="0" w:color="000000"/>
            </w:tcBorders>
          </w:tcPr>
          <w:p w14:paraId="0C4A18A2" w14:textId="1BF981A7" w:rsidR="00865ADE" w:rsidRPr="00354554" w:rsidRDefault="00865ADE" w:rsidP="004A1C84">
            <w:pPr>
              <w:spacing w:after="0" w:line="240" w:lineRule="auto"/>
              <w:jc w:val="center"/>
              <w:rPr>
                <w:rFonts w:ascii="Times New Roman" w:hAnsi="Times New Roman" w:cs="Times New Roman"/>
                <w:sz w:val="24"/>
                <w:szCs w:val="24"/>
                <w:lang w:eastAsia="ru-RU"/>
              </w:rPr>
            </w:pPr>
            <w:r w:rsidRPr="00354554">
              <w:rPr>
                <w:rFonts w:ascii="Times New Roman" w:hAnsi="Times New Roman" w:cs="Times New Roman"/>
                <w:sz w:val="24"/>
                <w:szCs w:val="24"/>
                <w:lang w:eastAsia="ru-RU"/>
              </w:rPr>
              <w:sym w:font="Wingdings" w:char="F0FC"/>
            </w:r>
          </w:p>
        </w:tc>
      </w:tr>
      <w:tr w:rsidR="00354554" w:rsidRPr="00354554" w14:paraId="73F515C8" w14:textId="77777777" w:rsidTr="004621E9">
        <w:tc>
          <w:tcPr>
            <w:tcW w:w="2122" w:type="dxa"/>
            <w:vMerge/>
            <w:tcBorders>
              <w:left w:val="single" w:sz="4" w:space="0" w:color="000000"/>
              <w:bottom w:val="single" w:sz="4" w:space="0" w:color="000000"/>
              <w:right w:val="single" w:sz="4" w:space="0" w:color="000000"/>
            </w:tcBorders>
          </w:tcPr>
          <w:p w14:paraId="409BFC26" w14:textId="77777777" w:rsidR="00865ADE" w:rsidRPr="00354554" w:rsidRDefault="00865ADE" w:rsidP="004A1C84">
            <w:pPr>
              <w:spacing w:after="0" w:line="240" w:lineRule="auto"/>
              <w:rPr>
                <w:rFonts w:ascii="Times New Roman" w:hAnsi="Times New Roman" w:cs="Times New Roman"/>
                <w:sz w:val="24"/>
                <w:szCs w:val="24"/>
              </w:rPr>
            </w:pPr>
          </w:p>
        </w:tc>
        <w:tc>
          <w:tcPr>
            <w:tcW w:w="4507" w:type="dxa"/>
            <w:tcBorders>
              <w:top w:val="single" w:sz="4" w:space="0" w:color="000000"/>
              <w:left w:val="single" w:sz="4" w:space="0" w:color="000000"/>
              <w:bottom w:val="single" w:sz="4" w:space="0" w:color="000000"/>
              <w:right w:val="single" w:sz="4" w:space="0" w:color="000000"/>
            </w:tcBorders>
          </w:tcPr>
          <w:p w14:paraId="3B251C11" w14:textId="37B63C85" w:rsidR="00865ADE" w:rsidRPr="00354554" w:rsidRDefault="00865ADE" w:rsidP="004A1C84">
            <w:pPr>
              <w:spacing w:after="0" w:line="240" w:lineRule="auto"/>
              <w:jc w:val="both"/>
              <w:rPr>
                <w:rFonts w:ascii="Times New Roman" w:hAnsi="Times New Roman" w:cs="Times New Roman"/>
                <w:noProof/>
                <w:sz w:val="24"/>
                <w:szCs w:val="24"/>
              </w:rPr>
            </w:pPr>
            <w:r w:rsidRPr="00354554">
              <w:rPr>
                <w:rFonts w:ascii="Times New Roman" w:hAnsi="Times New Roman" w:cs="Times New Roman"/>
                <w:noProof/>
                <w:sz w:val="24"/>
                <w:szCs w:val="24"/>
              </w:rPr>
              <w:t>Instrumentas turi pasižymėti minkštu ir sodriu tembru</w:t>
            </w:r>
          </w:p>
        </w:tc>
        <w:tc>
          <w:tcPr>
            <w:tcW w:w="1496" w:type="dxa"/>
            <w:tcBorders>
              <w:top w:val="single" w:sz="4" w:space="0" w:color="000000"/>
              <w:left w:val="single" w:sz="4" w:space="0" w:color="000000"/>
              <w:bottom w:val="single" w:sz="4" w:space="0" w:color="000000"/>
              <w:right w:val="single" w:sz="4" w:space="0" w:color="000000"/>
            </w:tcBorders>
          </w:tcPr>
          <w:p w14:paraId="19B27EFC" w14:textId="77777777" w:rsidR="00865ADE" w:rsidRPr="00354554" w:rsidRDefault="00865ADE" w:rsidP="004A1C84">
            <w:pPr>
              <w:spacing w:after="0" w:line="240" w:lineRule="auto"/>
              <w:jc w:val="center"/>
              <w:rPr>
                <w:rFonts w:ascii="Times New Roman" w:hAnsi="Times New Roman" w:cs="Times New Roman"/>
                <w:sz w:val="24"/>
                <w:szCs w:val="24"/>
              </w:rPr>
            </w:pPr>
          </w:p>
        </w:tc>
        <w:tc>
          <w:tcPr>
            <w:tcW w:w="1503" w:type="dxa"/>
            <w:tcBorders>
              <w:top w:val="single" w:sz="4" w:space="0" w:color="000000"/>
              <w:left w:val="single" w:sz="4" w:space="0" w:color="000000"/>
              <w:bottom w:val="single" w:sz="4" w:space="0" w:color="000000"/>
              <w:right w:val="single" w:sz="4" w:space="0" w:color="000000"/>
            </w:tcBorders>
          </w:tcPr>
          <w:p w14:paraId="6FBE55F9" w14:textId="2EE01546" w:rsidR="00865ADE" w:rsidRPr="00354554" w:rsidRDefault="00865ADE" w:rsidP="004A1C84">
            <w:pPr>
              <w:spacing w:after="0" w:line="240" w:lineRule="auto"/>
              <w:jc w:val="center"/>
              <w:rPr>
                <w:rFonts w:ascii="Times New Roman" w:hAnsi="Times New Roman" w:cs="Times New Roman"/>
                <w:sz w:val="24"/>
                <w:szCs w:val="24"/>
                <w:lang w:eastAsia="ru-RU"/>
              </w:rPr>
            </w:pPr>
            <w:r w:rsidRPr="00354554">
              <w:rPr>
                <w:rFonts w:ascii="Times New Roman" w:hAnsi="Times New Roman" w:cs="Times New Roman"/>
                <w:sz w:val="24"/>
                <w:szCs w:val="24"/>
                <w:lang w:eastAsia="ru-RU"/>
              </w:rPr>
              <w:sym w:font="Wingdings" w:char="F0FC"/>
            </w:r>
          </w:p>
        </w:tc>
      </w:tr>
      <w:tr w:rsidR="00354554" w:rsidRPr="00354554" w14:paraId="0868C969" w14:textId="2F982A76" w:rsidTr="004621E9">
        <w:tc>
          <w:tcPr>
            <w:tcW w:w="2122" w:type="dxa"/>
            <w:vMerge w:val="restart"/>
            <w:tcBorders>
              <w:top w:val="single" w:sz="4" w:space="0" w:color="000000"/>
              <w:left w:val="single" w:sz="4" w:space="0" w:color="000000"/>
              <w:right w:val="single" w:sz="4" w:space="0" w:color="000000"/>
            </w:tcBorders>
            <w:hideMark/>
          </w:tcPr>
          <w:p w14:paraId="24A35611" w14:textId="77777777" w:rsidR="002E00D0" w:rsidRPr="00354554" w:rsidRDefault="002E00D0" w:rsidP="004A1C84">
            <w:pPr>
              <w:spacing w:after="0" w:line="240" w:lineRule="auto"/>
              <w:rPr>
                <w:rFonts w:ascii="Times New Roman" w:eastAsia="Calibri" w:hAnsi="Times New Roman" w:cs="Times New Roman"/>
                <w:i/>
                <w:iCs/>
                <w:noProof/>
                <w:sz w:val="24"/>
                <w:szCs w:val="24"/>
                <w:lang w:eastAsia="en-US"/>
              </w:rPr>
            </w:pPr>
            <w:r w:rsidRPr="00354554">
              <w:rPr>
                <w:rFonts w:ascii="Times New Roman" w:eastAsia="Calibri" w:hAnsi="Times New Roman" w:cs="Times New Roman"/>
                <w:i/>
                <w:iCs/>
                <w:noProof/>
                <w:sz w:val="24"/>
                <w:szCs w:val="24"/>
                <w:lang w:eastAsia="en-US"/>
              </w:rPr>
              <w:t>Rezonansinės dekos</w:t>
            </w:r>
          </w:p>
          <w:p w14:paraId="17E70A6B" w14:textId="166F1788" w:rsidR="005B32BC" w:rsidRPr="00354554" w:rsidRDefault="002E00D0" w:rsidP="004A1C84">
            <w:pPr>
              <w:spacing w:after="0" w:line="240" w:lineRule="auto"/>
              <w:rPr>
                <w:rFonts w:ascii="Times New Roman" w:eastAsia="Calibri" w:hAnsi="Times New Roman" w:cs="Times New Roman"/>
                <w:i/>
                <w:iCs/>
                <w:noProof/>
                <w:sz w:val="24"/>
                <w:szCs w:val="24"/>
                <w:lang w:eastAsia="en-US"/>
              </w:rPr>
            </w:pPr>
            <w:r w:rsidRPr="00354554">
              <w:rPr>
                <w:rFonts w:ascii="Times New Roman" w:eastAsia="Calibri" w:hAnsi="Times New Roman" w:cs="Times New Roman"/>
                <w:i/>
                <w:iCs/>
                <w:noProof/>
                <w:sz w:val="24"/>
                <w:szCs w:val="24"/>
                <w:lang w:eastAsia="en-US"/>
              </w:rPr>
              <w:lastRenderedPageBreak/>
              <w:t>(rezonuojamosios plokštės) tilteliai</w:t>
            </w:r>
          </w:p>
        </w:tc>
        <w:tc>
          <w:tcPr>
            <w:tcW w:w="4507" w:type="dxa"/>
            <w:tcBorders>
              <w:top w:val="single" w:sz="4" w:space="0" w:color="000000"/>
              <w:left w:val="single" w:sz="4" w:space="0" w:color="000000"/>
              <w:bottom w:val="single" w:sz="4" w:space="0" w:color="000000"/>
              <w:right w:val="single" w:sz="4" w:space="0" w:color="000000"/>
            </w:tcBorders>
            <w:hideMark/>
          </w:tcPr>
          <w:p w14:paraId="1587738E" w14:textId="07FA568F" w:rsidR="005B32BC" w:rsidRPr="00354554" w:rsidRDefault="005B32BC" w:rsidP="004A1C84">
            <w:pPr>
              <w:spacing w:after="0" w:line="240" w:lineRule="auto"/>
              <w:jc w:val="both"/>
              <w:rPr>
                <w:rFonts w:ascii="Times New Roman" w:hAnsi="Times New Roman" w:cs="Times New Roman"/>
                <w:noProof/>
                <w:sz w:val="24"/>
                <w:szCs w:val="24"/>
              </w:rPr>
            </w:pPr>
            <w:r w:rsidRPr="00354554">
              <w:rPr>
                <w:rFonts w:ascii="Times New Roman" w:hAnsi="Times New Roman" w:cs="Times New Roman"/>
                <w:noProof/>
                <w:sz w:val="24"/>
                <w:szCs w:val="24"/>
              </w:rPr>
              <w:lastRenderedPageBreak/>
              <w:t xml:space="preserve">Turi būti lengvi ir stangrūs, jų paviršius ir struktūra privalo užtikrinti rezonansinės dekos </w:t>
            </w:r>
            <w:r w:rsidR="002E00D0" w:rsidRPr="00354554">
              <w:rPr>
                <w:rFonts w:ascii="Times New Roman" w:eastAsia="Calibri" w:hAnsi="Times New Roman" w:cs="Times New Roman"/>
                <w:noProof/>
                <w:sz w:val="24"/>
                <w:szCs w:val="24"/>
                <w:lang w:eastAsia="en-US"/>
              </w:rPr>
              <w:t xml:space="preserve">(rezonuojamosios plokštės) </w:t>
            </w:r>
            <w:r w:rsidRPr="00354554">
              <w:rPr>
                <w:rFonts w:ascii="Times New Roman" w:hAnsi="Times New Roman" w:cs="Times New Roman"/>
                <w:noProof/>
                <w:sz w:val="24"/>
                <w:szCs w:val="24"/>
              </w:rPr>
              <w:t xml:space="preserve">dažnių </w:t>
            </w:r>
            <w:r w:rsidRPr="00354554">
              <w:rPr>
                <w:rFonts w:ascii="Times New Roman" w:hAnsi="Times New Roman" w:cs="Times New Roman"/>
                <w:noProof/>
                <w:sz w:val="24"/>
                <w:szCs w:val="24"/>
              </w:rPr>
              <w:lastRenderedPageBreak/>
              <w:t xml:space="preserve">perdavimo efektyvumą ir </w:t>
            </w:r>
            <w:r w:rsidR="002E00D0" w:rsidRPr="00354554">
              <w:rPr>
                <w:rFonts w:ascii="Times New Roman" w:hAnsi="Times New Roman" w:cs="Times New Roman"/>
                <w:noProof/>
                <w:sz w:val="24"/>
                <w:szCs w:val="24"/>
              </w:rPr>
              <w:t xml:space="preserve">puikią </w:t>
            </w:r>
            <w:r w:rsidRPr="00354554">
              <w:rPr>
                <w:rFonts w:ascii="Times New Roman" w:hAnsi="Times New Roman" w:cs="Times New Roman"/>
                <w:noProof/>
                <w:sz w:val="24"/>
                <w:szCs w:val="24"/>
              </w:rPr>
              <w:t>garso kokybę visuose diapazonuos</w:t>
            </w:r>
            <w:r w:rsidR="00F740A7" w:rsidRPr="00354554">
              <w:rPr>
                <w:rFonts w:ascii="Times New Roman" w:hAnsi="Times New Roman" w:cs="Times New Roman"/>
                <w:noProof/>
                <w:sz w:val="24"/>
                <w:szCs w:val="24"/>
              </w:rPr>
              <w:t>e</w:t>
            </w:r>
          </w:p>
        </w:tc>
        <w:tc>
          <w:tcPr>
            <w:tcW w:w="1496" w:type="dxa"/>
            <w:tcBorders>
              <w:top w:val="single" w:sz="4" w:space="0" w:color="000000"/>
              <w:left w:val="single" w:sz="4" w:space="0" w:color="000000"/>
              <w:bottom w:val="single" w:sz="4" w:space="0" w:color="000000"/>
              <w:right w:val="single" w:sz="4" w:space="0" w:color="000000"/>
            </w:tcBorders>
          </w:tcPr>
          <w:p w14:paraId="13107CDC" w14:textId="77777777" w:rsidR="005B32BC" w:rsidRPr="00354554" w:rsidRDefault="005B32BC" w:rsidP="004A1C84">
            <w:pPr>
              <w:spacing w:after="0" w:line="240" w:lineRule="auto"/>
              <w:jc w:val="center"/>
              <w:rPr>
                <w:rFonts w:ascii="Times New Roman" w:hAnsi="Times New Roman" w:cs="Times New Roman"/>
                <w:sz w:val="24"/>
                <w:szCs w:val="24"/>
              </w:rPr>
            </w:pPr>
          </w:p>
        </w:tc>
        <w:tc>
          <w:tcPr>
            <w:tcW w:w="1503" w:type="dxa"/>
            <w:tcBorders>
              <w:top w:val="single" w:sz="4" w:space="0" w:color="000000"/>
              <w:left w:val="single" w:sz="4" w:space="0" w:color="000000"/>
              <w:bottom w:val="single" w:sz="4" w:space="0" w:color="000000"/>
              <w:right w:val="single" w:sz="4" w:space="0" w:color="000000"/>
            </w:tcBorders>
          </w:tcPr>
          <w:p w14:paraId="7BA1B9C5" w14:textId="072B851F" w:rsidR="005B32BC" w:rsidRPr="00354554" w:rsidRDefault="005B32BC"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r>
      <w:tr w:rsidR="00354554" w:rsidRPr="00354554" w14:paraId="7D21E56B" w14:textId="77777777" w:rsidTr="004621E9">
        <w:tc>
          <w:tcPr>
            <w:tcW w:w="2122" w:type="dxa"/>
            <w:vMerge/>
            <w:tcBorders>
              <w:left w:val="single" w:sz="4" w:space="0" w:color="000000"/>
              <w:bottom w:val="single" w:sz="4" w:space="0" w:color="000000"/>
              <w:right w:val="single" w:sz="4" w:space="0" w:color="000000"/>
            </w:tcBorders>
          </w:tcPr>
          <w:p w14:paraId="5C295E39" w14:textId="77777777" w:rsidR="005B32BC" w:rsidRPr="00354554" w:rsidRDefault="005B32BC" w:rsidP="004A1C84">
            <w:pPr>
              <w:spacing w:after="0" w:line="240" w:lineRule="auto"/>
              <w:rPr>
                <w:rFonts w:ascii="Times New Roman" w:hAnsi="Times New Roman" w:cs="Times New Roman"/>
                <w:sz w:val="24"/>
                <w:szCs w:val="24"/>
              </w:rPr>
            </w:pPr>
          </w:p>
        </w:tc>
        <w:tc>
          <w:tcPr>
            <w:tcW w:w="4507" w:type="dxa"/>
            <w:tcBorders>
              <w:top w:val="single" w:sz="4" w:space="0" w:color="000000"/>
              <w:left w:val="single" w:sz="4" w:space="0" w:color="000000"/>
              <w:bottom w:val="single" w:sz="4" w:space="0" w:color="000000"/>
              <w:right w:val="single" w:sz="4" w:space="0" w:color="000000"/>
            </w:tcBorders>
          </w:tcPr>
          <w:p w14:paraId="3A109257" w14:textId="1C70E677" w:rsidR="005B32BC" w:rsidRPr="00354554" w:rsidRDefault="005B32BC" w:rsidP="004A1C84">
            <w:pPr>
              <w:spacing w:after="0" w:line="240" w:lineRule="auto"/>
              <w:jc w:val="both"/>
              <w:rPr>
                <w:rFonts w:ascii="Times New Roman" w:hAnsi="Times New Roman" w:cs="Times New Roman"/>
                <w:noProof/>
                <w:sz w:val="24"/>
                <w:szCs w:val="24"/>
              </w:rPr>
            </w:pPr>
            <w:r w:rsidRPr="00354554">
              <w:rPr>
                <w:rFonts w:ascii="Times New Roman" w:hAnsi="Times New Roman" w:cs="Times New Roman"/>
                <w:noProof/>
                <w:sz w:val="24"/>
                <w:szCs w:val="24"/>
              </w:rPr>
              <w:t>Kraštutiniuose registruose bei registrų sandūros vietose neleistini jokie derinimo, tembro ar kiti garso kokybės trūkumai</w:t>
            </w:r>
          </w:p>
        </w:tc>
        <w:tc>
          <w:tcPr>
            <w:tcW w:w="1496" w:type="dxa"/>
            <w:tcBorders>
              <w:top w:val="single" w:sz="4" w:space="0" w:color="000000"/>
              <w:left w:val="single" w:sz="4" w:space="0" w:color="000000"/>
              <w:bottom w:val="single" w:sz="4" w:space="0" w:color="000000"/>
              <w:right w:val="single" w:sz="4" w:space="0" w:color="000000"/>
            </w:tcBorders>
          </w:tcPr>
          <w:p w14:paraId="28CAE115" w14:textId="77777777" w:rsidR="005B32BC" w:rsidRPr="00354554" w:rsidRDefault="005B32BC" w:rsidP="004A1C84">
            <w:pPr>
              <w:spacing w:after="0" w:line="240" w:lineRule="auto"/>
              <w:jc w:val="center"/>
              <w:rPr>
                <w:rFonts w:ascii="Times New Roman" w:hAnsi="Times New Roman" w:cs="Times New Roman"/>
                <w:sz w:val="24"/>
                <w:szCs w:val="24"/>
              </w:rPr>
            </w:pPr>
          </w:p>
        </w:tc>
        <w:tc>
          <w:tcPr>
            <w:tcW w:w="1503" w:type="dxa"/>
            <w:tcBorders>
              <w:top w:val="single" w:sz="4" w:space="0" w:color="000000"/>
              <w:left w:val="single" w:sz="4" w:space="0" w:color="000000"/>
              <w:bottom w:val="single" w:sz="4" w:space="0" w:color="000000"/>
              <w:right w:val="single" w:sz="4" w:space="0" w:color="000000"/>
            </w:tcBorders>
          </w:tcPr>
          <w:p w14:paraId="0A29B56E" w14:textId="6A142EE6" w:rsidR="005B32BC" w:rsidRPr="00354554" w:rsidRDefault="005B32BC" w:rsidP="004A1C84">
            <w:pPr>
              <w:spacing w:after="0" w:line="240" w:lineRule="auto"/>
              <w:jc w:val="center"/>
              <w:rPr>
                <w:rFonts w:ascii="Times New Roman" w:hAnsi="Times New Roman" w:cs="Times New Roman"/>
                <w:sz w:val="24"/>
                <w:szCs w:val="24"/>
                <w:lang w:eastAsia="ru-RU"/>
              </w:rPr>
            </w:pPr>
            <w:r w:rsidRPr="00354554">
              <w:rPr>
                <w:rFonts w:ascii="Times New Roman" w:hAnsi="Times New Roman" w:cs="Times New Roman"/>
                <w:sz w:val="24"/>
                <w:szCs w:val="24"/>
                <w:lang w:eastAsia="ru-RU"/>
              </w:rPr>
              <w:sym w:font="Wingdings" w:char="F0FC"/>
            </w:r>
          </w:p>
        </w:tc>
      </w:tr>
      <w:tr w:rsidR="00354554" w:rsidRPr="00354554" w14:paraId="518B91B2" w14:textId="77777777" w:rsidTr="004621E9">
        <w:tc>
          <w:tcPr>
            <w:tcW w:w="2122" w:type="dxa"/>
            <w:vMerge w:val="restart"/>
            <w:tcBorders>
              <w:left w:val="single" w:sz="4" w:space="0" w:color="000000"/>
              <w:right w:val="single" w:sz="4" w:space="0" w:color="000000"/>
            </w:tcBorders>
          </w:tcPr>
          <w:p w14:paraId="68B58FC6" w14:textId="77777777" w:rsidR="005B32BC" w:rsidRPr="00354554" w:rsidRDefault="005B32BC" w:rsidP="004A1C84">
            <w:pPr>
              <w:spacing w:after="0" w:line="240" w:lineRule="auto"/>
              <w:rPr>
                <w:rFonts w:ascii="Times New Roman" w:hAnsi="Times New Roman" w:cs="Times New Roman"/>
                <w:i/>
                <w:iCs/>
                <w:sz w:val="24"/>
                <w:szCs w:val="24"/>
              </w:rPr>
            </w:pPr>
            <w:r w:rsidRPr="00354554">
              <w:rPr>
                <w:rFonts w:ascii="Times New Roman" w:hAnsi="Times New Roman" w:cs="Times New Roman"/>
                <w:i/>
                <w:iCs/>
                <w:sz w:val="24"/>
                <w:szCs w:val="24"/>
              </w:rPr>
              <w:t>Konstrukcija</w:t>
            </w:r>
          </w:p>
          <w:p w14:paraId="3F88A08D" w14:textId="77777777" w:rsidR="002E00D0" w:rsidRPr="00354554" w:rsidRDefault="002E00D0" w:rsidP="004A1C84">
            <w:pPr>
              <w:spacing w:after="0" w:line="240" w:lineRule="auto"/>
              <w:rPr>
                <w:rFonts w:ascii="Times New Roman" w:hAnsi="Times New Roman" w:cs="Times New Roman"/>
                <w:i/>
                <w:iCs/>
                <w:sz w:val="24"/>
                <w:szCs w:val="24"/>
              </w:rPr>
            </w:pPr>
          </w:p>
          <w:p w14:paraId="7801AA7F" w14:textId="068A8E24" w:rsidR="002E00D0" w:rsidRPr="00354554" w:rsidRDefault="002E00D0" w:rsidP="004A1C84">
            <w:pPr>
              <w:spacing w:after="0" w:line="240" w:lineRule="auto"/>
              <w:rPr>
                <w:rFonts w:ascii="Times New Roman" w:hAnsi="Times New Roman" w:cs="Times New Roman"/>
                <w:i/>
                <w:iCs/>
                <w:sz w:val="24"/>
                <w:szCs w:val="24"/>
              </w:rPr>
            </w:pPr>
            <w:r w:rsidRPr="00354554">
              <w:rPr>
                <w:rFonts w:ascii="Times New Roman" w:hAnsi="Times New Roman" w:cs="Times New Roman"/>
                <w:i/>
                <w:iCs/>
                <w:sz w:val="24"/>
                <w:szCs w:val="24"/>
              </w:rPr>
              <w:t>Fortepijono mazgai</w:t>
            </w:r>
          </w:p>
        </w:tc>
        <w:tc>
          <w:tcPr>
            <w:tcW w:w="4507" w:type="dxa"/>
            <w:tcBorders>
              <w:top w:val="single" w:sz="4" w:space="0" w:color="000000"/>
              <w:left w:val="single" w:sz="4" w:space="0" w:color="000000"/>
              <w:bottom w:val="single" w:sz="4" w:space="0" w:color="000000"/>
              <w:right w:val="single" w:sz="4" w:space="0" w:color="000000"/>
            </w:tcBorders>
          </w:tcPr>
          <w:p w14:paraId="72F6B0A3" w14:textId="29D75DEE" w:rsidR="005B32BC" w:rsidRPr="00354554" w:rsidRDefault="005B32BC" w:rsidP="004A1C84">
            <w:pPr>
              <w:spacing w:after="0" w:line="240" w:lineRule="auto"/>
              <w:jc w:val="both"/>
              <w:rPr>
                <w:rFonts w:ascii="Times New Roman" w:hAnsi="Times New Roman" w:cs="Times New Roman"/>
                <w:noProof/>
                <w:sz w:val="24"/>
                <w:szCs w:val="24"/>
              </w:rPr>
            </w:pPr>
            <w:r w:rsidRPr="00354554">
              <w:rPr>
                <w:rFonts w:ascii="Times New Roman" w:hAnsi="Times New Roman" w:cs="Times New Roman"/>
                <w:noProof/>
                <w:sz w:val="24"/>
                <w:szCs w:val="24"/>
              </w:rPr>
              <w:t>Fortepijono konstrukcija turi užtikrinti stabilų derinimą</w:t>
            </w:r>
          </w:p>
        </w:tc>
        <w:tc>
          <w:tcPr>
            <w:tcW w:w="1496" w:type="dxa"/>
            <w:tcBorders>
              <w:top w:val="single" w:sz="4" w:space="0" w:color="000000"/>
              <w:left w:val="single" w:sz="4" w:space="0" w:color="000000"/>
              <w:bottom w:val="single" w:sz="4" w:space="0" w:color="000000"/>
              <w:right w:val="single" w:sz="4" w:space="0" w:color="000000"/>
            </w:tcBorders>
          </w:tcPr>
          <w:p w14:paraId="7CE349A2" w14:textId="77777777" w:rsidR="005B32BC" w:rsidRPr="00354554" w:rsidRDefault="005B32BC" w:rsidP="004A1C84">
            <w:pPr>
              <w:spacing w:after="0" w:line="240" w:lineRule="auto"/>
              <w:jc w:val="center"/>
              <w:rPr>
                <w:rFonts w:ascii="Times New Roman" w:hAnsi="Times New Roman" w:cs="Times New Roman"/>
                <w:sz w:val="24"/>
                <w:szCs w:val="24"/>
              </w:rPr>
            </w:pPr>
          </w:p>
        </w:tc>
        <w:tc>
          <w:tcPr>
            <w:tcW w:w="1503" w:type="dxa"/>
            <w:tcBorders>
              <w:top w:val="single" w:sz="4" w:space="0" w:color="000000"/>
              <w:left w:val="single" w:sz="4" w:space="0" w:color="000000"/>
              <w:bottom w:val="single" w:sz="4" w:space="0" w:color="000000"/>
              <w:right w:val="single" w:sz="4" w:space="0" w:color="000000"/>
            </w:tcBorders>
          </w:tcPr>
          <w:p w14:paraId="368CC5C3" w14:textId="0D53DB4F" w:rsidR="005B32BC" w:rsidRPr="00354554" w:rsidRDefault="005B32BC" w:rsidP="004A1C84">
            <w:pPr>
              <w:spacing w:after="0" w:line="240" w:lineRule="auto"/>
              <w:jc w:val="center"/>
              <w:rPr>
                <w:rFonts w:ascii="Times New Roman" w:hAnsi="Times New Roman" w:cs="Times New Roman"/>
                <w:sz w:val="24"/>
                <w:szCs w:val="24"/>
                <w:lang w:eastAsia="ru-RU"/>
              </w:rPr>
            </w:pPr>
            <w:r w:rsidRPr="00354554">
              <w:rPr>
                <w:rFonts w:ascii="Times New Roman" w:hAnsi="Times New Roman" w:cs="Times New Roman"/>
                <w:sz w:val="24"/>
                <w:szCs w:val="24"/>
                <w:lang w:eastAsia="ru-RU"/>
              </w:rPr>
              <w:sym w:font="Wingdings" w:char="F0FC"/>
            </w:r>
          </w:p>
        </w:tc>
      </w:tr>
      <w:tr w:rsidR="00354554" w:rsidRPr="00354554" w14:paraId="49FB070D" w14:textId="77777777" w:rsidTr="004621E9">
        <w:tc>
          <w:tcPr>
            <w:tcW w:w="2122" w:type="dxa"/>
            <w:vMerge/>
            <w:tcBorders>
              <w:left w:val="single" w:sz="4" w:space="0" w:color="000000"/>
              <w:bottom w:val="single" w:sz="4" w:space="0" w:color="000000"/>
              <w:right w:val="single" w:sz="4" w:space="0" w:color="000000"/>
            </w:tcBorders>
          </w:tcPr>
          <w:p w14:paraId="5B8379AB" w14:textId="77777777" w:rsidR="005B32BC" w:rsidRPr="00354554" w:rsidRDefault="005B32BC" w:rsidP="004A1C84">
            <w:pPr>
              <w:spacing w:after="0" w:line="240" w:lineRule="auto"/>
              <w:rPr>
                <w:rFonts w:ascii="Times New Roman" w:hAnsi="Times New Roman" w:cs="Times New Roman"/>
                <w:sz w:val="24"/>
                <w:szCs w:val="24"/>
              </w:rPr>
            </w:pPr>
          </w:p>
        </w:tc>
        <w:tc>
          <w:tcPr>
            <w:tcW w:w="4507" w:type="dxa"/>
            <w:tcBorders>
              <w:top w:val="single" w:sz="4" w:space="0" w:color="000000"/>
              <w:left w:val="single" w:sz="4" w:space="0" w:color="000000"/>
              <w:bottom w:val="single" w:sz="4" w:space="0" w:color="000000"/>
              <w:right w:val="single" w:sz="4" w:space="0" w:color="000000"/>
            </w:tcBorders>
          </w:tcPr>
          <w:p w14:paraId="5DDF7B06" w14:textId="463B2CDB" w:rsidR="005B32BC" w:rsidRPr="00354554" w:rsidRDefault="005B32BC" w:rsidP="004A1C84">
            <w:pPr>
              <w:spacing w:after="0" w:line="240" w:lineRule="auto"/>
              <w:jc w:val="both"/>
              <w:rPr>
                <w:rFonts w:ascii="Times New Roman" w:hAnsi="Times New Roman" w:cs="Times New Roman"/>
                <w:noProof/>
                <w:sz w:val="24"/>
                <w:szCs w:val="24"/>
              </w:rPr>
            </w:pPr>
            <w:r w:rsidRPr="00354554">
              <w:rPr>
                <w:rFonts w:ascii="Times New Roman" w:hAnsi="Times New Roman" w:cs="Times New Roman"/>
                <w:noProof/>
                <w:sz w:val="24"/>
                <w:szCs w:val="24"/>
              </w:rPr>
              <w:t>Visi fortepijono mazgai turi veikti be pašalinių garsų</w:t>
            </w:r>
          </w:p>
        </w:tc>
        <w:tc>
          <w:tcPr>
            <w:tcW w:w="1496" w:type="dxa"/>
            <w:tcBorders>
              <w:top w:val="single" w:sz="4" w:space="0" w:color="000000"/>
              <w:left w:val="single" w:sz="4" w:space="0" w:color="000000"/>
              <w:bottom w:val="single" w:sz="4" w:space="0" w:color="000000"/>
              <w:right w:val="single" w:sz="4" w:space="0" w:color="000000"/>
            </w:tcBorders>
          </w:tcPr>
          <w:p w14:paraId="617F7037" w14:textId="77777777" w:rsidR="005B32BC" w:rsidRPr="00354554" w:rsidRDefault="005B32BC" w:rsidP="004A1C84">
            <w:pPr>
              <w:spacing w:after="0" w:line="240" w:lineRule="auto"/>
              <w:jc w:val="center"/>
              <w:rPr>
                <w:rFonts w:ascii="Times New Roman" w:hAnsi="Times New Roman" w:cs="Times New Roman"/>
                <w:sz w:val="24"/>
                <w:szCs w:val="24"/>
              </w:rPr>
            </w:pPr>
          </w:p>
        </w:tc>
        <w:tc>
          <w:tcPr>
            <w:tcW w:w="1503" w:type="dxa"/>
            <w:tcBorders>
              <w:top w:val="single" w:sz="4" w:space="0" w:color="000000"/>
              <w:left w:val="single" w:sz="4" w:space="0" w:color="000000"/>
              <w:bottom w:val="single" w:sz="4" w:space="0" w:color="000000"/>
              <w:right w:val="single" w:sz="4" w:space="0" w:color="000000"/>
            </w:tcBorders>
          </w:tcPr>
          <w:p w14:paraId="7100E26B" w14:textId="35117234" w:rsidR="005B32BC" w:rsidRPr="00354554" w:rsidRDefault="005B32BC" w:rsidP="004A1C84">
            <w:pPr>
              <w:spacing w:after="0" w:line="240" w:lineRule="auto"/>
              <w:jc w:val="center"/>
              <w:rPr>
                <w:rFonts w:ascii="Times New Roman" w:hAnsi="Times New Roman" w:cs="Times New Roman"/>
                <w:sz w:val="24"/>
                <w:szCs w:val="24"/>
                <w:lang w:eastAsia="ru-RU"/>
              </w:rPr>
            </w:pPr>
            <w:r w:rsidRPr="00354554">
              <w:rPr>
                <w:rFonts w:ascii="Times New Roman" w:hAnsi="Times New Roman" w:cs="Times New Roman"/>
                <w:sz w:val="24"/>
                <w:szCs w:val="24"/>
                <w:lang w:eastAsia="ru-RU"/>
              </w:rPr>
              <w:sym w:font="Wingdings" w:char="F0FC"/>
            </w:r>
          </w:p>
        </w:tc>
      </w:tr>
      <w:tr w:rsidR="00354554" w:rsidRPr="00354554" w14:paraId="4E3C39C9" w14:textId="0660B0A8" w:rsidTr="004621E9">
        <w:tc>
          <w:tcPr>
            <w:tcW w:w="2122" w:type="dxa"/>
            <w:tcBorders>
              <w:top w:val="single" w:sz="4" w:space="0" w:color="000000"/>
              <w:left w:val="single" w:sz="4" w:space="0" w:color="000000"/>
              <w:bottom w:val="single" w:sz="4" w:space="0" w:color="000000"/>
              <w:right w:val="single" w:sz="4" w:space="0" w:color="000000"/>
            </w:tcBorders>
          </w:tcPr>
          <w:p w14:paraId="370364D0" w14:textId="77777777" w:rsidR="00FF2BBF" w:rsidRPr="00354554" w:rsidRDefault="00FF2BBF" w:rsidP="004A1C84">
            <w:pPr>
              <w:spacing w:after="0" w:line="240" w:lineRule="auto"/>
              <w:rPr>
                <w:rFonts w:ascii="Times New Roman" w:hAnsi="Times New Roman" w:cs="Times New Roman"/>
                <w:i/>
                <w:iCs/>
                <w:sz w:val="24"/>
                <w:szCs w:val="24"/>
              </w:rPr>
            </w:pPr>
            <w:r w:rsidRPr="00354554">
              <w:rPr>
                <w:rFonts w:ascii="Times New Roman" w:hAnsi="Times New Roman" w:cs="Times New Roman"/>
                <w:i/>
                <w:iCs/>
                <w:sz w:val="24"/>
                <w:szCs w:val="24"/>
              </w:rPr>
              <w:t>Ketaus rėmas</w:t>
            </w:r>
          </w:p>
        </w:tc>
        <w:tc>
          <w:tcPr>
            <w:tcW w:w="4507" w:type="dxa"/>
            <w:tcBorders>
              <w:top w:val="single" w:sz="4" w:space="0" w:color="000000"/>
              <w:left w:val="single" w:sz="4" w:space="0" w:color="000000"/>
              <w:bottom w:val="single" w:sz="4" w:space="0" w:color="000000"/>
              <w:right w:val="single" w:sz="4" w:space="0" w:color="000000"/>
            </w:tcBorders>
          </w:tcPr>
          <w:p w14:paraId="183F44B9" w14:textId="6734ACA4" w:rsidR="00FF2BBF" w:rsidRPr="00354554" w:rsidRDefault="00FF2BBF" w:rsidP="004A1C84">
            <w:pPr>
              <w:spacing w:after="0" w:line="240" w:lineRule="auto"/>
              <w:jc w:val="both"/>
              <w:rPr>
                <w:rFonts w:ascii="Times New Roman" w:hAnsi="Times New Roman" w:cs="Times New Roman"/>
                <w:noProof/>
                <w:sz w:val="24"/>
                <w:szCs w:val="24"/>
              </w:rPr>
            </w:pPr>
            <w:r w:rsidRPr="00354554">
              <w:rPr>
                <w:rFonts w:ascii="Times New Roman" w:hAnsi="Times New Roman" w:cs="Times New Roman"/>
                <w:noProof/>
                <w:sz w:val="24"/>
                <w:szCs w:val="24"/>
              </w:rPr>
              <w:t xml:space="preserve">Turi užtikrinti stygų įtampos </w:t>
            </w:r>
            <w:r w:rsidR="00A80D04" w:rsidRPr="00354554">
              <w:rPr>
                <w:rFonts w:ascii="Times New Roman" w:hAnsi="Times New Roman" w:cs="Times New Roman"/>
                <w:noProof/>
                <w:sz w:val="24"/>
                <w:szCs w:val="24"/>
              </w:rPr>
              <w:t>tolygumą</w:t>
            </w:r>
          </w:p>
        </w:tc>
        <w:tc>
          <w:tcPr>
            <w:tcW w:w="1496" w:type="dxa"/>
            <w:tcBorders>
              <w:top w:val="single" w:sz="4" w:space="0" w:color="000000"/>
              <w:left w:val="single" w:sz="4" w:space="0" w:color="000000"/>
              <w:bottom w:val="single" w:sz="4" w:space="0" w:color="000000"/>
              <w:right w:val="single" w:sz="4" w:space="0" w:color="000000"/>
            </w:tcBorders>
          </w:tcPr>
          <w:p w14:paraId="6CF3CECC" w14:textId="77777777" w:rsidR="00FF2BBF" w:rsidRPr="00354554" w:rsidRDefault="00FF2BBF" w:rsidP="004A1C84">
            <w:pPr>
              <w:spacing w:after="0" w:line="240" w:lineRule="auto"/>
              <w:jc w:val="center"/>
              <w:rPr>
                <w:rFonts w:ascii="Times New Roman" w:hAnsi="Times New Roman" w:cs="Times New Roman"/>
                <w:sz w:val="24"/>
                <w:szCs w:val="24"/>
              </w:rPr>
            </w:pPr>
          </w:p>
        </w:tc>
        <w:tc>
          <w:tcPr>
            <w:tcW w:w="1503" w:type="dxa"/>
            <w:tcBorders>
              <w:top w:val="single" w:sz="4" w:space="0" w:color="000000"/>
              <w:left w:val="single" w:sz="4" w:space="0" w:color="000000"/>
              <w:bottom w:val="single" w:sz="4" w:space="0" w:color="000000"/>
              <w:right w:val="single" w:sz="4" w:space="0" w:color="000000"/>
            </w:tcBorders>
          </w:tcPr>
          <w:p w14:paraId="4665DAB2" w14:textId="50DF040D" w:rsidR="00FF2BBF" w:rsidRPr="00354554" w:rsidRDefault="005C7F0A"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r>
      <w:tr w:rsidR="00354554" w:rsidRPr="00354554" w14:paraId="2E534CD5" w14:textId="77777777" w:rsidTr="004621E9">
        <w:tc>
          <w:tcPr>
            <w:tcW w:w="2122" w:type="dxa"/>
            <w:tcBorders>
              <w:top w:val="single" w:sz="4" w:space="0" w:color="000000"/>
              <w:left w:val="single" w:sz="4" w:space="0" w:color="000000"/>
              <w:bottom w:val="single" w:sz="4" w:space="0" w:color="000000"/>
              <w:right w:val="single" w:sz="4" w:space="0" w:color="000000"/>
            </w:tcBorders>
          </w:tcPr>
          <w:p w14:paraId="17CF2FFA" w14:textId="337A1131" w:rsidR="002E00D0" w:rsidRPr="00354554" w:rsidRDefault="002E00D0" w:rsidP="004A1C84">
            <w:pPr>
              <w:spacing w:after="0" w:line="240" w:lineRule="auto"/>
              <w:rPr>
                <w:rFonts w:ascii="Times New Roman" w:hAnsi="Times New Roman" w:cs="Times New Roman"/>
                <w:sz w:val="24"/>
                <w:szCs w:val="24"/>
              </w:rPr>
            </w:pPr>
            <w:r w:rsidRPr="00354554">
              <w:rPr>
                <w:rFonts w:ascii="Times New Roman" w:eastAsia="Calibri" w:hAnsi="Times New Roman" w:cs="Times New Roman"/>
                <w:i/>
                <w:iCs/>
                <w:noProof/>
                <w:sz w:val="24"/>
                <w:szCs w:val="24"/>
                <w:lang w:eastAsia="en-US"/>
              </w:rPr>
              <w:t>Kuoliukų lenta</w:t>
            </w:r>
          </w:p>
        </w:tc>
        <w:tc>
          <w:tcPr>
            <w:tcW w:w="4507" w:type="dxa"/>
            <w:tcBorders>
              <w:top w:val="single" w:sz="4" w:space="0" w:color="000000"/>
              <w:left w:val="single" w:sz="4" w:space="0" w:color="000000"/>
              <w:bottom w:val="single" w:sz="4" w:space="0" w:color="000000"/>
              <w:right w:val="single" w:sz="4" w:space="0" w:color="000000"/>
            </w:tcBorders>
          </w:tcPr>
          <w:p w14:paraId="02704BFC" w14:textId="6ACFFCAC" w:rsidR="002E00D0" w:rsidRPr="00354554" w:rsidRDefault="002E00D0" w:rsidP="004A1C84">
            <w:pPr>
              <w:spacing w:after="0" w:line="240" w:lineRule="auto"/>
              <w:jc w:val="both"/>
              <w:rPr>
                <w:rFonts w:ascii="Times New Roman" w:hAnsi="Times New Roman" w:cs="Times New Roman"/>
                <w:noProof/>
                <w:sz w:val="24"/>
                <w:szCs w:val="24"/>
              </w:rPr>
            </w:pPr>
            <w:r w:rsidRPr="00354554">
              <w:rPr>
                <w:rFonts w:ascii="Times New Roman" w:eastAsia="Calibri" w:hAnsi="Times New Roman" w:cs="Times New Roman"/>
                <w:noProof/>
                <w:sz w:val="24"/>
                <w:szCs w:val="24"/>
                <w:lang w:eastAsia="en-US"/>
              </w:rPr>
              <w:t xml:space="preserve">Fortepijonas privalo labai gerai ir tvariai laikyti derinimą: derinimo kuoliukų lenta turi būti daugiasluoksnė, pagaminta iš medienos rūšių, atsparių oro temperatūrų ir drėgmės kaitai, kad užtikrintų kuoliuko fiksavimą reikiamoje pozicijoje ir derinimo stabilumą </w:t>
            </w:r>
          </w:p>
        </w:tc>
        <w:tc>
          <w:tcPr>
            <w:tcW w:w="1496" w:type="dxa"/>
            <w:tcBorders>
              <w:top w:val="single" w:sz="4" w:space="0" w:color="000000"/>
              <w:left w:val="single" w:sz="4" w:space="0" w:color="000000"/>
              <w:bottom w:val="single" w:sz="4" w:space="0" w:color="000000"/>
              <w:right w:val="single" w:sz="4" w:space="0" w:color="000000"/>
            </w:tcBorders>
          </w:tcPr>
          <w:p w14:paraId="291FC4EF" w14:textId="77777777" w:rsidR="002E00D0" w:rsidRPr="00354554" w:rsidRDefault="002E00D0" w:rsidP="004A1C84">
            <w:pPr>
              <w:spacing w:after="0" w:line="240" w:lineRule="auto"/>
              <w:jc w:val="center"/>
              <w:rPr>
                <w:rFonts w:ascii="Times New Roman" w:hAnsi="Times New Roman" w:cs="Times New Roman"/>
                <w:sz w:val="24"/>
                <w:szCs w:val="24"/>
              </w:rPr>
            </w:pPr>
          </w:p>
        </w:tc>
        <w:tc>
          <w:tcPr>
            <w:tcW w:w="1503" w:type="dxa"/>
            <w:tcBorders>
              <w:top w:val="single" w:sz="4" w:space="0" w:color="000000"/>
              <w:left w:val="single" w:sz="4" w:space="0" w:color="000000"/>
              <w:bottom w:val="single" w:sz="4" w:space="0" w:color="000000"/>
              <w:right w:val="single" w:sz="4" w:space="0" w:color="000000"/>
            </w:tcBorders>
          </w:tcPr>
          <w:p w14:paraId="42D2DC1E" w14:textId="75E7435A" w:rsidR="002E00D0" w:rsidRPr="00354554" w:rsidRDefault="002E00D0" w:rsidP="004A1C84">
            <w:pPr>
              <w:spacing w:after="0" w:line="240" w:lineRule="auto"/>
              <w:jc w:val="center"/>
              <w:rPr>
                <w:rFonts w:ascii="Times New Roman" w:hAnsi="Times New Roman" w:cs="Times New Roman"/>
                <w:sz w:val="24"/>
                <w:szCs w:val="24"/>
                <w:lang w:eastAsia="ru-RU"/>
              </w:rPr>
            </w:pPr>
            <w:r w:rsidRPr="00354554">
              <w:rPr>
                <w:rFonts w:ascii="Times New Roman" w:hAnsi="Times New Roman" w:cs="Times New Roman"/>
                <w:sz w:val="24"/>
                <w:szCs w:val="24"/>
                <w:lang w:eastAsia="ru-RU"/>
              </w:rPr>
              <w:sym w:font="Wingdings" w:char="F0FC"/>
            </w:r>
          </w:p>
        </w:tc>
      </w:tr>
      <w:tr w:rsidR="00354554" w:rsidRPr="00354554" w14:paraId="2952DD15" w14:textId="74C079B6" w:rsidTr="004621E9">
        <w:tc>
          <w:tcPr>
            <w:tcW w:w="2122" w:type="dxa"/>
            <w:tcBorders>
              <w:top w:val="single" w:sz="4" w:space="0" w:color="000000"/>
              <w:left w:val="single" w:sz="4" w:space="0" w:color="000000"/>
              <w:bottom w:val="single" w:sz="4" w:space="0" w:color="000000"/>
              <w:right w:val="single" w:sz="4" w:space="0" w:color="000000"/>
            </w:tcBorders>
            <w:hideMark/>
          </w:tcPr>
          <w:p w14:paraId="326B3B2F" w14:textId="77777777" w:rsidR="00FF2BBF" w:rsidRPr="00354554" w:rsidRDefault="00FF2BBF" w:rsidP="004A1C84">
            <w:pPr>
              <w:spacing w:after="0" w:line="240" w:lineRule="auto"/>
              <w:rPr>
                <w:rFonts w:ascii="Times New Roman" w:hAnsi="Times New Roman" w:cs="Times New Roman"/>
                <w:i/>
                <w:iCs/>
                <w:sz w:val="24"/>
                <w:szCs w:val="24"/>
              </w:rPr>
            </w:pPr>
            <w:r w:rsidRPr="00354554">
              <w:rPr>
                <w:rFonts w:ascii="Times New Roman" w:hAnsi="Times New Roman" w:cs="Times New Roman"/>
                <w:i/>
                <w:iCs/>
                <w:sz w:val="24"/>
                <w:szCs w:val="24"/>
              </w:rPr>
              <w:t>Derinimo kuoliukai</w:t>
            </w:r>
          </w:p>
        </w:tc>
        <w:tc>
          <w:tcPr>
            <w:tcW w:w="4507" w:type="dxa"/>
            <w:tcBorders>
              <w:top w:val="single" w:sz="4" w:space="0" w:color="000000"/>
              <w:left w:val="single" w:sz="4" w:space="0" w:color="000000"/>
              <w:bottom w:val="single" w:sz="4" w:space="0" w:color="000000"/>
              <w:right w:val="single" w:sz="4" w:space="0" w:color="000000"/>
            </w:tcBorders>
            <w:hideMark/>
          </w:tcPr>
          <w:p w14:paraId="56CA48AC" w14:textId="481D3E4E" w:rsidR="00FF2BBF" w:rsidRPr="00354554" w:rsidRDefault="008F2B71" w:rsidP="004A1C84">
            <w:pPr>
              <w:spacing w:after="0" w:line="240" w:lineRule="auto"/>
              <w:jc w:val="both"/>
              <w:rPr>
                <w:rFonts w:ascii="Times New Roman" w:hAnsi="Times New Roman" w:cs="Times New Roman"/>
                <w:noProof/>
                <w:sz w:val="24"/>
                <w:szCs w:val="24"/>
              </w:rPr>
            </w:pPr>
            <w:r w:rsidRPr="00354554">
              <w:rPr>
                <w:rFonts w:ascii="Times New Roman" w:eastAsia="Calibri" w:hAnsi="Times New Roman" w:cs="Times New Roman"/>
                <w:noProof/>
                <w:sz w:val="24"/>
                <w:szCs w:val="24"/>
                <w:lang w:eastAsia="en-US"/>
              </w:rPr>
              <w:t>Aukščiausios kokybės plieno, padengti rūdims atsparia nikelio danga</w:t>
            </w:r>
          </w:p>
        </w:tc>
        <w:tc>
          <w:tcPr>
            <w:tcW w:w="1496" w:type="dxa"/>
            <w:tcBorders>
              <w:top w:val="single" w:sz="4" w:space="0" w:color="000000"/>
              <w:left w:val="single" w:sz="4" w:space="0" w:color="000000"/>
              <w:bottom w:val="single" w:sz="4" w:space="0" w:color="000000"/>
              <w:right w:val="single" w:sz="4" w:space="0" w:color="000000"/>
            </w:tcBorders>
          </w:tcPr>
          <w:p w14:paraId="35020B5E" w14:textId="77777777" w:rsidR="00FF2BBF" w:rsidRPr="00354554" w:rsidRDefault="00FF2BBF" w:rsidP="004A1C84">
            <w:pPr>
              <w:spacing w:after="0" w:line="240" w:lineRule="auto"/>
              <w:jc w:val="center"/>
              <w:rPr>
                <w:rFonts w:ascii="Times New Roman" w:hAnsi="Times New Roman" w:cs="Times New Roman"/>
                <w:sz w:val="24"/>
                <w:szCs w:val="24"/>
              </w:rPr>
            </w:pPr>
          </w:p>
        </w:tc>
        <w:tc>
          <w:tcPr>
            <w:tcW w:w="1503" w:type="dxa"/>
            <w:tcBorders>
              <w:top w:val="single" w:sz="4" w:space="0" w:color="000000"/>
              <w:left w:val="single" w:sz="4" w:space="0" w:color="000000"/>
              <w:bottom w:val="single" w:sz="4" w:space="0" w:color="000000"/>
              <w:right w:val="single" w:sz="4" w:space="0" w:color="000000"/>
            </w:tcBorders>
          </w:tcPr>
          <w:p w14:paraId="170A4104" w14:textId="280FB1E2" w:rsidR="00FF2BBF" w:rsidRPr="00354554" w:rsidRDefault="005C7F0A"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r>
      <w:tr w:rsidR="00354554" w:rsidRPr="00354554" w14:paraId="6347C589" w14:textId="7F6D00B4" w:rsidTr="004621E9">
        <w:tc>
          <w:tcPr>
            <w:tcW w:w="2122" w:type="dxa"/>
            <w:tcBorders>
              <w:top w:val="single" w:sz="4" w:space="0" w:color="000000"/>
              <w:left w:val="single" w:sz="4" w:space="0" w:color="000000"/>
              <w:bottom w:val="single" w:sz="4" w:space="0" w:color="000000"/>
              <w:right w:val="single" w:sz="4" w:space="0" w:color="000000"/>
            </w:tcBorders>
          </w:tcPr>
          <w:p w14:paraId="6AF82600" w14:textId="77777777" w:rsidR="00FF2BBF" w:rsidRPr="00354554" w:rsidRDefault="00FF2BBF" w:rsidP="004A1C84">
            <w:pPr>
              <w:spacing w:after="0" w:line="240" w:lineRule="auto"/>
              <w:rPr>
                <w:rFonts w:ascii="Times New Roman" w:hAnsi="Times New Roman" w:cs="Times New Roman"/>
                <w:i/>
                <w:iCs/>
                <w:sz w:val="24"/>
                <w:szCs w:val="24"/>
              </w:rPr>
            </w:pPr>
            <w:r w:rsidRPr="00354554">
              <w:rPr>
                <w:rFonts w:ascii="Times New Roman" w:hAnsi="Times New Roman" w:cs="Times New Roman"/>
                <w:i/>
                <w:iCs/>
                <w:sz w:val="24"/>
                <w:szCs w:val="24"/>
              </w:rPr>
              <w:t>Agrafų sistema</w:t>
            </w:r>
          </w:p>
        </w:tc>
        <w:tc>
          <w:tcPr>
            <w:tcW w:w="4507" w:type="dxa"/>
            <w:tcBorders>
              <w:top w:val="single" w:sz="4" w:space="0" w:color="000000"/>
              <w:left w:val="single" w:sz="4" w:space="0" w:color="000000"/>
              <w:bottom w:val="single" w:sz="4" w:space="0" w:color="000000"/>
              <w:right w:val="single" w:sz="4" w:space="0" w:color="000000"/>
            </w:tcBorders>
          </w:tcPr>
          <w:p w14:paraId="4CD6B0C1" w14:textId="7B9A8BC6" w:rsidR="00FF2BBF" w:rsidRPr="00354554" w:rsidRDefault="008F2B71" w:rsidP="004A1C84">
            <w:pPr>
              <w:spacing w:after="0" w:line="240" w:lineRule="auto"/>
              <w:jc w:val="both"/>
              <w:rPr>
                <w:rFonts w:ascii="Times New Roman" w:hAnsi="Times New Roman" w:cs="Times New Roman"/>
                <w:noProof/>
                <w:sz w:val="24"/>
                <w:szCs w:val="24"/>
              </w:rPr>
            </w:pPr>
            <w:r w:rsidRPr="00354554">
              <w:rPr>
                <w:rFonts w:ascii="Times New Roman" w:eastAsia="Calibri" w:hAnsi="Times New Roman" w:cs="Times New Roman"/>
                <w:noProof/>
                <w:sz w:val="24"/>
                <w:szCs w:val="24"/>
                <w:lang w:eastAsia="en-US"/>
              </w:rPr>
              <w:t>Kombinuota agrafų sistema; turi užtikrinti stygų pozicijos tikslumą</w:t>
            </w:r>
          </w:p>
        </w:tc>
        <w:tc>
          <w:tcPr>
            <w:tcW w:w="1496" w:type="dxa"/>
            <w:tcBorders>
              <w:top w:val="single" w:sz="4" w:space="0" w:color="000000"/>
              <w:left w:val="single" w:sz="4" w:space="0" w:color="000000"/>
              <w:bottom w:val="single" w:sz="4" w:space="0" w:color="000000"/>
              <w:right w:val="single" w:sz="4" w:space="0" w:color="000000"/>
            </w:tcBorders>
          </w:tcPr>
          <w:p w14:paraId="48071EE7" w14:textId="77777777" w:rsidR="00FF2BBF" w:rsidRPr="00354554" w:rsidRDefault="00FF2BBF" w:rsidP="004A1C84">
            <w:pPr>
              <w:spacing w:after="0" w:line="240" w:lineRule="auto"/>
              <w:jc w:val="center"/>
              <w:rPr>
                <w:rFonts w:ascii="Times New Roman" w:hAnsi="Times New Roman" w:cs="Times New Roman"/>
                <w:sz w:val="24"/>
                <w:szCs w:val="24"/>
              </w:rPr>
            </w:pPr>
          </w:p>
        </w:tc>
        <w:tc>
          <w:tcPr>
            <w:tcW w:w="1503" w:type="dxa"/>
            <w:tcBorders>
              <w:top w:val="single" w:sz="4" w:space="0" w:color="000000"/>
              <w:left w:val="single" w:sz="4" w:space="0" w:color="000000"/>
              <w:bottom w:val="single" w:sz="4" w:space="0" w:color="000000"/>
              <w:right w:val="single" w:sz="4" w:space="0" w:color="000000"/>
            </w:tcBorders>
          </w:tcPr>
          <w:p w14:paraId="13C0F9D2" w14:textId="7E33E68F" w:rsidR="00FF2BBF" w:rsidRPr="00354554" w:rsidRDefault="005C7F0A"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r>
      <w:tr w:rsidR="00354554" w:rsidRPr="00354554" w14:paraId="62D7938A" w14:textId="6D3CADA6" w:rsidTr="004621E9">
        <w:tc>
          <w:tcPr>
            <w:tcW w:w="2122" w:type="dxa"/>
            <w:vMerge w:val="restart"/>
            <w:tcBorders>
              <w:top w:val="single" w:sz="4" w:space="0" w:color="000000"/>
              <w:left w:val="single" w:sz="4" w:space="0" w:color="000000"/>
              <w:right w:val="single" w:sz="4" w:space="0" w:color="000000"/>
            </w:tcBorders>
            <w:hideMark/>
          </w:tcPr>
          <w:p w14:paraId="53720869" w14:textId="77777777" w:rsidR="008F2B71" w:rsidRPr="00354554" w:rsidRDefault="008F2B71" w:rsidP="004A1C84">
            <w:pPr>
              <w:spacing w:after="0" w:line="240" w:lineRule="auto"/>
              <w:rPr>
                <w:rFonts w:ascii="Times New Roman" w:hAnsi="Times New Roman" w:cs="Times New Roman"/>
                <w:i/>
                <w:iCs/>
                <w:sz w:val="24"/>
                <w:szCs w:val="24"/>
              </w:rPr>
            </w:pPr>
            <w:r w:rsidRPr="00354554">
              <w:rPr>
                <w:rFonts w:ascii="Times New Roman" w:hAnsi="Times New Roman" w:cs="Times New Roman"/>
                <w:i/>
                <w:iCs/>
                <w:sz w:val="24"/>
                <w:szCs w:val="24"/>
              </w:rPr>
              <w:t>Mechanika</w:t>
            </w:r>
          </w:p>
        </w:tc>
        <w:tc>
          <w:tcPr>
            <w:tcW w:w="4507" w:type="dxa"/>
            <w:tcBorders>
              <w:top w:val="single" w:sz="4" w:space="0" w:color="000000"/>
              <w:left w:val="single" w:sz="4" w:space="0" w:color="000000"/>
              <w:bottom w:val="single" w:sz="4" w:space="0" w:color="000000"/>
              <w:right w:val="single" w:sz="4" w:space="0" w:color="000000"/>
            </w:tcBorders>
            <w:hideMark/>
          </w:tcPr>
          <w:p w14:paraId="58B996B5" w14:textId="72F11C38" w:rsidR="008F2B71" w:rsidRPr="00354554" w:rsidRDefault="008F2B71" w:rsidP="004A1C84">
            <w:pPr>
              <w:spacing w:after="0" w:line="240" w:lineRule="auto"/>
              <w:jc w:val="both"/>
              <w:rPr>
                <w:rFonts w:ascii="Times New Roman" w:hAnsi="Times New Roman" w:cs="Times New Roman"/>
                <w:sz w:val="24"/>
                <w:szCs w:val="24"/>
              </w:rPr>
            </w:pPr>
            <w:r w:rsidRPr="00354554">
              <w:rPr>
                <w:rFonts w:ascii="Times New Roman" w:hAnsi="Times New Roman" w:cs="Times New Roman"/>
                <w:sz w:val="24"/>
                <w:szCs w:val="24"/>
              </w:rPr>
              <w:t>Neturi būti plastiko detalių</w:t>
            </w:r>
          </w:p>
        </w:tc>
        <w:tc>
          <w:tcPr>
            <w:tcW w:w="1496" w:type="dxa"/>
            <w:tcBorders>
              <w:top w:val="single" w:sz="4" w:space="0" w:color="000000"/>
              <w:left w:val="single" w:sz="4" w:space="0" w:color="000000"/>
              <w:bottom w:val="single" w:sz="4" w:space="0" w:color="000000"/>
              <w:right w:val="single" w:sz="4" w:space="0" w:color="000000"/>
            </w:tcBorders>
          </w:tcPr>
          <w:p w14:paraId="381C49A8" w14:textId="2FC091AE" w:rsidR="008F2B71" w:rsidRPr="00354554" w:rsidRDefault="008F2B71" w:rsidP="004A1C84">
            <w:pPr>
              <w:spacing w:after="0" w:line="240" w:lineRule="auto"/>
              <w:jc w:val="center"/>
              <w:rPr>
                <w:rFonts w:ascii="Times New Roman" w:hAnsi="Times New Roman" w:cs="Times New Roman"/>
                <w:sz w:val="24"/>
                <w:szCs w:val="24"/>
              </w:rPr>
            </w:pPr>
          </w:p>
        </w:tc>
        <w:tc>
          <w:tcPr>
            <w:tcW w:w="1503" w:type="dxa"/>
            <w:tcBorders>
              <w:top w:val="single" w:sz="4" w:space="0" w:color="000000"/>
              <w:left w:val="single" w:sz="4" w:space="0" w:color="000000"/>
              <w:bottom w:val="single" w:sz="4" w:space="0" w:color="000000"/>
              <w:right w:val="single" w:sz="4" w:space="0" w:color="000000"/>
            </w:tcBorders>
          </w:tcPr>
          <w:p w14:paraId="4BDEBAA1" w14:textId="2FD47845" w:rsidR="008F2B71" w:rsidRPr="00354554" w:rsidRDefault="008F2B71"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r>
      <w:tr w:rsidR="00354554" w:rsidRPr="00354554" w14:paraId="65349E9D" w14:textId="77777777" w:rsidTr="004621E9">
        <w:tc>
          <w:tcPr>
            <w:tcW w:w="2122" w:type="dxa"/>
            <w:vMerge/>
            <w:tcBorders>
              <w:left w:val="single" w:sz="4" w:space="0" w:color="000000"/>
              <w:right w:val="single" w:sz="4" w:space="0" w:color="000000"/>
            </w:tcBorders>
          </w:tcPr>
          <w:p w14:paraId="1E73F11E" w14:textId="77777777" w:rsidR="008F2B71" w:rsidRPr="00354554" w:rsidRDefault="008F2B71" w:rsidP="004A1C84">
            <w:pPr>
              <w:spacing w:after="0" w:line="240" w:lineRule="auto"/>
              <w:rPr>
                <w:rFonts w:ascii="Times New Roman" w:hAnsi="Times New Roman" w:cs="Times New Roman"/>
                <w:sz w:val="24"/>
                <w:szCs w:val="24"/>
              </w:rPr>
            </w:pPr>
          </w:p>
        </w:tc>
        <w:tc>
          <w:tcPr>
            <w:tcW w:w="4507" w:type="dxa"/>
            <w:tcBorders>
              <w:top w:val="single" w:sz="4" w:space="0" w:color="000000"/>
              <w:left w:val="single" w:sz="4" w:space="0" w:color="000000"/>
              <w:bottom w:val="single" w:sz="4" w:space="0" w:color="000000"/>
              <w:right w:val="single" w:sz="4" w:space="0" w:color="000000"/>
            </w:tcBorders>
          </w:tcPr>
          <w:p w14:paraId="60F5D361" w14:textId="24EC1EDD" w:rsidR="008F2B71" w:rsidRPr="00354554" w:rsidRDefault="008F2B71" w:rsidP="004A1C84">
            <w:pPr>
              <w:spacing w:after="0" w:line="240" w:lineRule="auto"/>
              <w:jc w:val="both"/>
              <w:rPr>
                <w:rFonts w:ascii="Times New Roman" w:hAnsi="Times New Roman" w:cs="Times New Roman"/>
                <w:sz w:val="24"/>
                <w:szCs w:val="24"/>
              </w:rPr>
            </w:pPr>
            <w:r w:rsidRPr="00354554">
              <w:rPr>
                <w:rFonts w:ascii="Times New Roman" w:eastAsia="Calibri" w:hAnsi="Times New Roman" w:cs="Times New Roman"/>
                <w:noProof/>
                <w:sz w:val="24"/>
                <w:szCs w:val="24"/>
                <w:lang w:eastAsia="en-US"/>
              </w:rPr>
              <w:t>Mechanika turi būti ypač jautri, labai gerai sureguliuota ir suintonuota; medžio detalės – apsaugotos nuo drėgmės patekimo</w:t>
            </w:r>
          </w:p>
        </w:tc>
        <w:tc>
          <w:tcPr>
            <w:tcW w:w="1496" w:type="dxa"/>
            <w:tcBorders>
              <w:top w:val="single" w:sz="4" w:space="0" w:color="000000"/>
              <w:left w:val="single" w:sz="4" w:space="0" w:color="000000"/>
              <w:bottom w:val="single" w:sz="4" w:space="0" w:color="000000"/>
              <w:right w:val="single" w:sz="4" w:space="0" w:color="000000"/>
            </w:tcBorders>
          </w:tcPr>
          <w:p w14:paraId="51BB1504" w14:textId="77777777" w:rsidR="008F2B71" w:rsidRPr="00354554" w:rsidRDefault="008F2B71" w:rsidP="004A1C84">
            <w:pPr>
              <w:spacing w:after="0" w:line="240" w:lineRule="auto"/>
              <w:jc w:val="center"/>
              <w:rPr>
                <w:rFonts w:ascii="Times New Roman" w:hAnsi="Times New Roman" w:cs="Times New Roman"/>
                <w:sz w:val="24"/>
                <w:szCs w:val="24"/>
              </w:rPr>
            </w:pPr>
          </w:p>
        </w:tc>
        <w:tc>
          <w:tcPr>
            <w:tcW w:w="1503" w:type="dxa"/>
            <w:tcBorders>
              <w:top w:val="single" w:sz="4" w:space="0" w:color="000000"/>
              <w:left w:val="single" w:sz="4" w:space="0" w:color="000000"/>
              <w:bottom w:val="single" w:sz="4" w:space="0" w:color="000000"/>
              <w:right w:val="single" w:sz="4" w:space="0" w:color="000000"/>
            </w:tcBorders>
          </w:tcPr>
          <w:p w14:paraId="1122200F" w14:textId="2EC25BDE" w:rsidR="008F2B71" w:rsidRPr="00354554" w:rsidRDefault="008F2B71" w:rsidP="004A1C84">
            <w:pPr>
              <w:spacing w:after="0" w:line="240" w:lineRule="auto"/>
              <w:jc w:val="center"/>
              <w:rPr>
                <w:rFonts w:ascii="Times New Roman" w:hAnsi="Times New Roman" w:cs="Times New Roman"/>
                <w:sz w:val="24"/>
                <w:szCs w:val="24"/>
                <w:lang w:eastAsia="ru-RU"/>
              </w:rPr>
            </w:pPr>
            <w:r w:rsidRPr="00354554">
              <w:rPr>
                <w:rFonts w:ascii="Times New Roman" w:hAnsi="Times New Roman" w:cs="Times New Roman"/>
                <w:sz w:val="24"/>
                <w:szCs w:val="24"/>
                <w:lang w:eastAsia="ru-RU"/>
              </w:rPr>
              <w:sym w:font="Wingdings" w:char="F0FC"/>
            </w:r>
          </w:p>
        </w:tc>
      </w:tr>
      <w:tr w:rsidR="00354554" w:rsidRPr="00354554" w14:paraId="4BA296F3" w14:textId="77777777" w:rsidTr="004621E9">
        <w:tc>
          <w:tcPr>
            <w:tcW w:w="2122" w:type="dxa"/>
            <w:vMerge/>
            <w:tcBorders>
              <w:left w:val="single" w:sz="4" w:space="0" w:color="000000"/>
              <w:bottom w:val="single" w:sz="4" w:space="0" w:color="000000"/>
              <w:right w:val="single" w:sz="4" w:space="0" w:color="000000"/>
            </w:tcBorders>
          </w:tcPr>
          <w:p w14:paraId="618D05B9" w14:textId="77777777" w:rsidR="008F2B71" w:rsidRPr="00354554" w:rsidRDefault="008F2B71" w:rsidP="004A1C84">
            <w:pPr>
              <w:spacing w:after="0" w:line="240" w:lineRule="auto"/>
              <w:rPr>
                <w:rFonts w:ascii="Times New Roman" w:hAnsi="Times New Roman" w:cs="Times New Roman"/>
                <w:sz w:val="24"/>
                <w:szCs w:val="24"/>
              </w:rPr>
            </w:pPr>
          </w:p>
        </w:tc>
        <w:tc>
          <w:tcPr>
            <w:tcW w:w="4507" w:type="dxa"/>
            <w:tcBorders>
              <w:top w:val="single" w:sz="4" w:space="0" w:color="000000"/>
              <w:left w:val="single" w:sz="4" w:space="0" w:color="000000"/>
              <w:bottom w:val="single" w:sz="4" w:space="0" w:color="000000"/>
              <w:right w:val="single" w:sz="4" w:space="0" w:color="000000"/>
            </w:tcBorders>
          </w:tcPr>
          <w:p w14:paraId="7A2166BE" w14:textId="1168C6AD" w:rsidR="008F2B71" w:rsidRPr="00354554" w:rsidRDefault="008F2B71" w:rsidP="004A1C84">
            <w:pPr>
              <w:spacing w:after="0" w:line="240" w:lineRule="auto"/>
              <w:jc w:val="both"/>
              <w:rPr>
                <w:rFonts w:ascii="Times New Roman" w:hAnsi="Times New Roman" w:cs="Times New Roman"/>
                <w:sz w:val="24"/>
                <w:szCs w:val="24"/>
              </w:rPr>
            </w:pPr>
            <w:r w:rsidRPr="00354554">
              <w:rPr>
                <w:rFonts w:ascii="Times New Roman" w:hAnsi="Times New Roman" w:cs="Times New Roman"/>
                <w:sz w:val="24"/>
                <w:szCs w:val="24"/>
              </w:rPr>
              <w:t xml:space="preserve">Fortepijono mechanizmas turi veikti preciziškai ir suteikti galimybę naudoti visas grojimo technikos priemones </w:t>
            </w:r>
          </w:p>
        </w:tc>
        <w:tc>
          <w:tcPr>
            <w:tcW w:w="1496" w:type="dxa"/>
            <w:tcBorders>
              <w:top w:val="single" w:sz="4" w:space="0" w:color="000000"/>
              <w:left w:val="single" w:sz="4" w:space="0" w:color="000000"/>
              <w:bottom w:val="single" w:sz="4" w:space="0" w:color="000000"/>
              <w:right w:val="single" w:sz="4" w:space="0" w:color="000000"/>
            </w:tcBorders>
          </w:tcPr>
          <w:p w14:paraId="6E6F6D5F" w14:textId="77777777" w:rsidR="008F2B71" w:rsidRPr="00354554" w:rsidRDefault="008F2B71" w:rsidP="004A1C84">
            <w:pPr>
              <w:spacing w:after="0" w:line="240" w:lineRule="auto"/>
              <w:jc w:val="center"/>
              <w:rPr>
                <w:rFonts w:ascii="Times New Roman" w:hAnsi="Times New Roman" w:cs="Times New Roman"/>
                <w:sz w:val="24"/>
                <w:szCs w:val="24"/>
              </w:rPr>
            </w:pPr>
          </w:p>
        </w:tc>
        <w:tc>
          <w:tcPr>
            <w:tcW w:w="1503" w:type="dxa"/>
            <w:tcBorders>
              <w:top w:val="single" w:sz="4" w:space="0" w:color="000000"/>
              <w:left w:val="single" w:sz="4" w:space="0" w:color="000000"/>
              <w:bottom w:val="single" w:sz="4" w:space="0" w:color="000000"/>
              <w:right w:val="single" w:sz="4" w:space="0" w:color="000000"/>
            </w:tcBorders>
          </w:tcPr>
          <w:p w14:paraId="43C3DA82" w14:textId="53168AD1" w:rsidR="008F2B71" w:rsidRPr="00354554" w:rsidRDefault="008F2B71" w:rsidP="004A1C84">
            <w:pPr>
              <w:spacing w:after="0" w:line="240" w:lineRule="auto"/>
              <w:jc w:val="center"/>
              <w:rPr>
                <w:rFonts w:ascii="Times New Roman" w:hAnsi="Times New Roman" w:cs="Times New Roman"/>
                <w:sz w:val="24"/>
                <w:szCs w:val="24"/>
                <w:lang w:eastAsia="ru-RU"/>
              </w:rPr>
            </w:pPr>
            <w:r w:rsidRPr="00354554">
              <w:rPr>
                <w:rFonts w:ascii="Times New Roman" w:hAnsi="Times New Roman" w:cs="Times New Roman"/>
                <w:sz w:val="24"/>
                <w:szCs w:val="24"/>
                <w:lang w:eastAsia="ru-RU"/>
              </w:rPr>
              <w:sym w:font="Wingdings" w:char="F0FC"/>
            </w:r>
          </w:p>
        </w:tc>
      </w:tr>
      <w:tr w:rsidR="00354554" w:rsidRPr="00354554" w14:paraId="1A4A2D35" w14:textId="3AAAA01C" w:rsidTr="004621E9">
        <w:tc>
          <w:tcPr>
            <w:tcW w:w="2122" w:type="dxa"/>
            <w:tcBorders>
              <w:top w:val="single" w:sz="4" w:space="0" w:color="000000"/>
              <w:left w:val="single" w:sz="4" w:space="0" w:color="000000"/>
              <w:bottom w:val="single" w:sz="4" w:space="0" w:color="000000"/>
              <w:right w:val="single" w:sz="4" w:space="0" w:color="000000"/>
            </w:tcBorders>
          </w:tcPr>
          <w:p w14:paraId="034403A8" w14:textId="77777777" w:rsidR="00FF2BBF" w:rsidRPr="00354554" w:rsidRDefault="00FF2BBF" w:rsidP="004A1C84">
            <w:pPr>
              <w:spacing w:after="0" w:line="240" w:lineRule="auto"/>
              <w:rPr>
                <w:rFonts w:ascii="Times New Roman" w:hAnsi="Times New Roman" w:cs="Times New Roman"/>
                <w:i/>
                <w:iCs/>
                <w:sz w:val="24"/>
                <w:szCs w:val="24"/>
              </w:rPr>
            </w:pPr>
            <w:r w:rsidRPr="00354554">
              <w:rPr>
                <w:rFonts w:ascii="Times New Roman" w:hAnsi="Times New Roman" w:cs="Times New Roman"/>
                <w:i/>
                <w:iCs/>
                <w:sz w:val="24"/>
                <w:szCs w:val="24"/>
              </w:rPr>
              <w:t>Plaktukai</w:t>
            </w:r>
          </w:p>
        </w:tc>
        <w:tc>
          <w:tcPr>
            <w:tcW w:w="4507" w:type="dxa"/>
            <w:tcBorders>
              <w:top w:val="single" w:sz="4" w:space="0" w:color="000000"/>
              <w:left w:val="single" w:sz="4" w:space="0" w:color="000000"/>
              <w:bottom w:val="single" w:sz="4" w:space="0" w:color="000000"/>
              <w:right w:val="single" w:sz="4" w:space="0" w:color="000000"/>
            </w:tcBorders>
          </w:tcPr>
          <w:p w14:paraId="634CF46F" w14:textId="26D482C3" w:rsidR="00A80D04" w:rsidRPr="00354554" w:rsidRDefault="00FF2BBF" w:rsidP="004A1C84">
            <w:pPr>
              <w:spacing w:after="0" w:line="240" w:lineRule="auto"/>
              <w:jc w:val="both"/>
              <w:rPr>
                <w:rFonts w:ascii="Times New Roman" w:hAnsi="Times New Roman" w:cs="Times New Roman"/>
                <w:bCs/>
                <w:sz w:val="24"/>
                <w:szCs w:val="24"/>
              </w:rPr>
            </w:pPr>
            <w:r w:rsidRPr="00354554">
              <w:rPr>
                <w:rFonts w:ascii="Times New Roman" w:hAnsi="Times New Roman" w:cs="Times New Roman"/>
                <w:bCs/>
                <w:sz w:val="24"/>
                <w:szCs w:val="24"/>
              </w:rPr>
              <w:t>Turi būti pagaminti iš itin lengvos medienos, panaudoja</w:t>
            </w:r>
            <w:r w:rsidR="00A80D04" w:rsidRPr="00354554">
              <w:rPr>
                <w:rFonts w:ascii="Times New Roman" w:hAnsi="Times New Roman" w:cs="Times New Roman"/>
                <w:bCs/>
                <w:sz w:val="24"/>
                <w:szCs w:val="24"/>
              </w:rPr>
              <w:t>nt aukščiausios kokybės veltinį</w:t>
            </w:r>
          </w:p>
        </w:tc>
        <w:tc>
          <w:tcPr>
            <w:tcW w:w="1496" w:type="dxa"/>
            <w:tcBorders>
              <w:top w:val="single" w:sz="4" w:space="0" w:color="000000"/>
              <w:left w:val="single" w:sz="4" w:space="0" w:color="000000"/>
              <w:bottom w:val="single" w:sz="4" w:space="0" w:color="000000"/>
              <w:right w:val="single" w:sz="4" w:space="0" w:color="000000"/>
            </w:tcBorders>
          </w:tcPr>
          <w:p w14:paraId="047E15DE" w14:textId="45F48508" w:rsidR="00FF2BBF" w:rsidRPr="00354554" w:rsidRDefault="00FF2BBF" w:rsidP="004A1C84">
            <w:pPr>
              <w:spacing w:after="0" w:line="240" w:lineRule="auto"/>
              <w:jc w:val="center"/>
              <w:rPr>
                <w:rFonts w:ascii="Times New Roman" w:hAnsi="Times New Roman" w:cs="Times New Roman"/>
                <w:bCs/>
                <w:sz w:val="24"/>
                <w:szCs w:val="24"/>
              </w:rPr>
            </w:pPr>
          </w:p>
        </w:tc>
        <w:tc>
          <w:tcPr>
            <w:tcW w:w="1503" w:type="dxa"/>
            <w:tcBorders>
              <w:top w:val="single" w:sz="4" w:space="0" w:color="000000"/>
              <w:left w:val="single" w:sz="4" w:space="0" w:color="000000"/>
              <w:bottom w:val="single" w:sz="4" w:space="0" w:color="000000"/>
              <w:right w:val="single" w:sz="4" w:space="0" w:color="000000"/>
            </w:tcBorders>
          </w:tcPr>
          <w:p w14:paraId="3ECD220C" w14:textId="48F8437A" w:rsidR="00FF2BBF" w:rsidRPr="00354554" w:rsidRDefault="00A80D04" w:rsidP="004A1C84">
            <w:pPr>
              <w:spacing w:after="0" w:line="240" w:lineRule="auto"/>
              <w:jc w:val="center"/>
              <w:rPr>
                <w:rFonts w:ascii="Times New Roman" w:hAnsi="Times New Roman" w:cs="Times New Roman"/>
                <w:bCs/>
                <w:sz w:val="24"/>
                <w:szCs w:val="24"/>
              </w:rPr>
            </w:pPr>
            <w:r w:rsidRPr="00354554">
              <w:rPr>
                <w:rFonts w:ascii="Times New Roman" w:hAnsi="Times New Roman" w:cs="Times New Roman"/>
                <w:sz w:val="24"/>
                <w:szCs w:val="24"/>
                <w:lang w:eastAsia="ru-RU"/>
              </w:rPr>
              <w:sym w:font="Wingdings" w:char="F0FC"/>
            </w:r>
          </w:p>
        </w:tc>
      </w:tr>
      <w:tr w:rsidR="00354554" w:rsidRPr="00354554" w14:paraId="39AE2C23" w14:textId="5E9FF1F6" w:rsidTr="004621E9">
        <w:tc>
          <w:tcPr>
            <w:tcW w:w="2122" w:type="dxa"/>
            <w:vMerge w:val="restart"/>
            <w:tcBorders>
              <w:top w:val="single" w:sz="4" w:space="0" w:color="000000"/>
              <w:left w:val="single" w:sz="4" w:space="0" w:color="000000"/>
              <w:right w:val="single" w:sz="4" w:space="0" w:color="000000"/>
            </w:tcBorders>
          </w:tcPr>
          <w:p w14:paraId="2AB4FD6E" w14:textId="77777777" w:rsidR="00A80D04" w:rsidRPr="00354554" w:rsidRDefault="00A80D04" w:rsidP="004A1C84">
            <w:pPr>
              <w:spacing w:after="0" w:line="240" w:lineRule="auto"/>
              <w:rPr>
                <w:rFonts w:ascii="Times New Roman" w:hAnsi="Times New Roman" w:cs="Times New Roman"/>
                <w:i/>
                <w:iCs/>
                <w:sz w:val="24"/>
                <w:szCs w:val="24"/>
              </w:rPr>
            </w:pPr>
            <w:r w:rsidRPr="00354554">
              <w:rPr>
                <w:rFonts w:ascii="Times New Roman" w:hAnsi="Times New Roman" w:cs="Times New Roman"/>
                <w:i/>
                <w:iCs/>
                <w:sz w:val="24"/>
                <w:szCs w:val="24"/>
              </w:rPr>
              <w:t>Klaviatūra</w:t>
            </w:r>
          </w:p>
        </w:tc>
        <w:tc>
          <w:tcPr>
            <w:tcW w:w="4507" w:type="dxa"/>
            <w:tcBorders>
              <w:top w:val="single" w:sz="4" w:space="0" w:color="000000"/>
              <w:left w:val="single" w:sz="4" w:space="0" w:color="000000"/>
              <w:bottom w:val="single" w:sz="4" w:space="0" w:color="000000"/>
              <w:right w:val="single" w:sz="4" w:space="0" w:color="000000"/>
            </w:tcBorders>
          </w:tcPr>
          <w:p w14:paraId="7C6B411F" w14:textId="41A93467" w:rsidR="00A80D04" w:rsidRPr="00354554" w:rsidRDefault="008F2B71" w:rsidP="004A1C84">
            <w:pPr>
              <w:suppressAutoHyphens/>
              <w:spacing w:after="0" w:line="240" w:lineRule="auto"/>
              <w:jc w:val="both"/>
              <w:rPr>
                <w:rFonts w:ascii="Times New Roman" w:hAnsi="Times New Roman" w:cs="Times New Roman"/>
                <w:bCs/>
                <w:sz w:val="24"/>
                <w:szCs w:val="24"/>
                <w:lang w:eastAsia="ar-SA"/>
              </w:rPr>
            </w:pPr>
            <w:r w:rsidRPr="00354554">
              <w:rPr>
                <w:rFonts w:ascii="Times New Roman" w:eastAsia="Calibri" w:hAnsi="Times New Roman" w:cs="Times New Roman"/>
                <w:noProof/>
                <w:sz w:val="24"/>
                <w:szCs w:val="24"/>
                <w:lang w:eastAsia="en-US"/>
              </w:rPr>
              <w:t>88 klavišų, kiekvienas klavišas atskirai subalansuotas svareliais.  Klaviatūros rėmas privalo būti itin tvirtas, kad užtikrintų mechanikos stabilumą</w:t>
            </w:r>
          </w:p>
        </w:tc>
        <w:tc>
          <w:tcPr>
            <w:tcW w:w="1496" w:type="dxa"/>
            <w:tcBorders>
              <w:top w:val="single" w:sz="4" w:space="0" w:color="000000"/>
              <w:left w:val="single" w:sz="4" w:space="0" w:color="000000"/>
              <w:bottom w:val="single" w:sz="4" w:space="0" w:color="000000"/>
              <w:right w:val="single" w:sz="4" w:space="0" w:color="000000"/>
            </w:tcBorders>
          </w:tcPr>
          <w:p w14:paraId="15F74815" w14:textId="5107838C" w:rsidR="00A80D04" w:rsidRPr="00354554" w:rsidRDefault="00A80D04" w:rsidP="004A1C84">
            <w:pPr>
              <w:suppressAutoHyphens/>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39124EC6" w14:textId="77777777" w:rsidR="00A80D04" w:rsidRPr="00354554" w:rsidRDefault="00A80D04" w:rsidP="004A1C84">
            <w:pPr>
              <w:suppressAutoHyphens/>
              <w:spacing w:after="0" w:line="240" w:lineRule="auto"/>
              <w:jc w:val="center"/>
              <w:rPr>
                <w:rFonts w:ascii="Times New Roman" w:hAnsi="Times New Roman" w:cs="Times New Roman"/>
                <w:sz w:val="24"/>
                <w:szCs w:val="24"/>
              </w:rPr>
            </w:pPr>
          </w:p>
        </w:tc>
      </w:tr>
      <w:tr w:rsidR="00354554" w:rsidRPr="00354554" w14:paraId="6DA4BB1B" w14:textId="77777777" w:rsidTr="004621E9">
        <w:tc>
          <w:tcPr>
            <w:tcW w:w="2122" w:type="dxa"/>
            <w:vMerge/>
            <w:tcBorders>
              <w:top w:val="single" w:sz="4" w:space="0" w:color="000000"/>
              <w:left w:val="single" w:sz="4" w:space="0" w:color="000000"/>
              <w:right w:val="single" w:sz="4" w:space="0" w:color="000000"/>
            </w:tcBorders>
          </w:tcPr>
          <w:p w14:paraId="44501A8F" w14:textId="77777777" w:rsidR="00A80D04" w:rsidRPr="00354554" w:rsidRDefault="00A80D04" w:rsidP="004A1C84">
            <w:pPr>
              <w:spacing w:after="0" w:line="240" w:lineRule="auto"/>
              <w:rPr>
                <w:rFonts w:ascii="Times New Roman" w:hAnsi="Times New Roman" w:cs="Times New Roman"/>
                <w:sz w:val="24"/>
                <w:szCs w:val="24"/>
              </w:rPr>
            </w:pPr>
          </w:p>
        </w:tc>
        <w:tc>
          <w:tcPr>
            <w:tcW w:w="4507" w:type="dxa"/>
            <w:tcBorders>
              <w:top w:val="single" w:sz="4" w:space="0" w:color="000000"/>
              <w:left w:val="single" w:sz="4" w:space="0" w:color="000000"/>
              <w:bottom w:val="single" w:sz="4" w:space="0" w:color="000000"/>
              <w:right w:val="single" w:sz="4" w:space="0" w:color="000000"/>
            </w:tcBorders>
          </w:tcPr>
          <w:p w14:paraId="5017B358" w14:textId="134C2ACA" w:rsidR="00A80D04" w:rsidRPr="00354554" w:rsidRDefault="008F2B71" w:rsidP="004A1C84">
            <w:pPr>
              <w:suppressAutoHyphens/>
              <w:spacing w:after="0" w:line="240" w:lineRule="auto"/>
              <w:jc w:val="both"/>
              <w:rPr>
                <w:rFonts w:ascii="Times New Roman" w:hAnsi="Times New Roman" w:cs="Times New Roman"/>
                <w:sz w:val="24"/>
                <w:szCs w:val="24"/>
              </w:rPr>
            </w:pPr>
            <w:r w:rsidRPr="00354554">
              <w:rPr>
                <w:rFonts w:ascii="Times New Roman" w:eastAsia="Calibri" w:hAnsi="Times New Roman" w:cs="Times New Roman"/>
                <w:noProof/>
                <w:sz w:val="24"/>
                <w:szCs w:val="24"/>
                <w:lang w:eastAsia="en-US"/>
              </w:rPr>
              <w:t xml:space="preserve">Fortepijono klaviatūra turi būti jautri ir informatyvi; turi būti lengva naudoti bet kokią skambinimo techniką, išgauti subtiliausius garso niuansus </w:t>
            </w:r>
          </w:p>
        </w:tc>
        <w:tc>
          <w:tcPr>
            <w:tcW w:w="1496" w:type="dxa"/>
            <w:tcBorders>
              <w:top w:val="single" w:sz="4" w:space="0" w:color="000000"/>
              <w:left w:val="single" w:sz="4" w:space="0" w:color="000000"/>
              <w:bottom w:val="single" w:sz="4" w:space="0" w:color="000000"/>
              <w:right w:val="single" w:sz="4" w:space="0" w:color="000000"/>
            </w:tcBorders>
          </w:tcPr>
          <w:p w14:paraId="3848172D" w14:textId="77777777" w:rsidR="00A80D04" w:rsidRPr="00354554" w:rsidRDefault="00A80D04" w:rsidP="004A1C84">
            <w:pPr>
              <w:suppressAutoHyphens/>
              <w:spacing w:after="0" w:line="240" w:lineRule="auto"/>
              <w:jc w:val="center"/>
              <w:rPr>
                <w:rFonts w:ascii="Times New Roman" w:hAnsi="Times New Roman" w:cs="Times New Roman"/>
                <w:sz w:val="24"/>
                <w:szCs w:val="24"/>
                <w:lang w:eastAsia="ru-RU"/>
              </w:rPr>
            </w:pPr>
          </w:p>
        </w:tc>
        <w:tc>
          <w:tcPr>
            <w:tcW w:w="1503" w:type="dxa"/>
            <w:tcBorders>
              <w:top w:val="single" w:sz="4" w:space="0" w:color="000000"/>
              <w:left w:val="single" w:sz="4" w:space="0" w:color="000000"/>
              <w:bottom w:val="single" w:sz="4" w:space="0" w:color="000000"/>
              <w:right w:val="single" w:sz="4" w:space="0" w:color="000000"/>
            </w:tcBorders>
          </w:tcPr>
          <w:p w14:paraId="40ADFBE1" w14:textId="7FF934AF" w:rsidR="00A80D04" w:rsidRPr="00354554" w:rsidRDefault="00A80D04" w:rsidP="004A1C84">
            <w:pPr>
              <w:suppressAutoHyphens/>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r>
      <w:tr w:rsidR="00354554" w:rsidRPr="00354554" w14:paraId="24C7A9D1" w14:textId="77777777" w:rsidTr="004621E9">
        <w:trPr>
          <w:trHeight w:val="582"/>
        </w:trPr>
        <w:tc>
          <w:tcPr>
            <w:tcW w:w="2122" w:type="dxa"/>
            <w:vMerge/>
            <w:tcBorders>
              <w:left w:val="single" w:sz="4" w:space="0" w:color="000000"/>
              <w:right w:val="single" w:sz="4" w:space="0" w:color="000000"/>
            </w:tcBorders>
          </w:tcPr>
          <w:p w14:paraId="62D4192B" w14:textId="77777777" w:rsidR="008F2B71" w:rsidRPr="00354554" w:rsidRDefault="008F2B71" w:rsidP="004A1C84">
            <w:pPr>
              <w:spacing w:after="0" w:line="240" w:lineRule="auto"/>
              <w:rPr>
                <w:rFonts w:ascii="Times New Roman" w:hAnsi="Times New Roman" w:cs="Times New Roman"/>
                <w:sz w:val="24"/>
                <w:szCs w:val="24"/>
              </w:rPr>
            </w:pPr>
          </w:p>
        </w:tc>
        <w:tc>
          <w:tcPr>
            <w:tcW w:w="4507" w:type="dxa"/>
            <w:tcBorders>
              <w:top w:val="single" w:sz="4" w:space="0" w:color="000000"/>
              <w:left w:val="single" w:sz="4" w:space="0" w:color="000000"/>
              <w:right w:val="single" w:sz="4" w:space="0" w:color="000000"/>
            </w:tcBorders>
          </w:tcPr>
          <w:p w14:paraId="7DD67C8E" w14:textId="6C1232EA" w:rsidR="008F2B71" w:rsidRPr="00354554" w:rsidRDefault="008F2B71" w:rsidP="004A1C84">
            <w:pPr>
              <w:suppressAutoHyphens/>
              <w:spacing w:after="0" w:line="240" w:lineRule="auto"/>
              <w:jc w:val="both"/>
              <w:rPr>
                <w:rFonts w:ascii="Times New Roman" w:hAnsi="Times New Roman" w:cs="Times New Roman"/>
                <w:sz w:val="24"/>
                <w:szCs w:val="24"/>
              </w:rPr>
            </w:pPr>
            <w:r w:rsidRPr="00354554">
              <w:rPr>
                <w:rFonts w:ascii="Times New Roman" w:hAnsi="Times New Roman" w:cs="Times New Roman"/>
                <w:sz w:val="24"/>
                <w:szCs w:val="24"/>
              </w:rPr>
              <w:t>Neslidi klavišų danga, pagaminta iš specialių aukščiausios kokybės medžiagų</w:t>
            </w:r>
          </w:p>
        </w:tc>
        <w:tc>
          <w:tcPr>
            <w:tcW w:w="1496" w:type="dxa"/>
            <w:tcBorders>
              <w:top w:val="single" w:sz="4" w:space="0" w:color="000000"/>
              <w:left w:val="single" w:sz="4" w:space="0" w:color="000000"/>
              <w:right w:val="single" w:sz="4" w:space="0" w:color="000000"/>
            </w:tcBorders>
          </w:tcPr>
          <w:p w14:paraId="2875500B" w14:textId="77777777" w:rsidR="008F2B71" w:rsidRPr="00354554" w:rsidRDefault="008F2B71" w:rsidP="004A1C84">
            <w:pPr>
              <w:suppressAutoHyphens/>
              <w:spacing w:after="0" w:line="240" w:lineRule="auto"/>
              <w:jc w:val="center"/>
              <w:rPr>
                <w:rFonts w:ascii="Times New Roman" w:hAnsi="Times New Roman" w:cs="Times New Roman"/>
                <w:sz w:val="24"/>
                <w:szCs w:val="24"/>
                <w:lang w:eastAsia="ru-RU"/>
              </w:rPr>
            </w:pPr>
          </w:p>
        </w:tc>
        <w:tc>
          <w:tcPr>
            <w:tcW w:w="1503" w:type="dxa"/>
            <w:tcBorders>
              <w:top w:val="single" w:sz="4" w:space="0" w:color="000000"/>
              <w:left w:val="single" w:sz="4" w:space="0" w:color="000000"/>
              <w:right w:val="single" w:sz="4" w:space="0" w:color="000000"/>
            </w:tcBorders>
          </w:tcPr>
          <w:p w14:paraId="378C8499" w14:textId="2BA2294A" w:rsidR="008F2B71" w:rsidRPr="00354554" w:rsidRDefault="008F2B71" w:rsidP="004A1C84">
            <w:pPr>
              <w:suppressAutoHyphens/>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r>
      <w:tr w:rsidR="00354554" w:rsidRPr="00354554" w14:paraId="50B999CA" w14:textId="77777777" w:rsidTr="004621E9">
        <w:trPr>
          <w:trHeight w:val="56"/>
        </w:trPr>
        <w:tc>
          <w:tcPr>
            <w:tcW w:w="2122" w:type="dxa"/>
            <w:tcBorders>
              <w:top w:val="single" w:sz="4" w:space="0" w:color="000000"/>
              <w:left w:val="single" w:sz="4" w:space="0" w:color="000000"/>
              <w:bottom w:val="single" w:sz="4" w:space="0" w:color="000000"/>
              <w:right w:val="single" w:sz="4" w:space="0" w:color="000000"/>
            </w:tcBorders>
          </w:tcPr>
          <w:p w14:paraId="4FFE6716" w14:textId="34E28AA8" w:rsidR="008F2B71" w:rsidRPr="00354554" w:rsidRDefault="008F2B71" w:rsidP="004A1C84">
            <w:pPr>
              <w:spacing w:after="0" w:line="240" w:lineRule="auto"/>
              <w:rPr>
                <w:rFonts w:ascii="Times New Roman" w:hAnsi="Times New Roman" w:cs="Times New Roman"/>
                <w:sz w:val="24"/>
                <w:szCs w:val="24"/>
              </w:rPr>
            </w:pPr>
            <w:r w:rsidRPr="00354554">
              <w:rPr>
                <w:rFonts w:ascii="Times New Roman" w:eastAsia="Calibri" w:hAnsi="Times New Roman" w:cs="Times New Roman"/>
                <w:i/>
                <w:iCs/>
                <w:noProof/>
                <w:sz w:val="24"/>
                <w:szCs w:val="24"/>
                <w:lang w:eastAsia="en-US"/>
              </w:rPr>
              <w:t>Klavišų danga</w:t>
            </w:r>
          </w:p>
        </w:tc>
        <w:tc>
          <w:tcPr>
            <w:tcW w:w="4507" w:type="dxa"/>
            <w:tcBorders>
              <w:top w:val="single" w:sz="4" w:space="0" w:color="000000"/>
              <w:left w:val="single" w:sz="4" w:space="0" w:color="000000"/>
              <w:bottom w:val="single" w:sz="4" w:space="0" w:color="000000"/>
              <w:right w:val="single" w:sz="4" w:space="0" w:color="000000"/>
            </w:tcBorders>
          </w:tcPr>
          <w:p w14:paraId="6DC59194" w14:textId="1138294E" w:rsidR="008F2B71" w:rsidRPr="00354554" w:rsidRDefault="008F2B71" w:rsidP="004A1C84">
            <w:pPr>
              <w:spacing w:after="0" w:line="240" w:lineRule="auto"/>
              <w:jc w:val="both"/>
              <w:rPr>
                <w:rFonts w:ascii="Times New Roman" w:hAnsi="Times New Roman" w:cs="Times New Roman"/>
                <w:sz w:val="24"/>
                <w:szCs w:val="24"/>
              </w:rPr>
            </w:pPr>
            <w:r w:rsidRPr="00354554">
              <w:rPr>
                <w:rFonts w:ascii="Times New Roman" w:eastAsia="Calibri" w:hAnsi="Times New Roman" w:cs="Times New Roman"/>
                <w:noProof/>
                <w:sz w:val="24"/>
                <w:szCs w:val="24"/>
                <w:lang w:eastAsia="en-US"/>
              </w:rPr>
              <w:t>Juodi ir balti klavišai turi būti ilgaamžiai, nenusidėvintys, neslidūs, atsparūs dėmėms ir drėgmei – padengti specialia danga, apsaugančia nuo slydimo suprakaitavus pirštams</w:t>
            </w:r>
          </w:p>
        </w:tc>
        <w:tc>
          <w:tcPr>
            <w:tcW w:w="1496" w:type="dxa"/>
            <w:tcBorders>
              <w:top w:val="single" w:sz="4" w:space="0" w:color="000000"/>
              <w:left w:val="single" w:sz="4" w:space="0" w:color="000000"/>
              <w:bottom w:val="single" w:sz="4" w:space="0" w:color="000000"/>
              <w:right w:val="single" w:sz="4" w:space="0" w:color="000000"/>
            </w:tcBorders>
          </w:tcPr>
          <w:p w14:paraId="4F6ECBC2" w14:textId="1FE738A8" w:rsidR="008F2B71" w:rsidRPr="00354554" w:rsidRDefault="00CC6CD0"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688BA804" w14:textId="04753643" w:rsidR="008F2B71" w:rsidRPr="00354554" w:rsidRDefault="008F2B71" w:rsidP="004A1C84">
            <w:pPr>
              <w:spacing w:after="0" w:line="240" w:lineRule="auto"/>
              <w:jc w:val="center"/>
              <w:rPr>
                <w:rFonts w:ascii="Times New Roman" w:hAnsi="Times New Roman" w:cs="Times New Roman"/>
                <w:sz w:val="24"/>
                <w:szCs w:val="24"/>
                <w:highlight w:val="yellow"/>
                <w:lang w:eastAsia="ru-RU"/>
              </w:rPr>
            </w:pPr>
          </w:p>
        </w:tc>
      </w:tr>
      <w:tr w:rsidR="00354554" w:rsidRPr="00354554" w14:paraId="0E078D65" w14:textId="0E64C4B2" w:rsidTr="004621E9">
        <w:trPr>
          <w:trHeight w:val="56"/>
        </w:trPr>
        <w:tc>
          <w:tcPr>
            <w:tcW w:w="2122" w:type="dxa"/>
            <w:tcBorders>
              <w:top w:val="single" w:sz="4" w:space="0" w:color="000000"/>
              <w:left w:val="single" w:sz="4" w:space="0" w:color="000000"/>
              <w:bottom w:val="single" w:sz="4" w:space="0" w:color="000000"/>
              <w:right w:val="single" w:sz="4" w:space="0" w:color="000000"/>
            </w:tcBorders>
            <w:hideMark/>
          </w:tcPr>
          <w:p w14:paraId="69E00784" w14:textId="77777777" w:rsidR="00FF2BBF" w:rsidRPr="00354554" w:rsidRDefault="00FF2BBF" w:rsidP="004A1C84">
            <w:pPr>
              <w:spacing w:after="0" w:line="240" w:lineRule="auto"/>
              <w:rPr>
                <w:rFonts w:ascii="Times New Roman" w:hAnsi="Times New Roman" w:cs="Times New Roman"/>
                <w:i/>
                <w:iCs/>
                <w:sz w:val="24"/>
                <w:szCs w:val="24"/>
              </w:rPr>
            </w:pPr>
            <w:r w:rsidRPr="00354554">
              <w:rPr>
                <w:rFonts w:ascii="Times New Roman" w:hAnsi="Times New Roman" w:cs="Times New Roman"/>
                <w:i/>
                <w:iCs/>
                <w:sz w:val="24"/>
                <w:szCs w:val="24"/>
              </w:rPr>
              <w:t>Klaviatūros rėmas</w:t>
            </w:r>
          </w:p>
        </w:tc>
        <w:tc>
          <w:tcPr>
            <w:tcW w:w="4507" w:type="dxa"/>
            <w:tcBorders>
              <w:top w:val="single" w:sz="4" w:space="0" w:color="000000"/>
              <w:left w:val="single" w:sz="4" w:space="0" w:color="000000"/>
              <w:bottom w:val="single" w:sz="4" w:space="0" w:color="000000"/>
              <w:right w:val="single" w:sz="4" w:space="0" w:color="000000"/>
            </w:tcBorders>
            <w:hideMark/>
          </w:tcPr>
          <w:p w14:paraId="528D33C2" w14:textId="7721F75B" w:rsidR="00FF2BBF" w:rsidRPr="00354554" w:rsidRDefault="00FF2BBF" w:rsidP="004A1C84">
            <w:pPr>
              <w:spacing w:after="0" w:line="240" w:lineRule="auto"/>
              <w:jc w:val="both"/>
              <w:rPr>
                <w:rFonts w:ascii="Times New Roman" w:hAnsi="Times New Roman" w:cs="Times New Roman"/>
                <w:sz w:val="24"/>
                <w:szCs w:val="24"/>
              </w:rPr>
            </w:pPr>
            <w:r w:rsidRPr="00354554">
              <w:rPr>
                <w:rFonts w:ascii="Times New Roman" w:hAnsi="Times New Roman" w:cs="Times New Roman"/>
                <w:sz w:val="24"/>
                <w:szCs w:val="24"/>
              </w:rPr>
              <w:t>Tvirtas, kad užtikrin</w:t>
            </w:r>
            <w:r w:rsidR="00A80D04" w:rsidRPr="00354554">
              <w:rPr>
                <w:rFonts w:ascii="Times New Roman" w:hAnsi="Times New Roman" w:cs="Times New Roman"/>
                <w:sz w:val="24"/>
                <w:szCs w:val="24"/>
              </w:rPr>
              <w:t>tų mechanikos stabilumą grojant</w:t>
            </w:r>
          </w:p>
        </w:tc>
        <w:tc>
          <w:tcPr>
            <w:tcW w:w="1496" w:type="dxa"/>
            <w:tcBorders>
              <w:top w:val="single" w:sz="4" w:space="0" w:color="000000"/>
              <w:left w:val="single" w:sz="4" w:space="0" w:color="000000"/>
              <w:bottom w:val="single" w:sz="4" w:space="0" w:color="000000"/>
              <w:right w:val="single" w:sz="4" w:space="0" w:color="000000"/>
            </w:tcBorders>
          </w:tcPr>
          <w:p w14:paraId="543DD91D" w14:textId="2C3E9881" w:rsidR="00FF2BBF" w:rsidRPr="00354554" w:rsidRDefault="00FF2BBF" w:rsidP="004A1C84">
            <w:pPr>
              <w:spacing w:after="0" w:line="240" w:lineRule="auto"/>
              <w:jc w:val="center"/>
              <w:rPr>
                <w:rFonts w:ascii="Times New Roman" w:hAnsi="Times New Roman" w:cs="Times New Roman"/>
                <w:sz w:val="24"/>
                <w:szCs w:val="24"/>
              </w:rPr>
            </w:pPr>
          </w:p>
        </w:tc>
        <w:tc>
          <w:tcPr>
            <w:tcW w:w="1503" w:type="dxa"/>
            <w:tcBorders>
              <w:top w:val="single" w:sz="4" w:space="0" w:color="000000"/>
              <w:left w:val="single" w:sz="4" w:space="0" w:color="000000"/>
              <w:bottom w:val="single" w:sz="4" w:space="0" w:color="000000"/>
              <w:right w:val="single" w:sz="4" w:space="0" w:color="000000"/>
            </w:tcBorders>
          </w:tcPr>
          <w:p w14:paraId="4ADA8E12" w14:textId="1092C4E5" w:rsidR="00FF2BBF" w:rsidRPr="00354554" w:rsidRDefault="00A80D04"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r>
      <w:tr w:rsidR="00354554" w:rsidRPr="00354554" w14:paraId="30022670" w14:textId="4EB4DFE1" w:rsidTr="004621E9">
        <w:tc>
          <w:tcPr>
            <w:tcW w:w="96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FD9734" w14:textId="04603DF1" w:rsidR="005C7F0A" w:rsidRPr="00354554" w:rsidRDefault="004621E9" w:rsidP="004A1C84">
            <w:pPr>
              <w:spacing w:after="0" w:line="240" w:lineRule="auto"/>
              <w:jc w:val="center"/>
              <w:rPr>
                <w:rFonts w:ascii="Times New Roman" w:hAnsi="Times New Roman" w:cs="Times New Roman"/>
                <w:b/>
                <w:bCs/>
                <w:sz w:val="24"/>
                <w:szCs w:val="24"/>
              </w:rPr>
            </w:pPr>
            <w:r w:rsidRPr="00354554">
              <w:rPr>
                <w:rFonts w:ascii="Times New Roman" w:eastAsia="Calibri" w:hAnsi="Times New Roman" w:cs="Times New Roman"/>
                <w:b/>
                <w:bCs/>
                <w:noProof/>
                <w:sz w:val="24"/>
                <w:szCs w:val="24"/>
                <w:lang w:eastAsia="en-US"/>
              </w:rPr>
              <w:t>Kitos charakteristikos</w:t>
            </w:r>
          </w:p>
        </w:tc>
      </w:tr>
      <w:tr w:rsidR="00354554" w:rsidRPr="00354554" w14:paraId="0E780403" w14:textId="1A9E5EEA" w:rsidTr="004621E9">
        <w:tc>
          <w:tcPr>
            <w:tcW w:w="2122" w:type="dxa"/>
            <w:tcBorders>
              <w:top w:val="single" w:sz="4" w:space="0" w:color="000000"/>
              <w:left w:val="single" w:sz="4" w:space="0" w:color="000000"/>
              <w:bottom w:val="single" w:sz="4" w:space="0" w:color="000000"/>
              <w:right w:val="single" w:sz="4" w:space="0" w:color="000000"/>
            </w:tcBorders>
          </w:tcPr>
          <w:p w14:paraId="5D8950E8" w14:textId="519ACA10" w:rsidR="00FF2BBF" w:rsidRPr="00354554" w:rsidRDefault="004621E9" w:rsidP="004A1C84">
            <w:pPr>
              <w:spacing w:after="0" w:line="240" w:lineRule="auto"/>
              <w:rPr>
                <w:rFonts w:ascii="Times New Roman" w:hAnsi="Times New Roman" w:cs="Times New Roman"/>
                <w:sz w:val="24"/>
                <w:szCs w:val="24"/>
              </w:rPr>
            </w:pPr>
            <w:r w:rsidRPr="00354554">
              <w:rPr>
                <w:rFonts w:ascii="Times New Roman" w:eastAsia="Calibri" w:hAnsi="Times New Roman" w:cs="Times New Roman"/>
                <w:i/>
                <w:iCs/>
                <w:noProof/>
                <w:sz w:val="24"/>
                <w:szCs w:val="24"/>
                <w:lang w:eastAsia="en-US"/>
              </w:rPr>
              <w:t>Slopintuvų pedalų sistema (slopiklių mechanizmas)</w:t>
            </w:r>
          </w:p>
        </w:tc>
        <w:tc>
          <w:tcPr>
            <w:tcW w:w="4507" w:type="dxa"/>
            <w:tcBorders>
              <w:top w:val="single" w:sz="4" w:space="0" w:color="000000"/>
              <w:left w:val="single" w:sz="4" w:space="0" w:color="000000"/>
              <w:bottom w:val="single" w:sz="4" w:space="0" w:color="000000"/>
              <w:right w:val="single" w:sz="4" w:space="0" w:color="000000"/>
            </w:tcBorders>
          </w:tcPr>
          <w:p w14:paraId="77F1B34A" w14:textId="418C82A3" w:rsidR="00FF2BBF" w:rsidRPr="00354554" w:rsidRDefault="00A80D04" w:rsidP="004A1C84">
            <w:pPr>
              <w:spacing w:after="0" w:line="240" w:lineRule="auto"/>
              <w:jc w:val="both"/>
              <w:rPr>
                <w:rFonts w:ascii="Times New Roman" w:hAnsi="Times New Roman" w:cs="Times New Roman"/>
                <w:sz w:val="24"/>
                <w:szCs w:val="24"/>
              </w:rPr>
            </w:pPr>
            <w:r w:rsidRPr="00354554">
              <w:rPr>
                <w:rFonts w:ascii="Times New Roman" w:hAnsi="Times New Roman" w:cs="Times New Roman"/>
                <w:sz w:val="24"/>
                <w:szCs w:val="24"/>
              </w:rPr>
              <w:t>Turi dirbti sinchroniškai</w:t>
            </w:r>
          </w:p>
        </w:tc>
        <w:tc>
          <w:tcPr>
            <w:tcW w:w="1496" w:type="dxa"/>
            <w:tcBorders>
              <w:top w:val="single" w:sz="4" w:space="0" w:color="000000"/>
              <w:left w:val="single" w:sz="4" w:space="0" w:color="000000"/>
              <w:bottom w:val="single" w:sz="4" w:space="0" w:color="000000"/>
              <w:right w:val="single" w:sz="4" w:space="0" w:color="000000"/>
            </w:tcBorders>
          </w:tcPr>
          <w:p w14:paraId="79CCDFC7" w14:textId="77777777" w:rsidR="00FF2BBF" w:rsidRPr="00354554" w:rsidRDefault="00FF2BBF" w:rsidP="004A1C84">
            <w:pPr>
              <w:spacing w:after="0" w:line="240" w:lineRule="auto"/>
              <w:jc w:val="center"/>
              <w:rPr>
                <w:rFonts w:ascii="Times New Roman" w:hAnsi="Times New Roman" w:cs="Times New Roman"/>
                <w:sz w:val="24"/>
                <w:szCs w:val="24"/>
              </w:rPr>
            </w:pPr>
          </w:p>
        </w:tc>
        <w:tc>
          <w:tcPr>
            <w:tcW w:w="1503" w:type="dxa"/>
            <w:tcBorders>
              <w:top w:val="single" w:sz="4" w:space="0" w:color="000000"/>
              <w:left w:val="single" w:sz="4" w:space="0" w:color="000000"/>
              <w:bottom w:val="single" w:sz="4" w:space="0" w:color="000000"/>
              <w:right w:val="single" w:sz="4" w:space="0" w:color="000000"/>
            </w:tcBorders>
          </w:tcPr>
          <w:p w14:paraId="48ABF340" w14:textId="1A26E95C" w:rsidR="00FF2BBF" w:rsidRPr="00354554" w:rsidRDefault="005C7F0A"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r>
      <w:tr w:rsidR="00354554" w:rsidRPr="00354554" w14:paraId="3CB2655C" w14:textId="079FB997" w:rsidTr="004621E9">
        <w:tc>
          <w:tcPr>
            <w:tcW w:w="2122" w:type="dxa"/>
            <w:tcBorders>
              <w:top w:val="single" w:sz="4" w:space="0" w:color="000000"/>
              <w:left w:val="single" w:sz="4" w:space="0" w:color="000000"/>
              <w:bottom w:val="single" w:sz="4" w:space="0" w:color="000000"/>
              <w:right w:val="single" w:sz="4" w:space="0" w:color="000000"/>
            </w:tcBorders>
          </w:tcPr>
          <w:p w14:paraId="2D3EB0BF" w14:textId="77777777" w:rsidR="00FF2BBF" w:rsidRPr="00354554" w:rsidRDefault="00FF2BBF" w:rsidP="004A1C84">
            <w:pPr>
              <w:spacing w:after="0" w:line="240" w:lineRule="auto"/>
              <w:rPr>
                <w:rFonts w:ascii="Times New Roman" w:hAnsi="Times New Roman" w:cs="Times New Roman"/>
                <w:i/>
                <w:iCs/>
                <w:sz w:val="24"/>
                <w:szCs w:val="24"/>
              </w:rPr>
            </w:pPr>
            <w:r w:rsidRPr="00354554">
              <w:rPr>
                <w:rFonts w:ascii="Times New Roman" w:hAnsi="Times New Roman" w:cs="Times New Roman"/>
                <w:i/>
                <w:iCs/>
                <w:sz w:val="24"/>
                <w:szCs w:val="24"/>
              </w:rPr>
              <w:lastRenderedPageBreak/>
              <w:t>Dėvėjimosi savybės</w:t>
            </w:r>
          </w:p>
        </w:tc>
        <w:tc>
          <w:tcPr>
            <w:tcW w:w="4507" w:type="dxa"/>
            <w:tcBorders>
              <w:top w:val="single" w:sz="4" w:space="0" w:color="000000"/>
              <w:left w:val="single" w:sz="4" w:space="0" w:color="000000"/>
              <w:bottom w:val="single" w:sz="4" w:space="0" w:color="000000"/>
              <w:right w:val="single" w:sz="4" w:space="0" w:color="000000"/>
            </w:tcBorders>
          </w:tcPr>
          <w:p w14:paraId="590F5811" w14:textId="6D1B4B9A" w:rsidR="00FF2BBF" w:rsidRPr="00354554" w:rsidRDefault="004621E9" w:rsidP="004A1C84">
            <w:pPr>
              <w:spacing w:after="0" w:line="240" w:lineRule="auto"/>
              <w:jc w:val="both"/>
              <w:rPr>
                <w:rFonts w:ascii="Times New Roman" w:hAnsi="Times New Roman" w:cs="Times New Roman"/>
                <w:sz w:val="24"/>
                <w:szCs w:val="24"/>
              </w:rPr>
            </w:pPr>
            <w:r w:rsidRPr="00354554">
              <w:rPr>
                <w:rFonts w:ascii="Times New Roman" w:eastAsia="Calibri" w:hAnsi="Times New Roman" w:cs="Times New Roman"/>
                <w:noProof/>
                <w:sz w:val="24"/>
                <w:szCs w:val="24"/>
                <w:lang w:eastAsia="en-US"/>
              </w:rPr>
              <w:t>Pagamintas iš ilgaamžių ir atsparių dėvėjimuisi medžiagų</w:t>
            </w:r>
          </w:p>
        </w:tc>
        <w:tc>
          <w:tcPr>
            <w:tcW w:w="1496" w:type="dxa"/>
            <w:tcBorders>
              <w:top w:val="single" w:sz="4" w:space="0" w:color="000000"/>
              <w:left w:val="single" w:sz="4" w:space="0" w:color="000000"/>
              <w:bottom w:val="single" w:sz="4" w:space="0" w:color="000000"/>
              <w:right w:val="single" w:sz="4" w:space="0" w:color="000000"/>
            </w:tcBorders>
          </w:tcPr>
          <w:p w14:paraId="1874F998" w14:textId="5AB143FB" w:rsidR="00FF2BBF" w:rsidRPr="00354554" w:rsidRDefault="005C7F0A"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159F9972" w14:textId="77777777" w:rsidR="00FF2BBF" w:rsidRPr="00354554" w:rsidRDefault="00FF2BBF" w:rsidP="004A1C84">
            <w:pPr>
              <w:spacing w:after="0" w:line="240" w:lineRule="auto"/>
              <w:jc w:val="center"/>
              <w:rPr>
                <w:rFonts w:ascii="Times New Roman" w:hAnsi="Times New Roman" w:cs="Times New Roman"/>
                <w:sz w:val="24"/>
                <w:szCs w:val="24"/>
              </w:rPr>
            </w:pPr>
          </w:p>
        </w:tc>
      </w:tr>
      <w:tr w:rsidR="00354554" w:rsidRPr="00354554" w14:paraId="1D39DB4D" w14:textId="26CE57BF" w:rsidTr="004621E9">
        <w:tc>
          <w:tcPr>
            <w:tcW w:w="96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09101B" w14:textId="5A7FF8CF" w:rsidR="005C7F0A" w:rsidRPr="00354554" w:rsidRDefault="004621E9" w:rsidP="004A1C84">
            <w:pPr>
              <w:spacing w:after="0" w:line="240" w:lineRule="auto"/>
              <w:jc w:val="center"/>
              <w:rPr>
                <w:rFonts w:ascii="Times New Roman" w:hAnsi="Times New Roman" w:cs="Times New Roman"/>
                <w:sz w:val="24"/>
                <w:szCs w:val="24"/>
              </w:rPr>
            </w:pPr>
            <w:r w:rsidRPr="00354554">
              <w:rPr>
                <w:rFonts w:ascii="Times New Roman" w:eastAsia="Calibri" w:hAnsi="Times New Roman" w:cs="Times New Roman"/>
                <w:b/>
                <w:bCs/>
                <w:noProof/>
                <w:sz w:val="24"/>
                <w:szCs w:val="24"/>
                <w:lang w:eastAsia="en-US"/>
              </w:rPr>
              <w:t>Papildoma įranga prie fortepijono</w:t>
            </w:r>
          </w:p>
        </w:tc>
      </w:tr>
      <w:tr w:rsidR="00354554" w:rsidRPr="00354554" w14:paraId="2D658B8A" w14:textId="57BBADDB" w:rsidTr="004621E9">
        <w:tc>
          <w:tcPr>
            <w:tcW w:w="2122" w:type="dxa"/>
            <w:tcBorders>
              <w:top w:val="single" w:sz="4" w:space="0" w:color="000000"/>
              <w:left w:val="single" w:sz="4" w:space="0" w:color="000000"/>
              <w:bottom w:val="single" w:sz="4" w:space="0" w:color="000000"/>
              <w:right w:val="single" w:sz="4" w:space="0" w:color="000000"/>
            </w:tcBorders>
          </w:tcPr>
          <w:p w14:paraId="4F9EE58C" w14:textId="586B2815" w:rsidR="00FF2BBF" w:rsidRPr="00354554" w:rsidRDefault="004621E9" w:rsidP="004A1C84">
            <w:pPr>
              <w:spacing w:after="0" w:line="240" w:lineRule="auto"/>
              <w:rPr>
                <w:rFonts w:ascii="Times New Roman" w:hAnsi="Times New Roman" w:cs="Times New Roman"/>
                <w:sz w:val="24"/>
                <w:szCs w:val="24"/>
              </w:rPr>
            </w:pPr>
            <w:r w:rsidRPr="00354554">
              <w:rPr>
                <w:rFonts w:ascii="Times New Roman" w:eastAsia="Calibri" w:hAnsi="Times New Roman" w:cs="Times New Roman"/>
                <w:i/>
                <w:iCs/>
                <w:noProof/>
                <w:sz w:val="24"/>
                <w:szCs w:val="24"/>
                <w:lang w:eastAsia="en-US"/>
              </w:rPr>
              <w:t>Fortepijono kėdutė</w:t>
            </w:r>
          </w:p>
        </w:tc>
        <w:tc>
          <w:tcPr>
            <w:tcW w:w="4507" w:type="dxa"/>
            <w:tcBorders>
              <w:top w:val="single" w:sz="4" w:space="0" w:color="000000"/>
              <w:left w:val="single" w:sz="4" w:space="0" w:color="000000"/>
              <w:bottom w:val="single" w:sz="4" w:space="0" w:color="000000"/>
              <w:right w:val="single" w:sz="4" w:space="0" w:color="000000"/>
            </w:tcBorders>
          </w:tcPr>
          <w:p w14:paraId="1DD91E21" w14:textId="4B30425D" w:rsidR="00FF2BBF" w:rsidRPr="00354554" w:rsidRDefault="00FF2BBF" w:rsidP="004A1C84">
            <w:pPr>
              <w:spacing w:after="0" w:line="240" w:lineRule="auto"/>
              <w:jc w:val="both"/>
              <w:rPr>
                <w:rFonts w:ascii="Times New Roman" w:hAnsi="Times New Roman" w:cs="Times New Roman"/>
                <w:sz w:val="24"/>
                <w:szCs w:val="24"/>
              </w:rPr>
            </w:pPr>
            <w:r w:rsidRPr="00354554">
              <w:rPr>
                <w:rFonts w:ascii="Times New Roman" w:hAnsi="Times New Roman" w:cs="Times New Roman"/>
                <w:sz w:val="24"/>
                <w:szCs w:val="24"/>
              </w:rPr>
              <w:t>Turi būti pneumatinė, juodos spalvos</w:t>
            </w:r>
          </w:p>
        </w:tc>
        <w:tc>
          <w:tcPr>
            <w:tcW w:w="1496" w:type="dxa"/>
            <w:tcBorders>
              <w:top w:val="single" w:sz="4" w:space="0" w:color="000000"/>
              <w:left w:val="single" w:sz="4" w:space="0" w:color="000000"/>
              <w:bottom w:val="single" w:sz="4" w:space="0" w:color="000000"/>
              <w:right w:val="single" w:sz="4" w:space="0" w:color="000000"/>
            </w:tcBorders>
          </w:tcPr>
          <w:p w14:paraId="57B95403" w14:textId="42EE80CA" w:rsidR="00FF2BBF" w:rsidRPr="00354554" w:rsidRDefault="005C7F0A"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5609806D" w14:textId="77777777" w:rsidR="00FF2BBF" w:rsidRPr="00354554" w:rsidRDefault="00FF2BBF" w:rsidP="004A1C84">
            <w:pPr>
              <w:spacing w:after="0" w:line="240" w:lineRule="auto"/>
              <w:jc w:val="center"/>
              <w:rPr>
                <w:rFonts w:ascii="Times New Roman" w:hAnsi="Times New Roman" w:cs="Times New Roman"/>
                <w:sz w:val="24"/>
                <w:szCs w:val="24"/>
              </w:rPr>
            </w:pPr>
          </w:p>
        </w:tc>
      </w:tr>
      <w:tr w:rsidR="00354554" w:rsidRPr="00354554" w14:paraId="187F3D21" w14:textId="4590B595" w:rsidTr="004621E9">
        <w:tc>
          <w:tcPr>
            <w:tcW w:w="2122" w:type="dxa"/>
            <w:tcBorders>
              <w:top w:val="single" w:sz="4" w:space="0" w:color="000000"/>
              <w:left w:val="single" w:sz="4" w:space="0" w:color="000000"/>
              <w:bottom w:val="single" w:sz="4" w:space="0" w:color="000000"/>
              <w:right w:val="single" w:sz="4" w:space="0" w:color="000000"/>
            </w:tcBorders>
          </w:tcPr>
          <w:p w14:paraId="2BA705C6" w14:textId="6F53913D" w:rsidR="00FF2BBF" w:rsidRPr="00354554" w:rsidRDefault="004621E9" w:rsidP="004A1C84">
            <w:pPr>
              <w:spacing w:after="0" w:line="240" w:lineRule="auto"/>
              <w:rPr>
                <w:rFonts w:ascii="Times New Roman" w:hAnsi="Times New Roman" w:cs="Times New Roman"/>
                <w:sz w:val="24"/>
                <w:szCs w:val="24"/>
              </w:rPr>
            </w:pPr>
            <w:r w:rsidRPr="00354554">
              <w:rPr>
                <w:rFonts w:ascii="Times New Roman" w:eastAsia="Calibri" w:hAnsi="Times New Roman" w:cs="Times New Roman"/>
                <w:i/>
                <w:iCs/>
                <w:noProof/>
                <w:sz w:val="24"/>
                <w:szCs w:val="24"/>
                <w:lang w:eastAsia="en-US"/>
              </w:rPr>
              <w:t>Fortepijono užvalkalas</w:t>
            </w:r>
          </w:p>
        </w:tc>
        <w:tc>
          <w:tcPr>
            <w:tcW w:w="4507" w:type="dxa"/>
            <w:tcBorders>
              <w:top w:val="single" w:sz="4" w:space="0" w:color="000000"/>
              <w:left w:val="single" w:sz="4" w:space="0" w:color="000000"/>
              <w:bottom w:val="single" w:sz="4" w:space="0" w:color="000000"/>
              <w:right w:val="single" w:sz="4" w:space="0" w:color="000000"/>
            </w:tcBorders>
          </w:tcPr>
          <w:p w14:paraId="41955233" w14:textId="156EC786" w:rsidR="00FF2BBF" w:rsidRPr="00354554" w:rsidRDefault="00FF2BBF" w:rsidP="004A1C84">
            <w:pPr>
              <w:spacing w:after="0" w:line="240" w:lineRule="auto"/>
              <w:jc w:val="both"/>
              <w:rPr>
                <w:rFonts w:ascii="Times New Roman" w:hAnsi="Times New Roman" w:cs="Times New Roman"/>
                <w:sz w:val="24"/>
                <w:szCs w:val="24"/>
              </w:rPr>
            </w:pPr>
            <w:r w:rsidRPr="00354554">
              <w:rPr>
                <w:rFonts w:ascii="Times New Roman" w:hAnsi="Times New Roman" w:cs="Times New Roman"/>
                <w:sz w:val="24"/>
                <w:szCs w:val="24"/>
              </w:rPr>
              <w:t>Turi būti</w:t>
            </w:r>
            <w:r w:rsidR="005B32BC" w:rsidRPr="00354554">
              <w:rPr>
                <w:rFonts w:ascii="Times New Roman" w:hAnsi="Times New Roman" w:cs="Times New Roman"/>
                <w:sz w:val="24"/>
                <w:szCs w:val="24"/>
              </w:rPr>
              <w:t xml:space="preserve"> juodos spalvos</w:t>
            </w:r>
          </w:p>
        </w:tc>
        <w:tc>
          <w:tcPr>
            <w:tcW w:w="1496" w:type="dxa"/>
            <w:tcBorders>
              <w:top w:val="single" w:sz="4" w:space="0" w:color="000000"/>
              <w:left w:val="single" w:sz="4" w:space="0" w:color="000000"/>
              <w:bottom w:val="single" w:sz="4" w:space="0" w:color="000000"/>
              <w:right w:val="single" w:sz="4" w:space="0" w:color="000000"/>
            </w:tcBorders>
          </w:tcPr>
          <w:p w14:paraId="489A6336" w14:textId="0900CA1A" w:rsidR="00FF2BBF" w:rsidRPr="00354554" w:rsidRDefault="005C7F0A"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5B92E2C1" w14:textId="77777777" w:rsidR="00FF2BBF" w:rsidRPr="00354554" w:rsidRDefault="00FF2BBF" w:rsidP="004A1C84">
            <w:pPr>
              <w:spacing w:after="0" w:line="240" w:lineRule="auto"/>
              <w:jc w:val="center"/>
              <w:rPr>
                <w:rFonts w:ascii="Times New Roman" w:hAnsi="Times New Roman" w:cs="Times New Roman"/>
                <w:sz w:val="24"/>
                <w:szCs w:val="24"/>
              </w:rPr>
            </w:pPr>
          </w:p>
        </w:tc>
      </w:tr>
      <w:tr w:rsidR="00354554" w:rsidRPr="00354554" w14:paraId="4111B914" w14:textId="2D11E6D9" w:rsidTr="004621E9">
        <w:tc>
          <w:tcPr>
            <w:tcW w:w="96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D1D96B" w14:textId="5570441B" w:rsidR="005C7F0A" w:rsidRPr="00354554" w:rsidRDefault="004621E9" w:rsidP="004A1C84">
            <w:pPr>
              <w:spacing w:after="0" w:line="240" w:lineRule="auto"/>
              <w:jc w:val="center"/>
              <w:rPr>
                <w:rFonts w:ascii="Times New Roman" w:hAnsi="Times New Roman" w:cs="Times New Roman"/>
                <w:sz w:val="24"/>
                <w:szCs w:val="24"/>
              </w:rPr>
            </w:pPr>
            <w:r w:rsidRPr="00354554">
              <w:rPr>
                <w:rFonts w:ascii="Times New Roman" w:eastAsia="Calibri" w:hAnsi="Times New Roman" w:cs="Times New Roman"/>
                <w:b/>
                <w:bCs/>
                <w:noProof/>
                <w:sz w:val="24"/>
                <w:szCs w:val="24"/>
                <w:lang w:eastAsia="en-US"/>
              </w:rPr>
              <w:t>Garantija, pristatymas ir paruošimas</w:t>
            </w:r>
          </w:p>
        </w:tc>
      </w:tr>
      <w:tr w:rsidR="00FF2BBF" w:rsidRPr="00354554" w14:paraId="264FC810" w14:textId="678E9564" w:rsidTr="004621E9">
        <w:tc>
          <w:tcPr>
            <w:tcW w:w="2122" w:type="dxa"/>
            <w:tcBorders>
              <w:top w:val="single" w:sz="4" w:space="0" w:color="000000"/>
              <w:left w:val="single" w:sz="4" w:space="0" w:color="000000"/>
              <w:bottom w:val="single" w:sz="4" w:space="0" w:color="000000"/>
              <w:right w:val="single" w:sz="4" w:space="0" w:color="000000"/>
            </w:tcBorders>
          </w:tcPr>
          <w:p w14:paraId="5FF61705" w14:textId="34395001" w:rsidR="00FF2BBF" w:rsidRPr="00354554" w:rsidRDefault="004621E9" w:rsidP="004A1C84">
            <w:pPr>
              <w:spacing w:after="0" w:line="240" w:lineRule="auto"/>
              <w:rPr>
                <w:rFonts w:ascii="Times New Roman" w:hAnsi="Times New Roman" w:cs="Times New Roman"/>
                <w:sz w:val="24"/>
                <w:szCs w:val="24"/>
              </w:rPr>
            </w:pPr>
            <w:r w:rsidRPr="00354554">
              <w:rPr>
                <w:rFonts w:ascii="Times New Roman" w:eastAsia="Calibri" w:hAnsi="Times New Roman" w:cs="Times New Roman"/>
                <w:i/>
                <w:iCs/>
                <w:noProof/>
                <w:sz w:val="24"/>
                <w:szCs w:val="24"/>
                <w:lang w:eastAsia="en-US"/>
              </w:rPr>
              <w:t>Garantija</w:t>
            </w:r>
          </w:p>
        </w:tc>
        <w:tc>
          <w:tcPr>
            <w:tcW w:w="4507" w:type="dxa"/>
            <w:tcBorders>
              <w:top w:val="single" w:sz="4" w:space="0" w:color="000000"/>
              <w:left w:val="single" w:sz="4" w:space="0" w:color="000000"/>
              <w:bottom w:val="single" w:sz="4" w:space="0" w:color="000000"/>
              <w:right w:val="single" w:sz="4" w:space="0" w:color="000000"/>
            </w:tcBorders>
          </w:tcPr>
          <w:p w14:paraId="7EDE0416" w14:textId="5E8EE5F8" w:rsidR="00FF2BBF" w:rsidRPr="00354554" w:rsidRDefault="004621E9" w:rsidP="004A1C84">
            <w:pPr>
              <w:spacing w:after="0" w:line="240" w:lineRule="auto"/>
              <w:jc w:val="both"/>
              <w:rPr>
                <w:rFonts w:ascii="Times New Roman" w:hAnsi="Times New Roman" w:cs="Times New Roman"/>
                <w:sz w:val="24"/>
                <w:szCs w:val="24"/>
              </w:rPr>
            </w:pPr>
            <w:r w:rsidRPr="00354554">
              <w:rPr>
                <w:rFonts w:ascii="Times New Roman" w:eastAsia="Calibri" w:hAnsi="Times New Roman" w:cs="Times New Roman"/>
                <w:noProof/>
                <w:sz w:val="24"/>
                <w:szCs w:val="24"/>
                <w:lang w:eastAsia="en-US"/>
              </w:rPr>
              <w:t>Fortepijonui turi būti suteikta ne trumpesnė kaip 5 (penkerių) metų gamintojo garantija fortepijono funkcijų atlikimui, mechanikos, dekos</w:t>
            </w:r>
            <w:r w:rsidR="00F740A7" w:rsidRPr="00354554">
              <w:rPr>
                <w:rFonts w:ascii="Times New Roman" w:eastAsia="Calibri" w:hAnsi="Times New Roman" w:cs="Times New Roman"/>
                <w:noProof/>
                <w:sz w:val="24"/>
                <w:szCs w:val="24"/>
                <w:lang w:eastAsia="en-US"/>
              </w:rPr>
              <w:t xml:space="preserve"> (rezonuojamosios plokštės)</w:t>
            </w:r>
            <w:r w:rsidRPr="00354554">
              <w:rPr>
                <w:rFonts w:ascii="Times New Roman" w:eastAsia="Calibri" w:hAnsi="Times New Roman" w:cs="Times New Roman"/>
                <w:noProof/>
                <w:sz w:val="24"/>
                <w:szCs w:val="24"/>
                <w:lang w:eastAsia="en-US"/>
              </w:rPr>
              <w:t xml:space="preserve"> ir korpuso patvarumui. Instrumentas privalo turėti gamintojo suteiktą 5-erių metų garantiją, skaičiuojant nuo pardavimo dienos. Tiekėjas turi turėti įgaliojimus iš gamintojo instrumento garantiniam aptarnavimui. Garantijos metu </w:t>
            </w:r>
            <w:r w:rsidR="00C81295" w:rsidRPr="00354554">
              <w:rPr>
                <w:rFonts w:ascii="Times New Roman" w:eastAsia="Calibri" w:hAnsi="Times New Roman" w:cs="Times New Roman"/>
                <w:noProof/>
                <w:sz w:val="24"/>
                <w:szCs w:val="24"/>
                <w:lang w:eastAsia="en-US"/>
              </w:rPr>
              <w:t>T</w:t>
            </w:r>
            <w:r w:rsidRPr="00354554">
              <w:rPr>
                <w:rFonts w:ascii="Times New Roman" w:eastAsia="Calibri" w:hAnsi="Times New Roman" w:cs="Times New Roman"/>
                <w:noProof/>
                <w:sz w:val="24"/>
                <w:szCs w:val="24"/>
                <w:lang w:eastAsia="en-US"/>
              </w:rPr>
              <w:t>iekėjas privalo savo lėšomis pašalinti gedimus</w:t>
            </w:r>
            <w:r w:rsidR="00CF0768" w:rsidRPr="00354554">
              <w:rPr>
                <w:rFonts w:ascii="Times New Roman" w:eastAsia="Calibri" w:hAnsi="Times New Roman" w:cs="Times New Roman"/>
                <w:noProof/>
                <w:sz w:val="24"/>
                <w:szCs w:val="24"/>
                <w:lang w:eastAsia="en-US"/>
              </w:rPr>
              <w:t>.</w:t>
            </w:r>
          </w:p>
        </w:tc>
        <w:tc>
          <w:tcPr>
            <w:tcW w:w="1496" w:type="dxa"/>
            <w:tcBorders>
              <w:top w:val="single" w:sz="4" w:space="0" w:color="000000"/>
              <w:left w:val="single" w:sz="4" w:space="0" w:color="000000"/>
              <w:bottom w:val="single" w:sz="4" w:space="0" w:color="000000"/>
              <w:right w:val="single" w:sz="4" w:space="0" w:color="000000"/>
            </w:tcBorders>
          </w:tcPr>
          <w:p w14:paraId="35248217" w14:textId="1EF9EC46" w:rsidR="00FF2BBF" w:rsidRPr="00354554" w:rsidRDefault="005C7F0A" w:rsidP="004A1C84">
            <w:pPr>
              <w:spacing w:after="0" w:line="240" w:lineRule="auto"/>
              <w:jc w:val="center"/>
              <w:rPr>
                <w:rFonts w:ascii="Times New Roman" w:hAnsi="Times New Roman" w:cs="Times New Roman"/>
                <w:sz w:val="24"/>
                <w:szCs w:val="24"/>
              </w:rPr>
            </w:pPr>
            <w:r w:rsidRPr="00354554">
              <w:rPr>
                <w:rFonts w:ascii="Times New Roman" w:hAnsi="Times New Roman" w:cs="Times New Roman"/>
                <w:sz w:val="24"/>
                <w:szCs w:val="24"/>
                <w:lang w:eastAsia="ru-RU"/>
              </w:rPr>
              <w:sym w:font="Wingdings" w:char="F0FC"/>
            </w:r>
          </w:p>
        </w:tc>
        <w:tc>
          <w:tcPr>
            <w:tcW w:w="1503" w:type="dxa"/>
            <w:tcBorders>
              <w:top w:val="single" w:sz="4" w:space="0" w:color="000000"/>
              <w:left w:val="single" w:sz="4" w:space="0" w:color="000000"/>
              <w:bottom w:val="single" w:sz="4" w:space="0" w:color="000000"/>
              <w:right w:val="single" w:sz="4" w:space="0" w:color="000000"/>
            </w:tcBorders>
          </w:tcPr>
          <w:p w14:paraId="64060E05" w14:textId="77777777" w:rsidR="00FF2BBF" w:rsidRPr="00354554" w:rsidRDefault="00FF2BBF" w:rsidP="004A1C84">
            <w:pPr>
              <w:spacing w:after="0" w:line="240" w:lineRule="auto"/>
              <w:jc w:val="center"/>
              <w:rPr>
                <w:rFonts w:ascii="Times New Roman" w:hAnsi="Times New Roman" w:cs="Times New Roman"/>
                <w:sz w:val="24"/>
                <w:szCs w:val="24"/>
              </w:rPr>
            </w:pPr>
          </w:p>
        </w:tc>
      </w:tr>
    </w:tbl>
    <w:p w14:paraId="6967EA26" w14:textId="5A89D6D0" w:rsidR="00374C1D" w:rsidRPr="00354554" w:rsidRDefault="00374C1D" w:rsidP="00374C1D">
      <w:pPr>
        <w:pStyle w:val="ListParagraph"/>
        <w:ind w:left="709"/>
      </w:pPr>
    </w:p>
    <w:p w14:paraId="7502D981" w14:textId="58162743" w:rsidR="00FF2BBF" w:rsidRPr="00354554" w:rsidRDefault="005C7F0A" w:rsidP="00CE4EE1">
      <w:pPr>
        <w:pStyle w:val="ListParagraph"/>
        <w:numPr>
          <w:ilvl w:val="0"/>
          <w:numId w:val="9"/>
        </w:numPr>
      </w:pPr>
      <w:r w:rsidRPr="00354554">
        <w:t>Pirkimo ekspertams paliekama teisė visais atvejais įvertinti ir tuos punktus, kurie šiame pirkimo dokumentų priede nėra pažymėti „</w:t>
      </w:r>
      <w:r w:rsidR="00CE4EE1" w:rsidRPr="00354554">
        <w:rPr>
          <w:lang w:eastAsia="ru-RU"/>
        </w:rPr>
        <w:sym w:font="Wingdings" w:char="F0FC"/>
      </w:r>
      <w:r w:rsidRPr="00354554">
        <w:t>“, t. y.</w:t>
      </w:r>
      <w:r w:rsidR="00F740A7" w:rsidRPr="00354554">
        <w:t>,</w:t>
      </w:r>
      <w:r w:rsidRPr="00354554">
        <w:t xml:space="preserve"> kad atitikimą vertina ekspertai.</w:t>
      </w:r>
    </w:p>
    <w:p w14:paraId="1E32DE89" w14:textId="4CB8C4C8" w:rsidR="00FF2BBF" w:rsidRPr="00354554" w:rsidRDefault="00FF2BBF" w:rsidP="00374C1D">
      <w:pPr>
        <w:pStyle w:val="ListParagraph"/>
        <w:ind w:left="709"/>
      </w:pPr>
    </w:p>
    <w:p w14:paraId="2F27AE5B" w14:textId="77777777" w:rsidR="004154CA" w:rsidRPr="00354554" w:rsidRDefault="004154CA" w:rsidP="00557902">
      <w:pPr>
        <w:pStyle w:val="ListParagraph"/>
        <w:ind w:left="709"/>
        <w:jc w:val="center"/>
      </w:pPr>
    </w:p>
    <w:p w14:paraId="76D2A8AF" w14:textId="2E3DA842" w:rsidR="00CE4EE1" w:rsidRPr="00D217D8" w:rsidRDefault="00CE4EE1" w:rsidP="00D217D8">
      <w:pPr>
        <w:pStyle w:val="ListParagraph"/>
        <w:ind w:left="709"/>
        <w:jc w:val="center"/>
        <w:rPr>
          <w:b/>
          <w:bCs/>
          <w:szCs w:val="24"/>
        </w:rPr>
      </w:pPr>
      <w:r w:rsidRPr="00D217D8">
        <w:rPr>
          <w:b/>
          <w:bCs/>
          <w:szCs w:val="24"/>
        </w:rPr>
        <w:t>III</w:t>
      </w:r>
      <w:r w:rsidR="009D62DF" w:rsidRPr="00D217D8">
        <w:rPr>
          <w:b/>
          <w:bCs/>
          <w:szCs w:val="24"/>
        </w:rPr>
        <w:t>.</w:t>
      </w:r>
      <w:r w:rsidRPr="00D217D8">
        <w:rPr>
          <w:b/>
          <w:bCs/>
          <w:szCs w:val="24"/>
        </w:rPr>
        <w:t xml:space="preserve"> TREČIASIS INSTRUMENTŲ VERTINIMO ETAPAS</w:t>
      </w:r>
    </w:p>
    <w:p w14:paraId="399AB6BD" w14:textId="4AFB7C85" w:rsidR="004154CA" w:rsidRPr="00D217D8" w:rsidRDefault="004154CA" w:rsidP="000874FC">
      <w:pPr>
        <w:pStyle w:val="ListParagraph"/>
        <w:ind w:left="709"/>
        <w:rPr>
          <w:szCs w:val="24"/>
        </w:rPr>
      </w:pPr>
    </w:p>
    <w:p w14:paraId="70BC89BB" w14:textId="77777777" w:rsidR="00D217D8" w:rsidRPr="00F37EAC" w:rsidRDefault="00D217D8" w:rsidP="000874FC">
      <w:pPr>
        <w:spacing w:after="0"/>
        <w:ind w:firstLine="709"/>
        <w:jc w:val="both"/>
        <w:rPr>
          <w:szCs w:val="24"/>
        </w:rPr>
      </w:pPr>
      <w:r w:rsidRPr="000874FC">
        <w:rPr>
          <w:sz w:val="24"/>
          <w:szCs w:val="24"/>
        </w:rPr>
        <w:t xml:space="preserve">14. </w:t>
      </w:r>
      <w:r w:rsidRPr="000874FC">
        <w:rPr>
          <w:rFonts w:ascii="Times New Roman" w:hAnsi="Times New Roman" w:cs="Times New Roman"/>
          <w:sz w:val="24"/>
          <w:szCs w:val="24"/>
        </w:rPr>
        <w:t>Tiekėjas privalo savo sąskaita sudaryti sąlygas Perkančiosios organizacijos atstovams (ekspertams) įvertinti Tiekėjo pasiūlyme siūlomą prekės modelį, kad Tiekėjų pasiūlymai galėtų būti palyginti ir įvertinti šiomis sąlygomis:</w:t>
      </w:r>
    </w:p>
    <w:p w14:paraId="0BFCC093" w14:textId="77777777" w:rsidR="00D217D8" w:rsidRPr="00F37EAC" w:rsidRDefault="00D217D8" w:rsidP="000874FC">
      <w:pPr>
        <w:spacing w:after="0"/>
        <w:ind w:firstLine="709"/>
        <w:jc w:val="both"/>
        <w:rPr>
          <w:szCs w:val="24"/>
        </w:rPr>
      </w:pPr>
      <w:r w:rsidRPr="000874FC">
        <w:rPr>
          <w:rFonts w:ascii="Times New Roman" w:hAnsi="Times New Roman" w:cs="Times New Roman"/>
          <w:sz w:val="24"/>
          <w:szCs w:val="24"/>
        </w:rPr>
        <w:t>14.1. Vertinimas gali būti vykdomas:</w:t>
      </w:r>
    </w:p>
    <w:p w14:paraId="7A7481C5" w14:textId="28EB8DBF" w:rsidR="00D217D8" w:rsidRPr="00F37EAC" w:rsidRDefault="00D217D8" w:rsidP="000874FC">
      <w:pPr>
        <w:spacing w:after="0"/>
        <w:ind w:firstLine="709"/>
        <w:jc w:val="both"/>
        <w:rPr>
          <w:szCs w:val="24"/>
        </w:rPr>
      </w:pPr>
      <w:r w:rsidRPr="000874FC">
        <w:rPr>
          <w:rFonts w:ascii="Times New Roman" w:hAnsi="Times New Roman" w:cs="Times New Roman"/>
          <w:sz w:val="24"/>
          <w:szCs w:val="24"/>
        </w:rPr>
        <w:t>14.1.1. Perkančiosios organizacijos patalpose – Lietuvos valstybinio simfoninio orkestro koncertų salėje, Vilniaus g. 6, LT-01102 Vilnius, Vilniaus m. sav.; arba</w:t>
      </w:r>
    </w:p>
    <w:p w14:paraId="62A34F83" w14:textId="6C632916" w:rsidR="00D217D8" w:rsidRPr="00F37EAC" w:rsidRDefault="00D217D8" w:rsidP="000874FC">
      <w:pPr>
        <w:spacing w:after="0"/>
        <w:ind w:firstLine="709"/>
        <w:jc w:val="both"/>
        <w:rPr>
          <w:szCs w:val="24"/>
        </w:rPr>
      </w:pPr>
      <w:r w:rsidRPr="000874FC">
        <w:rPr>
          <w:rFonts w:ascii="Times New Roman" w:hAnsi="Times New Roman" w:cs="Times New Roman"/>
          <w:sz w:val="24"/>
          <w:szCs w:val="24"/>
        </w:rPr>
        <w:t>14.1.2. Tiekėjo parinktose, tam pritaikytose / tinkančiose patalpose, kurios turi būti suderintos su Perkančiąja organizacija, jeigu Tiekėjas negali pristatyti instrumento Perkančiosios organizacijos adresu.</w:t>
      </w:r>
    </w:p>
    <w:p w14:paraId="41004546" w14:textId="77777777" w:rsidR="00D217D8" w:rsidRPr="000874FC" w:rsidRDefault="00D217D8" w:rsidP="000874FC">
      <w:pPr>
        <w:spacing w:after="0"/>
        <w:ind w:firstLine="709"/>
        <w:jc w:val="both"/>
        <w:rPr>
          <w:rFonts w:ascii="Times New Roman" w:hAnsi="Times New Roman" w:cs="Times New Roman"/>
          <w:sz w:val="24"/>
          <w:szCs w:val="24"/>
        </w:rPr>
      </w:pPr>
      <w:r w:rsidRPr="000874FC">
        <w:rPr>
          <w:rFonts w:ascii="Times New Roman" w:hAnsi="Times New Roman" w:cs="Times New Roman"/>
          <w:sz w:val="24"/>
          <w:szCs w:val="24"/>
        </w:rPr>
        <w:t>14.2. Ekspertinis vertinimas turi vykti ne vėliau kaip per 14 kalendorinių dienų nuo Perkančiosios organizacijos prašymo sudaryti sąlygas įvertinti siūlomo instrumento modelį.</w:t>
      </w:r>
    </w:p>
    <w:p w14:paraId="3D58FC64" w14:textId="242C3233" w:rsidR="00D217D8" w:rsidRPr="00F37EAC" w:rsidRDefault="00D217D8" w:rsidP="000874FC">
      <w:pPr>
        <w:spacing w:after="0"/>
        <w:ind w:firstLine="709"/>
        <w:jc w:val="both"/>
        <w:rPr>
          <w:szCs w:val="24"/>
        </w:rPr>
      </w:pPr>
      <w:r w:rsidRPr="000874FC">
        <w:rPr>
          <w:rFonts w:ascii="Times New Roman" w:hAnsi="Times New Roman" w:cs="Times New Roman"/>
          <w:sz w:val="24"/>
          <w:szCs w:val="24"/>
        </w:rPr>
        <w:t>14.3. Tiekėjas privalo savo sąskaita užtikrinti tinkamas vertinimo sąlygas, įskaitant instrumento transportavimą, iškrovimą, pastatymą, derinimą, patalpų (koncertų salės, repeticijų salės ar kt.) paruošimą ir akustinę aplinką, nepriklausomai nuo to, ar vertinimas vyksta Tiekėjo, ar Perkančiosios organizacijos patalpose.</w:t>
      </w:r>
    </w:p>
    <w:p w14:paraId="19D7611F" w14:textId="34A92F41" w:rsidR="00D217D8" w:rsidRPr="00F37EAC" w:rsidRDefault="00D217D8" w:rsidP="000874FC">
      <w:pPr>
        <w:spacing w:after="0"/>
        <w:ind w:firstLine="709"/>
        <w:jc w:val="both"/>
        <w:rPr>
          <w:szCs w:val="24"/>
        </w:rPr>
      </w:pPr>
      <w:r w:rsidRPr="000874FC">
        <w:rPr>
          <w:rFonts w:ascii="Times New Roman" w:hAnsi="Times New Roman" w:cs="Times New Roman"/>
          <w:sz w:val="24"/>
          <w:szCs w:val="24"/>
        </w:rPr>
        <w:t>14.4. Vertinimui turi būti pateiktas Tiekėjo pasiūlyme siūlomo modelio naujas arba naudotas instrumentas, kurio pagaminimo data pagal gamintojo dokumentus nėra senesnė kaip 12 mėnesių iki pasiūlymo pateikimo dienos. Instrumentas turi būti tinkamai suderintas ir paruoštas vertinimui.</w:t>
      </w:r>
    </w:p>
    <w:p w14:paraId="76B59F1A" w14:textId="4587BAD8" w:rsidR="00D217D8" w:rsidRPr="00F37EAC" w:rsidRDefault="00D217D8" w:rsidP="000874FC">
      <w:pPr>
        <w:spacing w:after="0"/>
        <w:ind w:firstLine="709"/>
        <w:jc w:val="both"/>
        <w:rPr>
          <w:szCs w:val="24"/>
        </w:rPr>
      </w:pPr>
      <w:r w:rsidRPr="000874FC">
        <w:rPr>
          <w:rFonts w:ascii="Times New Roman" w:hAnsi="Times New Roman" w:cs="Times New Roman"/>
          <w:sz w:val="24"/>
          <w:szCs w:val="24"/>
        </w:rPr>
        <w:t>14.5. Laimėjusio pasiūlymo atveju Tiekėjas privalo pristatyti naują, nenaudotą instrumentą, atitinkantį 1 lentelės reikalavimus.</w:t>
      </w:r>
    </w:p>
    <w:p w14:paraId="30A5952B" w14:textId="44C72F0D" w:rsidR="00D217D8" w:rsidRPr="00F37EAC" w:rsidRDefault="00D217D8" w:rsidP="000874FC">
      <w:pPr>
        <w:spacing w:after="0"/>
        <w:ind w:firstLine="709"/>
        <w:jc w:val="both"/>
        <w:rPr>
          <w:szCs w:val="24"/>
        </w:rPr>
      </w:pPr>
      <w:r w:rsidRPr="000874FC">
        <w:rPr>
          <w:rFonts w:ascii="Times New Roman" w:hAnsi="Times New Roman" w:cs="Times New Roman"/>
          <w:sz w:val="24"/>
          <w:szCs w:val="24"/>
        </w:rPr>
        <w:t>14.6. Ekspertams turi būti suteikta pakankamai laiko prekei išbandyti ir įvertinti, tačiau ne mažiau kaip 2,5 valandos vienai prekei.</w:t>
      </w:r>
    </w:p>
    <w:p w14:paraId="63B6956A" w14:textId="615D92D6" w:rsidR="00D217D8" w:rsidRPr="00F37EAC" w:rsidRDefault="00D217D8" w:rsidP="000874FC">
      <w:pPr>
        <w:spacing w:after="0"/>
        <w:ind w:firstLine="709"/>
        <w:jc w:val="both"/>
        <w:rPr>
          <w:szCs w:val="24"/>
        </w:rPr>
      </w:pPr>
      <w:r w:rsidRPr="000874FC">
        <w:rPr>
          <w:rFonts w:ascii="Times New Roman" w:hAnsi="Times New Roman" w:cs="Times New Roman"/>
          <w:sz w:val="24"/>
          <w:szCs w:val="24"/>
        </w:rPr>
        <w:t>14.7. Jeigu vertinimas vyksta Tiekėjo patalpose, Tiekėjas privalo apmokėti ekspertų kelionės išlaidas. Perkančioji organizacija šių išlaidų nekompensuoja.</w:t>
      </w:r>
    </w:p>
    <w:p w14:paraId="27CF6093" w14:textId="06BECD91" w:rsidR="004A1C84" w:rsidRPr="00F37EAC" w:rsidRDefault="00D217D8" w:rsidP="000874FC">
      <w:pPr>
        <w:spacing w:after="0"/>
        <w:ind w:firstLine="709"/>
        <w:jc w:val="both"/>
        <w:rPr>
          <w:szCs w:val="24"/>
        </w:rPr>
      </w:pPr>
      <w:r w:rsidRPr="000874FC">
        <w:rPr>
          <w:rFonts w:ascii="Times New Roman" w:hAnsi="Times New Roman" w:cs="Times New Roman"/>
          <w:sz w:val="24"/>
          <w:szCs w:val="24"/>
        </w:rPr>
        <w:lastRenderedPageBreak/>
        <w:t>14.9. E</w:t>
      </w:r>
      <w:r w:rsidR="002F3323" w:rsidRPr="000874FC">
        <w:rPr>
          <w:rFonts w:ascii="Times New Roman" w:hAnsi="Times New Roman" w:cs="Times New Roman"/>
          <w:sz w:val="24"/>
          <w:szCs w:val="24"/>
        </w:rPr>
        <w:t>konomiškai naudingiausias pasiūlymas bus išrenkamas pagal šiuos kokybinius vertinimo kriterijus:</w:t>
      </w:r>
    </w:p>
    <w:p w14:paraId="07F12EAE" w14:textId="79244BCC" w:rsidR="008E6D7A" w:rsidRPr="00354554" w:rsidRDefault="00C81295" w:rsidP="00C81295">
      <w:pPr>
        <w:pStyle w:val="Caption"/>
        <w:jc w:val="right"/>
        <w:rPr>
          <w:rFonts w:cs="Times New Roman"/>
          <w:sz w:val="22"/>
          <w:szCs w:val="22"/>
        </w:rPr>
      </w:pPr>
      <w:bookmarkStart w:id="1" w:name="_Ref121923712"/>
      <w:bookmarkStart w:id="2" w:name="_Ref121923728"/>
      <w:r w:rsidRPr="00354554">
        <w:rPr>
          <w:rFonts w:cs="Times New Roman"/>
          <w:sz w:val="22"/>
          <w:szCs w:val="22"/>
        </w:rPr>
        <w:t>2</w:t>
      </w:r>
      <w:r w:rsidR="008E6D7A" w:rsidRPr="00354554">
        <w:rPr>
          <w:rFonts w:cs="Times New Roman"/>
          <w:sz w:val="22"/>
          <w:szCs w:val="22"/>
        </w:rPr>
        <w:t xml:space="preserve"> lentelė. </w:t>
      </w:r>
      <w:r w:rsidR="008E6D7A" w:rsidRPr="00354554">
        <w:rPr>
          <w:rFonts w:cs="Times New Roman"/>
          <w:b w:val="0"/>
          <w:bCs/>
          <w:sz w:val="22"/>
          <w:szCs w:val="22"/>
        </w:rPr>
        <w:t xml:space="preserve">Pasiūlymų vertinimo </w:t>
      </w:r>
      <w:r w:rsidRPr="00354554">
        <w:rPr>
          <w:rFonts w:cs="Times New Roman"/>
          <w:b w:val="0"/>
          <w:bCs/>
          <w:sz w:val="22"/>
          <w:szCs w:val="22"/>
        </w:rPr>
        <w:t xml:space="preserve">kokybiniai </w:t>
      </w:r>
      <w:r w:rsidR="008E6D7A" w:rsidRPr="00354554">
        <w:rPr>
          <w:rFonts w:cs="Times New Roman"/>
          <w:b w:val="0"/>
          <w:bCs/>
          <w:sz w:val="22"/>
          <w:szCs w:val="22"/>
        </w:rPr>
        <w:t>kriterijai</w:t>
      </w:r>
      <w:bookmarkEnd w:id="1"/>
      <w:bookmarkEnd w:id="2"/>
    </w:p>
    <w:tbl>
      <w:tblPr>
        <w:tblStyle w:val="TableGrid"/>
        <w:tblpPr w:leftFromText="180" w:rightFromText="180" w:vertAnchor="text" w:tblpY="1"/>
        <w:tblOverlap w:val="never"/>
        <w:tblW w:w="5000" w:type="pct"/>
        <w:tblLook w:val="04A0" w:firstRow="1" w:lastRow="0" w:firstColumn="1" w:lastColumn="0" w:noHBand="0" w:noVBand="1"/>
      </w:tblPr>
      <w:tblGrid>
        <w:gridCol w:w="1712"/>
        <w:gridCol w:w="4600"/>
        <w:gridCol w:w="1879"/>
        <w:gridCol w:w="397"/>
        <w:gridCol w:w="1040"/>
      </w:tblGrid>
      <w:tr w:rsidR="00354554" w:rsidRPr="00354554" w14:paraId="2FE8B988" w14:textId="77777777" w:rsidTr="00C81295">
        <w:trPr>
          <w:tblHeader/>
        </w:trPr>
        <w:tc>
          <w:tcPr>
            <w:tcW w:w="327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987AE3" w14:textId="77777777" w:rsidR="00557902" w:rsidRPr="00354554" w:rsidRDefault="00557902" w:rsidP="000874FC">
            <w:pPr>
              <w:tabs>
                <w:tab w:val="left" w:pos="1747"/>
              </w:tabs>
              <w:jc w:val="center"/>
              <w:rPr>
                <w:b/>
                <w:bCs/>
                <w:lang w:eastAsia="en-US"/>
              </w:rPr>
            </w:pPr>
            <w:r w:rsidRPr="00354554">
              <w:rPr>
                <w:b/>
                <w:bCs/>
              </w:rPr>
              <w:t>Vertinimo kriterijus</w:t>
            </w:r>
          </w:p>
        </w:tc>
        <w:tc>
          <w:tcPr>
            <w:tcW w:w="9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5275B0" w14:textId="4DA79B8C" w:rsidR="00557902" w:rsidRPr="00354554" w:rsidRDefault="00557902" w:rsidP="00557902">
            <w:pPr>
              <w:jc w:val="center"/>
              <w:rPr>
                <w:b/>
                <w:bCs/>
                <w:lang w:eastAsia="en-US"/>
              </w:rPr>
            </w:pPr>
            <w:r w:rsidRPr="00354554">
              <w:rPr>
                <w:b/>
                <w:bCs/>
              </w:rPr>
              <w:t>Funkcinio parametro lyginamasis svoris</w:t>
            </w:r>
          </w:p>
        </w:tc>
        <w:tc>
          <w:tcPr>
            <w:tcW w:w="74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79A62C" w14:textId="305385CE" w:rsidR="00557902" w:rsidRPr="00354554" w:rsidRDefault="00557902" w:rsidP="00557902">
            <w:pPr>
              <w:jc w:val="center"/>
              <w:rPr>
                <w:b/>
                <w:bCs/>
                <w:lang w:eastAsia="en-US"/>
              </w:rPr>
            </w:pPr>
            <w:r w:rsidRPr="00354554">
              <w:rPr>
                <w:b/>
                <w:bCs/>
              </w:rPr>
              <w:t>Lyginamasis svoris ekonominio naudingumo įvertinimuose</w:t>
            </w:r>
          </w:p>
        </w:tc>
      </w:tr>
      <w:tr w:rsidR="00354554" w:rsidRPr="00354554" w14:paraId="5F3926E0" w14:textId="77777777" w:rsidTr="00557902">
        <w:trPr>
          <w:tblHeader/>
        </w:trPr>
        <w:tc>
          <w:tcPr>
            <w:tcW w:w="889" w:type="pct"/>
            <w:tcBorders>
              <w:top w:val="single" w:sz="4" w:space="0" w:color="auto"/>
              <w:left w:val="single" w:sz="4" w:space="0" w:color="auto"/>
              <w:bottom w:val="single" w:sz="4" w:space="0" w:color="auto"/>
              <w:right w:val="single" w:sz="4" w:space="0" w:color="auto"/>
            </w:tcBorders>
            <w:hideMark/>
          </w:tcPr>
          <w:p w14:paraId="0E225E31" w14:textId="77777777" w:rsidR="00557902" w:rsidRPr="00354554" w:rsidRDefault="00557902" w:rsidP="000874FC">
            <w:pPr>
              <w:tabs>
                <w:tab w:val="left" w:pos="1747"/>
              </w:tabs>
              <w:jc w:val="center"/>
              <w:rPr>
                <w:b/>
                <w:bCs/>
                <w:lang w:eastAsia="en-US"/>
              </w:rPr>
            </w:pPr>
            <w:r w:rsidRPr="00354554">
              <w:rPr>
                <w:b/>
                <w:bCs/>
              </w:rPr>
              <w:t>1</w:t>
            </w:r>
          </w:p>
        </w:tc>
        <w:tc>
          <w:tcPr>
            <w:tcW w:w="2389" w:type="pct"/>
            <w:tcBorders>
              <w:top w:val="single" w:sz="4" w:space="0" w:color="auto"/>
              <w:left w:val="single" w:sz="4" w:space="0" w:color="auto"/>
              <w:bottom w:val="single" w:sz="4" w:space="0" w:color="auto"/>
              <w:right w:val="single" w:sz="4" w:space="0" w:color="auto"/>
            </w:tcBorders>
            <w:hideMark/>
          </w:tcPr>
          <w:p w14:paraId="578431BA" w14:textId="77777777" w:rsidR="00557902" w:rsidRPr="00354554" w:rsidRDefault="00557902" w:rsidP="000874FC">
            <w:pPr>
              <w:tabs>
                <w:tab w:val="left" w:pos="1747"/>
              </w:tabs>
              <w:jc w:val="center"/>
              <w:rPr>
                <w:b/>
                <w:bCs/>
                <w:lang w:eastAsia="en-US"/>
              </w:rPr>
            </w:pPr>
            <w:r w:rsidRPr="00354554">
              <w:rPr>
                <w:b/>
                <w:bCs/>
              </w:rPr>
              <w:t>2</w:t>
            </w:r>
          </w:p>
        </w:tc>
        <w:tc>
          <w:tcPr>
            <w:tcW w:w="976" w:type="pct"/>
            <w:tcBorders>
              <w:top w:val="single" w:sz="4" w:space="0" w:color="auto"/>
              <w:left w:val="single" w:sz="4" w:space="0" w:color="auto"/>
              <w:bottom w:val="single" w:sz="4" w:space="0" w:color="auto"/>
              <w:right w:val="single" w:sz="4" w:space="0" w:color="auto"/>
            </w:tcBorders>
            <w:hideMark/>
          </w:tcPr>
          <w:p w14:paraId="61A023F6" w14:textId="60643FEA" w:rsidR="00557902" w:rsidRPr="00354554" w:rsidRDefault="00BD7E66" w:rsidP="00205062">
            <w:pPr>
              <w:jc w:val="center"/>
              <w:rPr>
                <w:b/>
                <w:bCs/>
                <w:lang w:eastAsia="en-US"/>
              </w:rPr>
            </w:pPr>
            <w:r w:rsidRPr="00354554">
              <w:rPr>
                <w:b/>
                <w:bCs/>
              </w:rPr>
              <w:t>3</w:t>
            </w:r>
          </w:p>
        </w:tc>
        <w:tc>
          <w:tcPr>
            <w:tcW w:w="746" w:type="pct"/>
            <w:gridSpan w:val="2"/>
            <w:tcBorders>
              <w:top w:val="single" w:sz="4" w:space="0" w:color="auto"/>
              <w:left w:val="single" w:sz="4" w:space="0" w:color="auto"/>
              <w:bottom w:val="single" w:sz="4" w:space="0" w:color="auto"/>
              <w:right w:val="single" w:sz="4" w:space="0" w:color="auto"/>
            </w:tcBorders>
            <w:hideMark/>
          </w:tcPr>
          <w:p w14:paraId="57908B34" w14:textId="4BF9BEF3" w:rsidR="00557902" w:rsidRPr="00354554" w:rsidRDefault="00BD7E66" w:rsidP="00205062">
            <w:pPr>
              <w:jc w:val="center"/>
              <w:rPr>
                <w:b/>
                <w:bCs/>
                <w:lang w:eastAsia="en-US"/>
              </w:rPr>
            </w:pPr>
            <w:r w:rsidRPr="00354554">
              <w:rPr>
                <w:b/>
                <w:bCs/>
              </w:rPr>
              <w:t>4</w:t>
            </w:r>
          </w:p>
        </w:tc>
      </w:tr>
      <w:tr w:rsidR="00354554" w:rsidRPr="00354554" w14:paraId="3CF971F9" w14:textId="77777777" w:rsidTr="0019125B">
        <w:trPr>
          <w:tblHeader/>
        </w:trPr>
        <w:tc>
          <w:tcPr>
            <w:tcW w:w="4254" w:type="pct"/>
            <w:gridSpan w:val="3"/>
            <w:tcBorders>
              <w:top w:val="single" w:sz="4" w:space="0" w:color="000000"/>
              <w:left w:val="single" w:sz="4" w:space="0" w:color="000000"/>
              <w:bottom w:val="single" w:sz="4" w:space="0" w:color="000000"/>
              <w:right w:val="single" w:sz="4" w:space="0" w:color="auto"/>
            </w:tcBorders>
          </w:tcPr>
          <w:p w14:paraId="0C2C50C7" w14:textId="38C6274E" w:rsidR="00557902" w:rsidRPr="00354554" w:rsidRDefault="00557902" w:rsidP="00557902">
            <w:pPr>
              <w:rPr>
                <w:b/>
                <w:bCs/>
                <w:noProof/>
              </w:rPr>
            </w:pPr>
            <w:r w:rsidRPr="00354554">
              <w:rPr>
                <w:rFonts w:eastAsia="Calibri"/>
                <w:b/>
                <w:noProof/>
                <w:lang w:eastAsia="en-US"/>
              </w:rPr>
              <w:t>Pirmasis</w:t>
            </w:r>
            <w:r w:rsidR="00BD7E66" w:rsidRPr="00354554">
              <w:rPr>
                <w:rFonts w:eastAsia="Calibri"/>
                <w:b/>
                <w:noProof/>
                <w:lang w:eastAsia="en-US"/>
              </w:rPr>
              <w:t xml:space="preserve"> k</w:t>
            </w:r>
            <w:r w:rsidRPr="00354554">
              <w:rPr>
                <w:rFonts w:eastAsia="Calibri"/>
                <w:b/>
                <w:noProof/>
                <w:lang w:eastAsia="en-US"/>
              </w:rPr>
              <w:t>riterijus: kaina (C)</w:t>
            </w:r>
          </w:p>
        </w:tc>
        <w:tc>
          <w:tcPr>
            <w:tcW w:w="746" w:type="pct"/>
            <w:gridSpan w:val="2"/>
            <w:tcBorders>
              <w:top w:val="single" w:sz="4" w:space="0" w:color="auto"/>
              <w:left w:val="single" w:sz="4" w:space="0" w:color="auto"/>
              <w:bottom w:val="single" w:sz="4" w:space="0" w:color="auto"/>
              <w:right w:val="single" w:sz="4" w:space="0" w:color="auto"/>
            </w:tcBorders>
          </w:tcPr>
          <w:p w14:paraId="1B2386DC" w14:textId="23D72CA4" w:rsidR="00557902" w:rsidRPr="00354554" w:rsidRDefault="00557902" w:rsidP="00ED03E2">
            <w:pPr>
              <w:jc w:val="center"/>
              <w:rPr>
                <w:b/>
                <w:bCs/>
              </w:rPr>
            </w:pPr>
            <w:r w:rsidRPr="00354554">
              <w:rPr>
                <w:b/>
                <w:bCs/>
              </w:rPr>
              <w:t xml:space="preserve">X = </w:t>
            </w:r>
            <w:r w:rsidR="009D62DF" w:rsidRPr="00354554">
              <w:rPr>
                <w:b/>
                <w:bCs/>
              </w:rPr>
              <w:t>40</w:t>
            </w:r>
            <w:r w:rsidR="00CA3702" w:rsidRPr="00354554">
              <w:rPr>
                <w:b/>
                <w:bCs/>
              </w:rPr>
              <w:t xml:space="preserve"> </w:t>
            </w:r>
          </w:p>
        </w:tc>
      </w:tr>
      <w:tr w:rsidR="00354554" w:rsidRPr="00354554" w14:paraId="4EF75C85" w14:textId="77777777" w:rsidTr="00557902">
        <w:trPr>
          <w:tblHeader/>
        </w:trPr>
        <w:tc>
          <w:tcPr>
            <w:tcW w:w="4254" w:type="pct"/>
            <w:gridSpan w:val="3"/>
            <w:tcBorders>
              <w:top w:val="single" w:sz="4" w:space="0" w:color="000000"/>
              <w:left w:val="single" w:sz="4" w:space="0" w:color="000000"/>
              <w:bottom w:val="single" w:sz="4" w:space="0" w:color="000000"/>
              <w:right w:val="single" w:sz="4" w:space="0" w:color="auto"/>
            </w:tcBorders>
          </w:tcPr>
          <w:p w14:paraId="6E21C47E" w14:textId="5490D90A" w:rsidR="00557902" w:rsidRPr="00354554" w:rsidRDefault="00557902" w:rsidP="00557902">
            <w:pPr>
              <w:rPr>
                <w:b/>
                <w:bCs/>
                <w:noProof/>
              </w:rPr>
            </w:pPr>
            <w:r w:rsidRPr="00354554">
              <w:rPr>
                <w:rFonts w:eastAsia="Calibri"/>
                <w:b/>
                <w:noProof/>
                <w:lang w:eastAsia="en-US"/>
              </w:rPr>
              <w:t>Antrasis kriterijus: techninės savybės (</w:t>
            </w:r>
            <w:r w:rsidRPr="00354554">
              <w:rPr>
                <w:b/>
                <w:bCs/>
                <w:noProof/>
                <w:sz w:val="21"/>
                <w:szCs w:val="21"/>
              </w:rPr>
              <w:t>T</w:t>
            </w:r>
            <w:r w:rsidRPr="00354554">
              <w:rPr>
                <w:b/>
                <w:bCs/>
                <w:noProof/>
                <w:sz w:val="21"/>
                <w:szCs w:val="21"/>
                <w:vertAlign w:val="subscript"/>
              </w:rPr>
              <w:t>1</w:t>
            </w:r>
            <w:r w:rsidRPr="00354554">
              <w:rPr>
                <w:b/>
                <w:bCs/>
                <w:noProof/>
                <w:sz w:val="21"/>
                <w:szCs w:val="21"/>
              </w:rPr>
              <w:t xml:space="preserve">) </w:t>
            </w:r>
          </w:p>
        </w:tc>
        <w:tc>
          <w:tcPr>
            <w:tcW w:w="746" w:type="pct"/>
            <w:gridSpan w:val="2"/>
            <w:tcBorders>
              <w:top w:val="single" w:sz="4" w:space="0" w:color="auto"/>
              <w:left w:val="single" w:sz="4" w:space="0" w:color="auto"/>
              <w:bottom w:val="single" w:sz="4" w:space="0" w:color="auto"/>
              <w:right w:val="single" w:sz="4" w:space="0" w:color="auto"/>
            </w:tcBorders>
          </w:tcPr>
          <w:p w14:paraId="207BF875" w14:textId="02397610" w:rsidR="00557902" w:rsidRPr="00354554" w:rsidRDefault="00557902" w:rsidP="00ED03E2">
            <w:pPr>
              <w:jc w:val="center"/>
              <w:rPr>
                <w:b/>
                <w:bCs/>
              </w:rPr>
            </w:pPr>
            <w:r w:rsidRPr="00354554">
              <w:rPr>
                <w:b/>
                <w:bCs/>
              </w:rPr>
              <w:t>Y</w:t>
            </w:r>
            <w:r w:rsidRPr="00354554">
              <w:rPr>
                <w:b/>
                <w:bCs/>
                <w:vertAlign w:val="subscript"/>
              </w:rPr>
              <w:t>1</w:t>
            </w:r>
            <w:r w:rsidRPr="00354554">
              <w:rPr>
                <w:b/>
                <w:bCs/>
              </w:rPr>
              <w:t xml:space="preserve"> = 30</w:t>
            </w:r>
          </w:p>
        </w:tc>
      </w:tr>
      <w:tr w:rsidR="00354554" w:rsidRPr="00354554" w14:paraId="2F62E085" w14:textId="77777777" w:rsidTr="0063576B">
        <w:trPr>
          <w:trHeight w:val="372"/>
        </w:trPr>
        <w:tc>
          <w:tcPr>
            <w:tcW w:w="889" w:type="pct"/>
            <w:tcBorders>
              <w:top w:val="single" w:sz="4" w:space="0" w:color="auto"/>
              <w:left w:val="single" w:sz="4" w:space="0" w:color="auto"/>
              <w:bottom w:val="single" w:sz="4" w:space="0" w:color="auto"/>
              <w:right w:val="single" w:sz="4" w:space="0" w:color="auto"/>
            </w:tcBorders>
            <w:hideMark/>
          </w:tcPr>
          <w:p w14:paraId="74945B06" w14:textId="4C07CE67" w:rsidR="00C81295" w:rsidRPr="00354554" w:rsidRDefault="00C81295" w:rsidP="00557902">
            <w:pPr>
              <w:jc w:val="both"/>
              <w:rPr>
                <w:noProof/>
                <w:lang w:eastAsia="en-US"/>
              </w:rPr>
            </w:pPr>
            <w:r w:rsidRPr="00354554">
              <w:rPr>
                <w:noProof/>
              </w:rPr>
              <w:t xml:space="preserve">1. </w:t>
            </w:r>
          </w:p>
        </w:tc>
        <w:tc>
          <w:tcPr>
            <w:tcW w:w="2389" w:type="pct"/>
            <w:tcBorders>
              <w:top w:val="single" w:sz="4" w:space="0" w:color="auto"/>
              <w:left w:val="single" w:sz="4" w:space="0" w:color="auto"/>
              <w:bottom w:val="single" w:sz="4" w:space="0" w:color="auto"/>
              <w:right w:val="single" w:sz="4" w:space="0" w:color="auto"/>
            </w:tcBorders>
            <w:hideMark/>
          </w:tcPr>
          <w:p w14:paraId="7A74EDA9" w14:textId="6429102C" w:rsidR="00C81295" w:rsidRPr="00354554" w:rsidRDefault="00C81295" w:rsidP="00ED03E2">
            <w:pPr>
              <w:jc w:val="both"/>
              <w:rPr>
                <w:noProof/>
                <w:lang w:eastAsia="en-US"/>
              </w:rPr>
            </w:pPr>
            <w:r w:rsidRPr="00354554">
              <w:rPr>
                <w:noProof/>
              </w:rPr>
              <w:t>Klaviatūros jautrumas nuo ppp (piano pianissimo) iki fff (forte fortissimo)</w:t>
            </w:r>
            <w:r w:rsidRPr="00354554">
              <w:rPr>
                <w:rStyle w:val="FootnoteReference"/>
                <w:noProof/>
              </w:rPr>
              <w:footnoteReference w:id="1"/>
            </w:r>
          </w:p>
        </w:tc>
        <w:tc>
          <w:tcPr>
            <w:tcW w:w="976" w:type="pct"/>
            <w:tcBorders>
              <w:top w:val="single" w:sz="4" w:space="0" w:color="auto"/>
              <w:left w:val="nil"/>
              <w:right w:val="single" w:sz="4" w:space="0" w:color="auto"/>
            </w:tcBorders>
          </w:tcPr>
          <w:p w14:paraId="1E3F3194" w14:textId="0ED73B94" w:rsidR="00C81295" w:rsidRPr="00354554" w:rsidRDefault="00C81295" w:rsidP="00C81295">
            <w:pPr>
              <w:jc w:val="center"/>
              <w:rPr>
                <w:lang w:eastAsia="en-US"/>
              </w:rPr>
            </w:pPr>
            <w:r w:rsidRPr="00354554">
              <w:rPr>
                <w:lang w:eastAsia="en-US"/>
              </w:rPr>
              <w:t xml:space="preserve">L </w:t>
            </w:r>
            <w:r w:rsidRPr="00354554">
              <w:rPr>
                <w:lang w:val="en-US" w:eastAsia="en-US"/>
              </w:rPr>
              <w:t xml:space="preserve">= </w:t>
            </w:r>
            <w:r w:rsidRPr="00354554">
              <w:rPr>
                <w:lang w:eastAsia="en-US"/>
              </w:rPr>
              <w:t>0,5</w:t>
            </w:r>
          </w:p>
        </w:tc>
        <w:tc>
          <w:tcPr>
            <w:tcW w:w="206" w:type="pct"/>
            <w:tcBorders>
              <w:top w:val="single" w:sz="4" w:space="0" w:color="auto"/>
              <w:left w:val="nil"/>
              <w:bottom w:val="single" w:sz="4" w:space="0" w:color="auto"/>
              <w:right w:val="nil"/>
            </w:tcBorders>
          </w:tcPr>
          <w:p w14:paraId="795DB488" w14:textId="4856EDFA" w:rsidR="00C81295" w:rsidRPr="00354554" w:rsidRDefault="00C81295" w:rsidP="003A4677">
            <w:pPr>
              <w:jc w:val="right"/>
              <w:rPr>
                <w:lang w:eastAsia="en-US"/>
              </w:rPr>
            </w:pPr>
          </w:p>
        </w:tc>
        <w:tc>
          <w:tcPr>
            <w:tcW w:w="540" w:type="pct"/>
            <w:tcBorders>
              <w:top w:val="single" w:sz="4" w:space="0" w:color="auto"/>
              <w:left w:val="nil"/>
              <w:bottom w:val="single" w:sz="4" w:space="0" w:color="auto"/>
              <w:right w:val="single" w:sz="4" w:space="0" w:color="auto"/>
            </w:tcBorders>
          </w:tcPr>
          <w:p w14:paraId="1AE3C756" w14:textId="1222FADA" w:rsidR="00C81295" w:rsidRPr="00354554" w:rsidRDefault="00C81295" w:rsidP="00ED03E2">
            <w:pPr>
              <w:jc w:val="both"/>
              <w:rPr>
                <w:lang w:eastAsia="en-US"/>
              </w:rPr>
            </w:pPr>
          </w:p>
        </w:tc>
      </w:tr>
      <w:tr w:rsidR="00354554" w:rsidRPr="00354554" w14:paraId="74EC4599" w14:textId="77777777" w:rsidTr="0063576B">
        <w:tc>
          <w:tcPr>
            <w:tcW w:w="889" w:type="pct"/>
            <w:tcBorders>
              <w:top w:val="single" w:sz="4" w:space="0" w:color="auto"/>
              <w:left w:val="single" w:sz="4" w:space="0" w:color="auto"/>
              <w:bottom w:val="single" w:sz="4" w:space="0" w:color="auto"/>
              <w:right w:val="single" w:sz="4" w:space="0" w:color="auto"/>
            </w:tcBorders>
            <w:hideMark/>
          </w:tcPr>
          <w:p w14:paraId="200F066B" w14:textId="34D4AE46" w:rsidR="00C81295" w:rsidRPr="00354554" w:rsidRDefault="00C81295" w:rsidP="00557902">
            <w:pPr>
              <w:jc w:val="both"/>
              <w:rPr>
                <w:noProof/>
                <w:lang w:eastAsia="en-US"/>
              </w:rPr>
            </w:pPr>
            <w:r w:rsidRPr="00354554">
              <w:rPr>
                <w:noProof/>
              </w:rPr>
              <w:t>2.</w:t>
            </w:r>
          </w:p>
        </w:tc>
        <w:tc>
          <w:tcPr>
            <w:tcW w:w="2389" w:type="pct"/>
            <w:tcBorders>
              <w:top w:val="single" w:sz="4" w:space="0" w:color="auto"/>
              <w:left w:val="single" w:sz="4" w:space="0" w:color="auto"/>
              <w:bottom w:val="single" w:sz="4" w:space="0" w:color="auto"/>
              <w:right w:val="single" w:sz="4" w:space="0" w:color="auto"/>
            </w:tcBorders>
            <w:hideMark/>
          </w:tcPr>
          <w:p w14:paraId="7B7606AB" w14:textId="77777777" w:rsidR="00C81295" w:rsidRPr="00354554" w:rsidRDefault="00C81295" w:rsidP="00ED03E2">
            <w:pPr>
              <w:jc w:val="both"/>
              <w:rPr>
                <w:noProof/>
                <w:lang w:eastAsia="en-US"/>
              </w:rPr>
            </w:pPr>
            <w:r w:rsidRPr="00354554">
              <w:rPr>
                <w:noProof/>
              </w:rPr>
              <w:t>Instrumento derinimo stabilumas</w:t>
            </w:r>
            <w:r w:rsidRPr="00354554">
              <w:rPr>
                <w:rStyle w:val="FootnoteReference"/>
                <w:noProof/>
              </w:rPr>
              <w:footnoteReference w:id="2"/>
            </w:r>
          </w:p>
        </w:tc>
        <w:tc>
          <w:tcPr>
            <w:tcW w:w="976" w:type="pct"/>
            <w:tcBorders>
              <w:left w:val="nil"/>
              <w:bottom w:val="single" w:sz="4" w:space="0" w:color="auto"/>
              <w:right w:val="single" w:sz="4" w:space="0" w:color="auto"/>
            </w:tcBorders>
          </w:tcPr>
          <w:p w14:paraId="1099C410" w14:textId="611AA803" w:rsidR="00C81295" w:rsidRPr="00354554" w:rsidRDefault="00C81295" w:rsidP="004154CA">
            <w:pPr>
              <w:jc w:val="center"/>
              <w:rPr>
                <w:lang w:eastAsia="en-US"/>
              </w:rPr>
            </w:pPr>
            <w:r w:rsidRPr="00354554">
              <w:rPr>
                <w:lang w:eastAsia="en-US"/>
              </w:rPr>
              <w:t xml:space="preserve">L </w:t>
            </w:r>
            <w:r w:rsidRPr="00354554">
              <w:rPr>
                <w:lang w:val="en-US" w:eastAsia="en-US"/>
              </w:rPr>
              <w:t xml:space="preserve">= </w:t>
            </w:r>
            <w:r w:rsidRPr="00354554">
              <w:rPr>
                <w:lang w:eastAsia="en-US"/>
              </w:rPr>
              <w:t>0,5</w:t>
            </w:r>
          </w:p>
        </w:tc>
        <w:tc>
          <w:tcPr>
            <w:tcW w:w="206" w:type="pct"/>
            <w:tcBorders>
              <w:top w:val="single" w:sz="4" w:space="0" w:color="auto"/>
              <w:left w:val="nil"/>
              <w:bottom w:val="single" w:sz="4" w:space="0" w:color="auto"/>
              <w:right w:val="nil"/>
            </w:tcBorders>
          </w:tcPr>
          <w:p w14:paraId="760351B5" w14:textId="30EFE6E6" w:rsidR="00C81295" w:rsidRPr="00354554" w:rsidRDefault="00C81295" w:rsidP="00ED03E2">
            <w:pPr>
              <w:jc w:val="right"/>
              <w:rPr>
                <w:lang w:eastAsia="en-US"/>
              </w:rPr>
            </w:pPr>
          </w:p>
        </w:tc>
        <w:tc>
          <w:tcPr>
            <w:tcW w:w="540" w:type="pct"/>
            <w:tcBorders>
              <w:top w:val="single" w:sz="4" w:space="0" w:color="auto"/>
              <w:left w:val="nil"/>
              <w:bottom w:val="single" w:sz="4" w:space="0" w:color="auto"/>
              <w:right w:val="single" w:sz="4" w:space="0" w:color="auto"/>
            </w:tcBorders>
          </w:tcPr>
          <w:p w14:paraId="0F1170E5" w14:textId="77777777" w:rsidR="00C81295" w:rsidRPr="00354554" w:rsidRDefault="00C81295" w:rsidP="00ED03E2">
            <w:pPr>
              <w:jc w:val="both"/>
              <w:rPr>
                <w:lang w:eastAsia="en-US"/>
              </w:rPr>
            </w:pPr>
          </w:p>
          <w:p w14:paraId="786279EC" w14:textId="5279B065" w:rsidR="00C81295" w:rsidRPr="00354554" w:rsidRDefault="00C81295" w:rsidP="00ED03E2">
            <w:pPr>
              <w:jc w:val="both"/>
              <w:rPr>
                <w:lang w:eastAsia="en-US"/>
              </w:rPr>
            </w:pPr>
          </w:p>
        </w:tc>
      </w:tr>
      <w:tr w:rsidR="00354554" w:rsidRPr="00354554" w14:paraId="03DE74BD" w14:textId="77777777" w:rsidTr="00557902">
        <w:tc>
          <w:tcPr>
            <w:tcW w:w="4254" w:type="pct"/>
            <w:gridSpan w:val="3"/>
            <w:tcBorders>
              <w:top w:val="single" w:sz="4" w:space="0" w:color="auto"/>
              <w:left w:val="single" w:sz="4" w:space="0" w:color="auto"/>
              <w:bottom w:val="single" w:sz="4" w:space="0" w:color="auto"/>
              <w:right w:val="single" w:sz="4" w:space="0" w:color="auto"/>
            </w:tcBorders>
          </w:tcPr>
          <w:p w14:paraId="5FF1D0A4" w14:textId="649F0DFD" w:rsidR="00557902" w:rsidRPr="00354554" w:rsidRDefault="00557902" w:rsidP="00ED03E2">
            <w:pPr>
              <w:jc w:val="both"/>
              <w:rPr>
                <w:noProof/>
                <w:lang w:eastAsia="en-US"/>
              </w:rPr>
            </w:pPr>
            <w:r w:rsidRPr="00354554">
              <w:rPr>
                <w:rFonts w:eastAsia="Calibri"/>
                <w:b/>
                <w:noProof/>
                <w:lang w:eastAsia="en-US"/>
              </w:rPr>
              <w:t>Trečiasis kriterijus: akustinės savybės (</w:t>
            </w:r>
            <w:r w:rsidRPr="00354554">
              <w:rPr>
                <w:b/>
                <w:bCs/>
                <w:noProof/>
                <w:sz w:val="21"/>
                <w:szCs w:val="21"/>
              </w:rPr>
              <w:t>T</w:t>
            </w:r>
            <w:r w:rsidRPr="00354554">
              <w:rPr>
                <w:b/>
                <w:bCs/>
                <w:noProof/>
                <w:sz w:val="21"/>
                <w:szCs w:val="21"/>
                <w:vertAlign w:val="subscript"/>
              </w:rPr>
              <w:t>2</w:t>
            </w:r>
            <w:r w:rsidRPr="00354554">
              <w:rPr>
                <w:b/>
                <w:bCs/>
                <w:noProof/>
                <w:sz w:val="21"/>
                <w:szCs w:val="21"/>
              </w:rPr>
              <w:t xml:space="preserve">) </w:t>
            </w:r>
          </w:p>
        </w:tc>
        <w:tc>
          <w:tcPr>
            <w:tcW w:w="746" w:type="pct"/>
            <w:gridSpan w:val="2"/>
            <w:tcBorders>
              <w:top w:val="single" w:sz="4" w:space="0" w:color="auto"/>
              <w:left w:val="single" w:sz="4" w:space="0" w:color="auto"/>
              <w:bottom w:val="single" w:sz="4" w:space="0" w:color="auto"/>
              <w:right w:val="single" w:sz="4" w:space="0" w:color="auto"/>
            </w:tcBorders>
          </w:tcPr>
          <w:p w14:paraId="79A68237" w14:textId="0CD2832F" w:rsidR="00557902" w:rsidRPr="00354554" w:rsidRDefault="00557902" w:rsidP="00557902">
            <w:pPr>
              <w:jc w:val="center"/>
              <w:rPr>
                <w:lang w:eastAsia="en-US"/>
              </w:rPr>
            </w:pPr>
            <w:r w:rsidRPr="00354554">
              <w:rPr>
                <w:b/>
                <w:bCs/>
              </w:rPr>
              <w:t>Y</w:t>
            </w:r>
            <w:r w:rsidRPr="00354554">
              <w:rPr>
                <w:b/>
                <w:bCs/>
                <w:vertAlign w:val="subscript"/>
              </w:rPr>
              <w:t>2</w:t>
            </w:r>
            <w:r w:rsidRPr="00354554">
              <w:rPr>
                <w:b/>
                <w:bCs/>
              </w:rPr>
              <w:t>= 30</w:t>
            </w:r>
          </w:p>
        </w:tc>
      </w:tr>
      <w:tr w:rsidR="00354554" w:rsidRPr="00354554" w14:paraId="720FDBC5" w14:textId="77777777" w:rsidTr="00557902">
        <w:tc>
          <w:tcPr>
            <w:tcW w:w="889" w:type="pct"/>
            <w:tcBorders>
              <w:top w:val="single" w:sz="4" w:space="0" w:color="auto"/>
              <w:left w:val="single" w:sz="4" w:space="0" w:color="auto"/>
              <w:bottom w:val="single" w:sz="4" w:space="0" w:color="auto"/>
              <w:right w:val="single" w:sz="4" w:space="0" w:color="auto"/>
            </w:tcBorders>
            <w:hideMark/>
          </w:tcPr>
          <w:p w14:paraId="50DF9ED1" w14:textId="46702F42" w:rsidR="00557902" w:rsidRPr="00354554" w:rsidRDefault="00557902" w:rsidP="00557902">
            <w:pPr>
              <w:jc w:val="both"/>
              <w:rPr>
                <w:noProof/>
                <w:lang w:eastAsia="en-US"/>
              </w:rPr>
            </w:pPr>
            <w:r w:rsidRPr="00354554">
              <w:rPr>
                <w:noProof/>
              </w:rPr>
              <w:t>3.</w:t>
            </w:r>
          </w:p>
        </w:tc>
        <w:tc>
          <w:tcPr>
            <w:tcW w:w="2389" w:type="pct"/>
            <w:tcBorders>
              <w:top w:val="single" w:sz="4" w:space="0" w:color="auto"/>
              <w:left w:val="single" w:sz="4" w:space="0" w:color="auto"/>
              <w:bottom w:val="single" w:sz="4" w:space="0" w:color="auto"/>
              <w:right w:val="single" w:sz="4" w:space="0" w:color="auto"/>
            </w:tcBorders>
            <w:hideMark/>
          </w:tcPr>
          <w:p w14:paraId="2DDC882D" w14:textId="77777777" w:rsidR="00557902" w:rsidRPr="00354554" w:rsidRDefault="00557902" w:rsidP="00ED03E2">
            <w:pPr>
              <w:jc w:val="both"/>
              <w:rPr>
                <w:noProof/>
                <w:lang w:eastAsia="en-US"/>
              </w:rPr>
            </w:pPr>
            <w:r w:rsidRPr="00354554">
              <w:rPr>
                <w:noProof/>
              </w:rPr>
              <w:t>Skambesio galimybės nuo ppp (pianissimo) iki fff (fortissimo)</w:t>
            </w:r>
            <w:r w:rsidRPr="00354554">
              <w:rPr>
                <w:rStyle w:val="FootnoteReference"/>
                <w:noProof/>
              </w:rPr>
              <w:footnoteReference w:id="3"/>
            </w:r>
          </w:p>
        </w:tc>
        <w:tc>
          <w:tcPr>
            <w:tcW w:w="976" w:type="pct"/>
            <w:tcBorders>
              <w:top w:val="single" w:sz="4" w:space="0" w:color="auto"/>
              <w:left w:val="nil"/>
              <w:bottom w:val="single" w:sz="4" w:space="0" w:color="auto"/>
              <w:right w:val="single" w:sz="4" w:space="0" w:color="auto"/>
            </w:tcBorders>
          </w:tcPr>
          <w:p w14:paraId="0AC5D0F4" w14:textId="17E7C804" w:rsidR="00E71192" w:rsidRPr="00354554" w:rsidRDefault="00E71192" w:rsidP="00E71192">
            <w:pPr>
              <w:pStyle w:val="Default"/>
              <w:jc w:val="center"/>
              <w:rPr>
                <w:color w:val="auto"/>
                <w:sz w:val="21"/>
                <w:szCs w:val="21"/>
              </w:rPr>
            </w:pPr>
            <w:r w:rsidRPr="00354554">
              <w:rPr>
                <w:color w:val="auto"/>
                <w:sz w:val="21"/>
                <w:szCs w:val="21"/>
              </w:rPr>
              <w:t>L</w:t>
            </w:r>
            <w:r w:rsidRPr="00354554">
              <w:rPr>
                <w:color w:val="auto"/>
                <w:sz w:val="21"/>
                <w:szCs w:val="21"/>
                <w:vertAlign w:val="subscript"/>
              </w:rPr>
              <w:t>1</w:t>
            </w:r>
            <w:r w:rsidRPr="00354554">
              <w:rPr>
                <w:color w:val="auto"/>
                <w:sz w:val="21"/>
                <w:szCs w:val="21"/>
              </w:rPr>
              <w:t xml:space="preserve"> = 0,3</w:t>
            </w:r>
          </w:p>
          <w:p w14:paraId="3BC11A7A" w14:textId="13ADB8D6" w:rsidR="00557902" w:rsidRPr="00354554" w:rsidRDefault="00557902" w:rsidP="00ED03E2">
            <w:pPr>
              <w:jc w:val="both"/>
              <w:rPr>
                <w:highlight w:val="yellow"/>
                <w:lang w:eastAsia="en-US"/>
              </w:rPr>
            </w:pPr>
          </w:p>
        </w:tc>
        <w:tc>
          <w:tcPr>
            <w:tcW w:w="206" w:type="pct"/>
            <w:tcBorders>
              <w:top w:val="single" w:sz="4" w:space="0" w:color="auto"/>
              <w:left w:val="nil"/>
              <w:bottom w:val="single" w:sz="4" w:space="0" w:color="auto"/>
              <w:right w:val="nil"/>
            </w:tcBorders>
          </w:tcPr>
          <w:p w14:paraId="7A218ADD" w14:textId="6D455191" w:rsidR="00557902" w:rsidRPr="00354554" w:rsidRDefault="00557902" w:rsidP="00ED03E2">
            <w:pPr>
              <w:jc w:val="right"/>
              <w:rPr>
                <w:lang w:eastAsia="en-US"/>
              </w:rPr>
            </w:pPr>
          </w:p>
        </w:tc>
        <w:tc>
          <w:tcPr>
            <w:tcW w:w="540" w:type="pct"/>
            <w:tcBorders>
              <w:top w:val="single" w:sz="4" w:space="0" w:color="auto"/>
              <w:left w:val="nil"/>
              <w:bottom w:val="single" w:sz="4" w:space="0" w:color="auto"/>
              <w:right w:val="single" w:sz="4" w:space="0" w:color="auto"/>
            </w:tcBorders>
          </w:tcPr>
          <w:p w14:paraId="73D94A9A" w14:textId="410E0120" w:rsidR="00557902" w:rsidRPr="00354554" w:rsidRDefault="00557902" w:rsidP="00ED03E2">
            <w:pPr>
              <w:jc w:val="both"/>
              <w:rPr>
                <w:lang w:eastAsia="en-US"/>
              </w:rPr>
            </w:pPr>
          </w:p>
        </w:tc>
      </w:tr>
      <w:tr w:rsidR="00354554" w:rsidRPr="00354554" w14:paraId="7B4E0A90" w14:textId="77777777" w:rsidTr="00557902">
        <w:tc>
          <w:tcPr>
            <w:tcW w:w="889" w:type="pct"/>
            <w:tcBorders>
              <w:top w:val="single" w:sz="4" w:space="0" w:color="auto"/>
              <w:left w:val="single" w:sz="4" w:space="0" w:color="auto"/>
              <w:bottom w:val="single" w:sz="4" w:space="0" w:color="auto"/>
              <w:right w:val="single" w:sz="4" w:space="0" w:color="auto"/>
            </w:tcBorders>
            <w:hideMark/>
          </w:tcPr>
          <w:p w14:paraId="2EFB90CB" w14:textId="5F5FB06F" w:rsidR="00557902" w:rsidRPr="00354554" w:rsidRDefault="00557902" w:rsidP="00557902">
            <w:pPr>
              <w:jc w:val="both"/>
              <w:rPr>
                <w:noProof/>
                <w:lang w:eastAsia="en-US"/>
              </w:rPr>
            </w:pPr>
            <w:r w:rsidRPr="00354554">
              <w:rPr>
                <w:noProof/>
              </w:rPr>
              <w:t>4.</w:t>
            </w:r>
          </w:p>
        </w:tc>
        <w:tc>
          <w:tcPr>
            <w:tcW w:w="2389" w:type="pct"/>
            <w:tcBorders>
              <w:top w:val="single" w:sz="4" w:space="0" w:color="auto"/>
              <w:left w:val="single" w:sz="4" w:space="0" w:color="auto"/>
              <w:bottom w:val="single" w:sz="4" w:space="0" w:color="auto"/>
              <w:right w:val="single" w:sz="4" w:space="0" w:color="auto"/>
            </w:tcBorders>
            <w:hideMark/>
          </w:tcPr>
          <w:p w14:paraId="03EE846E" w14:textId="77777777" w:rsidR="00557902" w:rsidRPr="00354554" w:rsidRDefault="00557902" w:rsidP="00ED03E2">
            <w:pPr>
              <w:jc w:val="both"/>
              <w:rPr>
                <w:noProof/>
                <w:lang w:eastAsia="en-US"/>
              </w:rPr>
            </w:pPr>
            <w:r w:rsidRPr="00354554">
              <w:rPr>
                <w:noProof/>
              </w:rPr>
              <w:t>Tembrinės instrumento skalės diapazonas</w:t>
            </w:r>
            <w:r w:rsidRPr="00354554">
              <w:rPr>
                <w:rStyle w:val="FootnoteReference"/>
                <w:noProof/>
              </w:rPr>
              <w:footnoteReference w:id="4"/>
            </w:r>
          </w:p>
        </w:tc>
        <w:tc>
          <w:tcPr>
            <w:tcW w:w="976" w:type="pct"/>
            <w:tcBorders>
              <w:top w:val="single" w:sz="4" w:space="0" w:color="auto"/>
              <w:left w:val="nil"/>
              <w:bottom w:val="single" w:sz="4" w:space="0" w:color="auto"/>
              <w:right w:val="single" w:sz="4" w:space="0" w:color="auto"/>
            </w:tcBorders>
          </w:tcPr>
          <w:p w14:paraId="375524F4" w14:textId="77777777" w:rsidR="00557902" w:rsidRPr="00354554" w:rsidRDefault="00E71192" w:rsidP="00E71192">
            <w:pPr>
              <w:pStyle w:val="Default"/>
              <w:jc w:val="center"/>
              <w:rPr>
                <w:color w:val="auto"/>
                <w:sz w:val="21"/>
                <w:szCs w:val="21"/>
              </w:rPr>
            </w:pPr>
            <w:r w:rsidRPr="00354554">
              <w:rPr>
                <w:color w:val="auto"/>
                <w:sz w:val="21"/>
                <w:szCs w:val="21"/>
              </w:rPr>
              <w:t>L</w:t>
            </w:r>
            <w:r w:rsidRPr="00354554">
              <w:rPr>
                <w:color w:val="auto"/>
                <w:sz w:val="21"/>
                <w:szCs w:val="21"/>
                <w:vertAlign w:val="subscript"/>
              </w:rPr>
              <w:t>2</w:t>
            </w:r>
            <w:r w:rsidRPr="00354554">
              <w:rPr>
                <w:color w:val="auto"/>
                <w:sz w:val="21"/>
                <w:szCs w:val="21"/>
              </w:rPr>
              <w:t xml:space="preserve"> = 0,3</w:t>
            </w:r>
          </w:p>
          <w:p w14:paraId="2E119919" w14:textId="56A8F4A3" w:rsidR="0019125B" w:rsidRPr="00354554" w:rsidRDefault="0019125B" w:rsidP="00E71192">
            <w:pPr>
              <w:pStyle w:val="Default"/>
              <w:jc w:val="center"/>
              <w:rPr>
                <w:color w:val="auto"/>
                <w:sz w:val="21"/>
                <w:szCs w:val="21"/>
              </w:rPr>
            </w:pPr>
          </w:p>
        </w:tc>
        <w:tc>
          <w:tcPr>
            <w:tcW w:w="206" w:type="pct"/>
            <w:tcBorders>
              <w:top w:val="single" w:sz="4" w:space="0" w:color="auto"/>
              <w:left w:val="nil"/>
              <w:bottom w:val="single" w:sz="4" w:space="0" w:color="auto"/>
              <w:right w:val="nil"/>
            </w:tcBorders>
          </w:tcPr>
          <w:p w14:paraId="742B20BB" w14:textId="2ABC751B" w:rsidR="00557902" w:rsidRPr="00354554" w:rsidRDefault="00557902" w:rsidP="00ED03E2">
            <w:pPr>
              <w:jc w:val="right"/>
              <w:rPr>
                <w:lang w:eastAsia="en-US"/>
              </w:rPr>
            </w:pPr>
          </w:p>
        </w:tc>
        <w:tc>
          <w:tcPr>
            <w:tcW w:w="540" w:type="pct"/>
            <w:tcBorders>
              <w:top w:val="single" w:sz="4" w:space="0" w:color="auto"/>
              <w:left w:val="nil"/>
              <w:bottom w:val="single" w:sz="4" w:space="0" w:color="auto"/>
              <w:right w:val="single" w:sz="4" w:space="0" w:color="auto"/>
            </w:tcBorders>
          </w:tcPr>
          <w:p w14:paraId="35939F2B" w14:textId="71721176" w:rsidR="00557902" w:rsidRPr="00354554" w:rsidRDefault="00557902" w:rsidP="00ED03E2">
            <w:pPr>
              <w:jc w:val="both"/>
              <w:rPr>
                <w:lang w:eastAsia="en-US"/>
              </w:rPr>
            </w:pPr>
          </w:p>
        </w:tc>
      </w:tr>
      <w:tr w:rsidR="00354554" w:rsidRPr="00354554" w14:paraId="50EC46D6" w14:textId="77777777" w:rsidTr="00557902">
        <w:tc>
          <w:tcPr>
            <w:tcW w:w="889" w:type="pct"/>
            <w:tcBorders>
              <w:top w:val="single" w:sz="4" w:space="0" w:color="auto"/>
              <w:left w:val="single" w:sz="4" w:space="0" w:color="auto"/>
              <w:bottom w:val="single" w:sz="4" w:space="0" w:color="auto"/>
              <w:right w:val="single" w:sz="4" w:space="0" w:color="auto"/>
            </w:tcBorders>
            <w:hideMark/>
          </w:tcPr>
          <w:p w14:paraId="5124A7B9" w14:textId="300800F0" w:rsidR="00557902" w:rsidRPr="00354554" w:rsidRDefault="00557902" w:rsidP="00557902">
            <w:pPr>
              <w:jc w:val="both"/>
              <w:rPr>
                <w:noProof/>
                <w:lang w:eastAsia="en-US"/>
              </w:rPr>
            </w:pPr>
            <w:r w:rsidRPr="00354554">
              <w:rPr>
                <w:noProof/>
              </w:rPr>
              <w:t>5.</w:t>
            </w:r>
          </w:p>
        </w:tc>
        <w:tc>
          <w:tcPr>
            <w:tcW w:w="2389" w:type="pct"/>
            <w:tcBorders>
              <w:top w:val="single" w:sz="4" w:space="0" w:color="auto"/>
              <w:left w:val="single" w:sz="4" w:space="0" w:color="auto"/>
              <w:bottom w:val="single" w:sz="4" w:space="0" w:color="auto"/>
              <w:right w:val="single" w:sz="4" w:space="0" w:color="auto"/>
            </w:tcBorders>
            <w:hideMark/>
          </w:tcPr>
          <w:p w14:paraId="0643550E" w14:textId="77777777" w:rsidR="00557902" w:rsidRPr="00354554" w:rsidRDefault="00557902" w:rsidP="00ED03E2">
            <w:pPr>
              <w:jc w:val="both"/>
              <w:rPr>
                <w:noProof/>
                <w:lang w:eastAsia="en-US"/>
              </w:rPr>
            </w:pPr>
            <w:r w:rsidRPr="00354554">
              <w:rPr>
                <w:noProof/>
              </w:rPr>
              <w:t>Skambesio trukmės ir kokybės santykis</w:t>
            </w:r>
            <w:r w:rsidRPr="00354554">
              <w:rPr>
                <w:rStyle w:val="FootnoteReference"/>
                <w:noProof/>
              </w:rPr>
              <w:footnoteReference w:id="5"/>
            </w:r>
          </w:p>
        </w:tc>
        <w:tc>
          <w:tcPr>
            <w:tcW w:w="976" w:type="pct"/>
            <w:tcBorders>
              <w:top w:val="single" w:sz="4" w:space="0" w:color="auto"/>
              <w:left w:val="nil"/>
              <w:bottom w:val="single" w:sz="4" w:space="0" w:color="auto"/>
              <w:right w:val="single" w:sz="4" w:space="0" w:color="auto"/>
            </w:tcBorders>
          </w:tcPr>
          <w:p w14:paraId="265F0016" w14:textId="58777D94" w:rsidR="00557902" w:rsidRPr="00354554" w:rsidRDefault="00E71192" w:rsidP="00E71192">
            <w:pPr>
              <w:pStyle w:val="Default"/>
              <w:jc w:val="center"/>
              <w:rPr>
                <w:color w:val="auto"/>
                <w:sz w:val="21"/>
                <w:szCs w:val="21"/>
              </w:rPr>
            </w:pPr>
            <w:r w:rsidRPr="00354554">
              <w:rPr>
                <w:color w:val="auto"/>
                <w:sz w:val="21"/>
                <w:szCs w:val="21"/>
              </w:rPr>
              <w:t>L</w:t>
            </w:r>
            <w:r w:rsidRPr="00354554">
              <w:rPr>
                <w:color w:val="auto"/>
                <w:sz w:val="21"/>
                <w:szCs w:val="21"/>
                <w:vertAlign w:val="subscript"/>
              </w:rPr>
              <w:t>3</w:t>
            </w:r>
            <w:r w:rsidRPr="00354554">
              <w:rPr>
                <w:color w:val="auto"/>
                <w:sz w:val="21"/>
                <w:szCs w:val="21"/>
              </w:rPr>
              <w:t xml:space="preserve"> = 0,4</w:t>
            </w:r>
            <w:r w:rsidR="0019125B" w:rsidRPr="00354554">
              <w:rPr>
                <w:color w:val="auto"/>
                <w:sz w:val="21"/>
                <w:szCs w:val="21"/>
              </w:rPr>
              <w:br/>
            </w:r>
          </w:p>
        </w:tc>
        <w:tc>
          <w:tcPr>
            <w:tcW w:w="206" w:type="pct"/>
            <w:tcBorders>
              <w:top w:val="single" w:sz="4" w:space="0" w:color="auto"/>
              <w:left w:val="nil"/>
              <w:bottom w:val="single" w:sz="4" w:space="0" w:color="auto"/>
              <w:right w:val="nil"/>
            </w:tcBorders>
          </w:tcPr>
          <w:p w14:paraId="259310C7" w14:textId="6936DE85" w:rsidR="00557902" w:rsidRPr="00354554" w:rsidRDefault="00557902" w:rsidP="00ED03E2">
            <w:pPr>
              <w:jc w:val="right"/>
              <w:rPr>
                <w:lang w:eastAsia="en-US"/>
              </w:rPr>
            </w:pPr>
          </w:p>
        </w:tc>
        <w:tc>
          <w:tcPr>
            <w:tcW w:w="540" w:type="pct"/>
            <w:tcBorders>
              <w:top w:val="single" w:sz="4" w:space="0" w:color="auto"/>
              <w:left w:val="nil"/>
              <w:bottom w:val="single" w:sz="4" w:space="0" w:color="auto"/>
              <w:right w:val="single" w:sz="4" w:space="0" w:color="auto"/>
            </w:tcBorders>
          </w:tcPr>
          <w:p w14:paraId="15F77265" w14:textId="552EB7A6" w:rsidR="00557902" w:rsidRPr="00354554" w:rsidRDefault="00557902" w:rsidP="00ED03E2">
            <w:pPr>
              <w:jc w:val="both"/>
              <w:rPr>
                <w:lang w:eastAsia="en-US"/>
              </w:rPr>
            </w:pPr>
          </w:p>
        </w:tc>
      </w:tr>
    </w:tbl>
    <w:p w14:paraId="4B793E2A" w14:textId="29F79EE1" w:rsidR="008E6D7A" w:rsidRPr="00354554" w:rsidRDefault="008E6D7A" w:rsidP="007C4268">
      <w:pPr>
        <w:spacing w:after="0" w:line="240" w:lineRule="auto"/>
        <w:rPr>
          <w:rFonts w:ascii="Times New Roman" w:hAnsi="Times New Roman" w:cs="Times New Roman"/>
          <w:lang w:eastAsia="en-US"/>
        </w:rPr>
      </w:pPr>
    </w:p>
    <w:p w14:paraId="4647AC97" w14:textId="2BE8BCAC" w:rsidR="00E71192" w:rsidRPr="00D217D8" w:rsidRDefault="00E71192" w:rsidP="000874FC">
      <w:pPr>
        <w:pStyle w:val="ListParagraph"/>
        <w:numPr>
          <w:ilvl w:val="0"/>
          <w:numId w:val="22"/>
        </w:numPr>
        <w:rPr>
          <w:szCs w:val="24"/>
        </w:rPr>
      </w:pPr>
      <w:r w:rsidRPr="00D217D8">
        <w:rPr>
          <w:szCs w:val="24"/>
        </w:rPr>
        <w:t>Ekonominio naudingumo skaičiavimo tvarka:</w:t>
      </w:r>
    </w:p>
    <w:p w14:paraId="0552AA20" w14:textId="3FEEBEE3" w:rsidR="008E6D7A" w:rsidRPr="00D217D8" w:rsidRDefault="00BD7E66" w:rsidP="000874FC">
      <w:pPr>
        <w:pStyle w:val="ListParagraph"/>
        <w:numPr>
          <w:ilvl w:val="1"/>
          <w:numId w:val="23"/>
        </w:numPr>
        <w:ind w:left="709" w:hanging="709"/>
        <w:rPr>
          <w:noProof/>
          <w:szCs w:val="24"/>
        </w:rPr>
      </w:pPr>
      <w:r w:rsidRPr="00D217D8">
        <w:rPr>
          <w:noProof/>
          <w:szCs w:val="24"/>
        </w:rPr>
        <w:t>e</w:t>
      </w:r>
      <w:r w:rsidR="008E6D7A" w:rsidRPr="00D217D8">
        <w:rPr>
          <w:noProof/>
          <w:szCs w:val="24"/>
        </w:rPr>
        <w:t xml:space="preserve">konominis naudingumas (S) </w:t>
      </w:r>
      <w:r w:rsidR="00B51EB9" w:rsidRPr="00D217D8">
        <w:rPr>
          <w:noProof/>
          <w:szCs w:val="24"/>
        </w:rPr>
        <w:t>apskaičiuojamas sudedant vertinimo</w:t>
      </w:r>
      <w:r w:rsidRPr="00D217D8">
        <w:rPr>
          <w:noProof/>
          <w:szCs w:val="24"/>
        </w:rPr>
        <w:t xml:space="preserve"> –</w:t>
      </w:r>
      <w:r w:rsidR="00B51EB9" w:rsidRPr="00D217D8">
        <w:rPr>
          <w:noProof/>
          <w:szCs w:val="24"/>
        </w:rPr>
        <w:t xml:space="preserve"> </w:t>
      </w:r>
      <w:r w:rsidR="00C81295" w:rsidRPr="00D217D8">
        <w:rPr>
          <w:noProof/>
          <w:szCs w:val="24"/>
        </w:rPr>
        <w:t>T</w:t>
      </w:r>
      <w:r w:rsidR="00B51EB9" w:rsidRPr="00D217D8">
        <w:rPr>
          <w:noProof/>
          <w:szCs w:val="24"/>
        </w:rPr>
        <w:t>iekėjo Pasiūlymo kainos (C) ir</w:t>
      </w:r>
      <w:r w:rsidR="008E6D7A" w:rsidRPr="00D217D8">
        <w:rPr>
          <w:noProof/>
          <w:szCs w:val="24"/>
        </w:rPr>
        <w:t xml:space="preserve"> </w:t>
      </w:r>
      <w:r w:rsidR="00022E1C" w:rsidRPr="00D217D8">
        <w:rPr>
          <w:noProof/>
          <w:szCs w:val="24"/>
        </w:rPr>
        <w:t>kokybės</w:t>
      </w:r>
      <w:r w:rsidR="008E6D7A" w:rsidRPr="00D217D8">
        <w:rPr>
          <w:noProof/>
          <w:szCs w:val="24"/>
        </w:rPr>
        <w:t xml:space="preserve"> kriterijų (T) </w:t>
      </w:r>
      <w:r w:rsidRPr="00D217D8">
        <w:rPr>
          <w:noProof/>
          <w:szCs w:val="24"/>
        </w:rPr>
        <w:t xml:space="preserve">– </w:t>
      </w:r>
      <w:r w:rsidR="008E6D7A" w:rsidRPr="00D217D8">
        <w:rPr>
          <w:noProof/>
          <w:szCs w:val="24"/>
        </w:rPr>
        <w:t>balu</w:t>
      </w:r>
      <w:r w:rsidR="00B51EB9" w:rsidRPr="00D217D8">
        <w:rPr>
          <w:noProof/>
          <w:szCs w:val="24"/>
        </w:rPr>
        <w:t>s</w:t>
      </w:r>
      <w:r w:rsidR="008E6D7A" w:rsidRPr="00D217D8">
        <w:rPr>
          <w:noProof/>
          <w:szCs w:val="24"/>
        </w:rPr>
        <w:t>:</w:t>
      </w:r>
    </w:p>
    <w:p w14:paraId="4E8D80AB" w14:textId="77777777" w:rsidR="003778B3" w:rsidRPr="00354554" w:rsidRDefault="003778B3" w:rsidP="003778B3">
      <w:pPr>
        <w:pStyle w:val="ListParagraph"/>
        <w:spacing w:line="276" w:lineRule="auto"/>
        <w:ind w:left="709"/>
        <w:rPr>
          <w:noProof/>
          <w:szCs w:val="24"/>
        </w:rPr>
      </w:pPr>
    </w:p>
    <w:p w14:paraId="0D310875" w14:textId="3AB6EA8F" w:rsidR="008E6D7A" w:rsidRPr="00354554" w:rsidRDefault="00022E1C" w:rsidP="003778B3">
      <w:pPr>
        <w:spacing w:after="0"/>
        <w:jc w:val="center"/>
        <w:rPr>
          <w:rFonts w:ascii="Times New Roman" w:eastAsiaTheme="minorHAnsi" w:hAnsi="Times New Roman" w:cs="Times New Roman"/>
          <w:i/>
          <w:iCs/>
          <w:noProof/>
          <w:sz w:val="24"/>
          <w:szCs w:val="24"/>
          <w:lang w:eastAsia="en-US"/>
        </w:rPr>
      </w:pPr>
      <w:r w:rsidRPr="00354554">
        <w:rPr>
          <w:rFonts w:ascii="Times New Roman" w:eastAsiaTheme="minorHAnsi" w:hAnsi="Times New Roman" w:cs="Times New Roman"/>
          <w:i/>
          <w:iCs/>
          <w:noProof/>
          <w:sz w:val="24"/>
          <w:szCs w:val="24"/>
          <w:lang w:eastAsia="en-US"/>
        </w:rPr>
        <w:t>S</w:t>
      </w:r>
      <w:r w:rsidR="00BD7E66" w:rsidRPr="00354554">
        <w:rPr>
          <w:rFonts w:ascii="Times New Roman" w:eastAsiaTheme="minorHAnsi" w:hAnsi="Times New Roman" w:cs="Times New Roman"/>
          <w:i/>
          <w:iCs/>
          <w:noProof/>
          <w:sz w:val="24"/>
          <w:szCs w:val="24"/>
          <w:lang w:eastAsia="en-US"/>
        </w:rPr>
        <w:t xml:space="preserve"> </w:t>
      </w:r>
      <w:r w:rsidRPr="00354554">
        <w:rPr>
          <w:rFonts w:ascii="Times New Roman" w:eastAsiaTheme="minorHAnsi" w:hAnsi="Times New Roman" w:cs="Times New Roman"/>
          <w:i/>
          <w:iCs/>
          <w:noProof/>
          <w:sz w:val="24"/>
          <w:szCs w:val="24"/>
          <w:lang w:eastAsia="en-US"/>
        </w:rPr>
        <w:t>=</w:t>
      </w:r>
      <w:r w:rsidR="00B51EB9" w:rsidRPr="00354554">
        <w:rPr>
          <w:rFonts w:ascii="Times New Roman" w:hAnsi="Times New Roman" w:cs="Times New Roman"/>
          <w:noProof/>
          <w:sz w:val="24"/>
          <w:szCs w:val="24"/>
        </w:rPr>
        <w:t xml:space="preserve"> </w:t>
      </w:r>
      <w:r w:rsidR="00B51EB9" w:rsidRPr="00354554">
        <w:rPr>
          <w:rFonts w:ascii="Times New Roman" w:eastAsiaTheme="minorHAnsi" w:hAnsi="Times New Roman" w:cs="Times New Roman"/>
          <w:i/>
          <w:iCs/>
          <w:noProof/>
          <w:sz w:val="24"/>
          <w:szCs w:val="24"/>
          <w:lang w:eastAsia="en-US"/>
        </w:rPr>
        <w:t>C +</w:t>
      </w:r>
      <w:r w:rsidRPr="00354554">
        <w:rPr>
          <w:rFonts w:ascii="Times New Roman" w:eastAsiaTheme="minorHAnsi" w:hAnsi="Times New Roman" w:cs="Times New Roman"/>
          <w:i/>
          <w:iCs/>
          <w:noProof/>
          <w:sz w:val="24"/>
          <w:szCs w:val="24"/>
          <w:lang w:eastAsia="en-US"/>
        </w:rPr>
        <w:t>T</w:t>
      </w:r>
      <w:r w:rsidR="00136CD8" w:rsidRPr="00354554">
        <w:rPr>
          <w:rFonts w:ascii="Times New Roman" w:eastAsiaTheme="minorHAnsi" w:hAnsi="Times New Roman" w:cs="Times New Roman"/>
          <w:i/>
          <w:iCs/>
          <w:noProof/>
          <w:sz w:val="24"/>
          <w:szCs w:val="24"/>
          <w:lang w:eastAsia="en-US"/>
        </w:rPr>
        <w:t xml:space="preserve"> </w:t>
      </w:r>
    </w:p>
    <w:p w14:paraId="0F23F1E8" w14:textId="77777777" w:rsidR="00226A6E" w:rsidRPr="00354554" w:rsidRDefault="00226A6E" w:rsidP="003778B3">
      <w:pPr>
        <w:spacing w:after="0"/>
        <w:jc w:val="center"/>
        <w:rPr>
          <w:rFonts w:ascii="Times New Roman" w:eastAsiaTheme="minorHAnsi" w:hAnsi="Times New Roman" w:cs="Times New Roman"/>
          <w:i/>
          <w:iCs/>
          <w:noProof/>
          <w:sz w:val="24"/>
          <w:szCs w:val="24"/>
          <w:lang w:eastAsia="en-US"/>
        </w:rPr>
      </w:pPr>
    </w:p>
    <w:p w14:paraId="180BF87B" w14:textId="09FF58F9" w:rsidR="00CC645D" w:rsidRPr="00D217D8" w:rsidRDefault="00BD7E66" w:rsidP="000874FC">
      <w:pPr>
        <w:pStyle w:val="ListParagraph"/>
        <w:numPr>
          <w:ilvl w:val="1"/>
          <w:numId w:val="23"/>
        </w:numPr>
        <w:ind w:left="709" w:hanging="709"/>
        <w:rPr>
          <w:iCs/>
          <w:noProof/>
          <w:szCs w:val="24"/>
        </w:rPr>
      </w:pPr>
      <w:r w:rsidRPr="00D217D8">
        <w:rPr>
          <w:iCs/>
          <w:noProof/>
          <w:szCs w:val="24"/>
        </w:rPr>
        <w:t>p</w:t>
      </w:r>
      <w:r w:rsidR="00CC645D" w:rsidRPr="00D217D8">
        <w:rPr>
          <w:iCs/>
          <w:noProof/>
          <w:szCs w:val="24"/>
        </w:rPr>
        <w:t>asiūlymo kainos (C) balas yra apskaičiuojamas mažiausios pasiūlytos kainos (C</w:t>
      </w:r>
      <w:r w:rsidR="00CC645D" w:rsidRPr="00D217D8">
        <w:rPr>
          <w:iCs/>
          <w:noProof/>
          <w:szCs w:val="24"/>
          <w:vertAlign w:val="subscript"/>
        </w:rPr>
        <w:t>min</w:t>
      </w:r>
      <w:r w:rsidR="00CC645D" w:rsidRPr="00D217D8">
        <w:rPr>
          <w:iCs/>
          <w:noProof/>
          <w:szCs w:val="24"/>
        </w:rPr>
        <w:t>) ir vertinamo pasiūlymo kainos (С</w:t>
      </w:r>
      <w:r w:rsidR="00CC645D" w:rsidRPr="00D217D8">
        <w:rPr>
          <w:iCs/>
          <w:noProof/>
          <w:szCs w:val="24"/>
          <w:vertAlign w:val="subscript"/>
        </w:rPr>
        <w:t>p</w:t>
      </w:r>
      <w:r w:rsidR="00CC645D" w:rsidRPr="00D217D8">
        <w:rPr>
          <w:iCs/>
          <w:noProof/>
          <w:szCs w:val="24"/>
        </w:rPr>
        <w:t>) santykį padauginant iš kainos lyginamojo svorio (X):</w:t>
      </w:r>
    </w:p>
    <w:p w14:paraId="3D64913B" w14:textId="77777777" w:rsidR="00CC645D" w:rsidRPr="00354554" w:rsidRDefault="00CC645D" w:rsidP="003778B3">
      <w:pPr>
        <w:spacing w:after="0"/>
        <w:ind w:firstLine="709"/>
        <w:jc w:val="both"/>
        <w:rPr>
          <w:rFonts w:ascii="Times New Roman" w:hAnsi="Times New Roman" w:cs="Times New Roman"/>
          <w:iCs/>
          <w:noProof/>
          <w:sz w:val="24"/>
          <w:szCs w:val="24"/>
        </w:rPr>
      </w:pPr>
    </w:p>
    <w:p w14:paraId="7C787595" w14:textId="589AC16D" w:rsidR="00324EF7" w:rsidRPr="00354554" w:rsidRDefault="00DC4297" w:rsidP="003778B3">
      <w:pPr>
        <w:tabs>
          <w:tab w:val="left" w:pos="1134"/>
          <w:tab w:val="left" w:pos="1276"/>
        </w:tabs>
        <w:spacing w:after="0"/>
        <w:ind w:firstLine="709"/>
        <w:jc w:val="center"/>
        <w:rPr>
          <w:rFonts w:ascii="Times New Roman" w:eastAsia="Calibri" w:hAnsi="Times New Roman" w:cs="Times New Roman"/>
          <w:noProof/>
          <w:sz w:val="24"/>
          <w:szCs w:val="24"/>
          <w:lang w:eastAsia="lt-LT"/>
        </w:rPr>
      </w:pPr>
      <m:oMath>
        <m:r>
          <m:rPr>
            <m:sty m:val="p"/>
          </m:rPr>
          <w:rPr>
            <w:rFonts w:ascii="Cambria Math" w:hAnsi="Cambria Math" w:cs="Times New Roman"/>
            <w:noProof/>
            <w:sz w:val="24"/>
            <w:szCs w:val="24"/>
          </w:rPr>
          <m:t>C=</m:t>
        </m:r>
        <m:f>
          <m:fPr>
            <m:ctrlPr>
              <w:rPr>
                <w:rFonts w:ascii="Cambria Math" w:hAnsi="Cambria Math" w:cs="Times New Roman"/>
                <w:noProof/>
                <w:sz w:val="24"/>
                <w:szCs w:val="24"/>
              </w:rPr>
            </m:ctrlPr>
          </m:fPr>
          <m:num>
            <m:sSub>
              <m:sSubPr>
                <m:ctrlPr>
                  <w:rPr>
                    <w:rFonts w:ascii="Cambria Math" w:hAnsi="Cambria Math" w:cs="Times New Roman"/>
                    <w:noProof/>
                    <w:sz w:val="24"/>
                    <w:szCs w:val="24"/>
                  </w:rPr>
                </m:ctrlPr>
              </m:sSubPr>
              <m:e>
                <m:r>
                  <m:rPr>
                    <m:sty m:val="p"/>
                  </m:rPr>
                  <w:rPr>
                    <w:rFonts w:ascii="Cambria Math" w:hAnsi="Cambria Math" w:cs="Times New Roman"/>
                    <w:noProof/>
                    <w:sz w:val="24"/>
                    <w:szCs w:val="24"/>
                  </w:rPr>
                  <m:t>C</m:t>
                </m:r>
              </m:e>
              <m:sub>
                <m:r>
                  <m:rPr>
                    <m:sty m:val="p"/>
                  </m:rPr>
                  <w:rPr>
                    <w:rFonts w:ascii="Cambria Math" w:hAnsi="Cambria Math" w:cs="Times New Roman"/>
                    <w:noProof/>
                    <w:sz w:val="24"/>
                    <w:szCs w:val="24"/>
                  </w:rPr>
                  <m:t>min</m:t>
                </m:r>
              </m:sub>
            </m:sSub>
          </m:num>
          <m:den>
            <m:sSub>
              <m:sSubPr>
                <m:ctrlPr>
                  <w:rPr>
                    <w:rFonts w:ascii="Cambria Math" w:hAnsi="Cambria Math" w:cs="Times New Roman"/>
                    <w:noProof/>
                    <w:sz w:val="24"/>
                    <w:szCs w:val="24"/>
                  </w:rPr>
                </m:ctrlPr>
              </m:sSubPr>
              <m:e>
                <m:r>
                  <m:rPr>
                    <m:sty m:val="p"/>
                  </m:rPr>
                  <w:rPr>
                    <w:rFonts w:ascii="Cambria Math" w:hAnsi="Cambria Math" w:cs="Times New Roman"/>
                    <w:noProof/>
                    <w:sz w:val="24"/>
                    <w:szCs w:val="24"/>
                  </w:rPr>
                  <m:t>C</m:t>
                </m:r>
              </m:e>
              <m:sub>
                <m:r>
                  <m:rPr>
                    <m:sty m:val="p"/>
                  </m:rPr>
                  <w:rPr>
                    <w:rFonts w:ascii="Cambria Math" w:hAnsi="Cambria Math" w:cs="Times New Roman"/>
                    <w:noProof/>
                    <w:sz w:val="24"/>
                    <w:szCs w:val="24"/>
                  </w:rPr>
                  <m:t>P</m:t>
                </m:r>
              </m:sub>
            </m:sSub>
          </m:den>
        </m:f>
        <m:r>
          <m:rPr>
            <m:sty m:val="p"/>
          </m:rPr>
          <w:rPr>
            <w:rFonts w:ascii="Cambria Math" w:hAnsi="Cambria Math" w:cs="Times New Roman"/>
            <w:noProof/>
            <w:sz w:val="24"/>
            <w:szCs w:val="24"/>
          </w:rPr>
          <m:t xml:space="preserve"> ×X</m:t>
        </m:r>
      </m:oMath>
      <w:r w:rsidR="00136CD8" w:rsidRPr="00354554">
        <w:rPr>
          <w:rFonts w:ascii="Times New Roman" w:hAnsi="Times New Roman" w:cs="Times New Roman"/>
          <w:noProof/>
          <w:sz w:val="24"/>
          <w:szCs w:val="24"/>
        </w:rPr>
        <w:t xml:space="preserve"> </w:t>
      </w:r>
    </w:p>
    <w:p w14:paraId="51BCC665" w14:textId="47C102D2" w:rsidR="00A5214D" w:rsidRPr="00354554" w:rsidRDefault="00A5214D" w:rsidP="003778B3">
      <w:pPr>
        <w:spacing w:after="0"/>
        <w:ind w:firstLine="709"/>
        <w:jc w:val="center"/>
        <w:rPr>
          <w:rFonts w:ascii="Times New Roman" w:hAnsi="Times New Roman" w:cs="Times New Roman"/>
          <w:iCs/>
          <w:noProof/>
          <w:sz w:val="24"/>
          <w:szCs w:val="24"/>
        </w:rPr>
      </w:pPr>
    </w:p>
    <w:p w14:paraId="6A7717E6" w14:textId="4A28F423" w:rsidR="008E6D7A" w:rsidRPr="00354554" w:rsidRDefault="00BD7E66" w:rsidP="000874FC">
      <w:pPr>
        <w:pStyle w:val="ListParagraph"/>
        <w:numPr>
          <w:ilvl w:val="1"/>
          <w:numId w:val="23"/>
        </w:numPr>
        <w:spacing w:line="276" w:lineRule="auto"/>
        <w:ind w:left="1276" w:hanging="1276"/>
        <w:rPr>
          <w:noProof/>
          <w:szCs w:val="24"/>
        </w:rPr>
      </w:pPr>
      <w:r w:rsidRPr="00354554">
        <w:rPr>
          <w:noProof/>
          <w:szCs w:val="24"/>
        </w:rPr>
        <w:lastRenderedPageBreak/>
        <w:t>k</w:t>
      </w:r>
      <w:r w:rsidR="00223E66" w:rsidRPr="00354554">
        <w:rPr>
          <w:noProof/>
          <w:szCs w:val="24"/>
        </w:rPr>
        <w:t>itų</w:t>
      </w:r>
      <w:r w:rsidR="008E6D7A" w:rsidRPr="00354554">
        <w:rPr>
          <w:noProof/>
          <w:szCs w:val="24"/>
        </w:rPr>
        <w:t xml:space="preserve"> kriterijų (T) balai apskaičiuojami sudedant atskirų </w:t>
      </w:r>
      <w:r w:rsidR="00223E66" w:rsidRPr="00354554">
        <w:rPr>
          <w:noProof/>
          <w:szCs w:val="24"/>
        </w:rPr>
        <w:t>kitų</w:t>
      </w:r>
      <w:r w:rsidR="008E6D7A" w:rsidRPr="00354554">
        <w:rPr>
          <w:noProof/>
          <w:szCs w:val="24"/>
        </w:rPr>
        <w:t xml:space="preserve"> kriterijų (T</w:t>
      </w:r>
      <w:r w:rsidR="008E6D7A" w:rsidRPr="00354554">
        <w:rPr>
          <w:noProof/>
          <w:szCs w:val="24"/>
          <w:vertAlign w:val="subscript"/>
        </w:rPr>
        <w:t>i</w:t>
      </w:r>
      <w:r w:rsidR="004154CA" w:rsidRPr="00354554">
        <w:rPr>
          <w:noProof/>
          <w:szCs w:val="24"/>
        </w:rPr>
        <w:t>, t.</w:t>
      </w:r>
      <w:r w:rsidRPr="00354554">
        <w:rPr>
          <w:noProof/>
          <w:szCs w:val="24"/>
        </w:rPr>
        <w:t xml:space="preserve"> </w:t>
      </w:r>
      <w:r w:rsidR="004154CA" w:rsidRPr="00354554">
        <w:rPr>
          <w:noProof/>
          <w:szCs w:val="24"/>
        </w:rPr>
        <w:t>y.</w:t>
      </w:r>
      <w:r w:rsidRPr="00354554">
        <w:rPr>
          <w:noProof/>
          <w:szCs w:val="24"/>
        </w:rPr>
        <w:t>,</w:t>
      </w:r>
      <w:r w:rsidR="004154CA" w:rsidRPr="00354554">
        <w:rPr>
          <w:noProof/>
          <w:szCs w:val="24"/>
        </w:rPr>
        <w:t xml:space="preserve"> </w:t>
      </w:r>
      <w:r w:rsidR="004154CA" w:rsidRPr="00354554">
        <w:rPr>
          <w:bCs/>
          <w:noProof/>
          <w:szCs w:val="24"/>
        </w:rPr>
        <w:t>T</w:t>
      </w:r>
      <w:r w:rsidR="004154CA" w:rsidRPr="00354554">
        <w:rPr>
          <w:bCs/>
          <w:noProof/>
          <w:szCs w:val="24"/>
          <w:vertAlign w:val="subscript"/>
        </w:rPr>
        <w:t xml:space="preserve">1 ir </w:t>
      </w:r>
      <w:r w:rsidR="004154CA" w:rsidRPr="00354554">
        <w:rPr>
          <w:bCs/>
          <w:noProof/>
          <w:szCs w:val="24"/>
        </w:rPr>
        <w:t>T</w:t>
      </w:r>
      <w:r w:rsidR="004154CA" w:rsidRPr="00354554">
        <w:rPr>
          <w:bCs/>
          <w:noProof/>
          <w:szCs w:val="24"/>
          <w:vertAlign w:val="subscript"/>
        </w:rPr>
        <w:t>2</w:t>
      </w:r>
      <w:r w:rsidR="004154CA" w:rsidRPr="00354554">
        <w:rPr>
          <w:noProof/>
          <w:szCs w:val="24"/>
        </w:rPr>
        <w:t>)</w:t>
      </w:r>
      <w:r w:rsidR="008E6D7A" w:rsidRPr="00354554">
        <w:rPr>
          <w:noProof/>
          <w:szCs w:val="24"/>
        </w:rPr>
        <w:t xml:space="preserve"> balus:</w:t>
      </w:r>
    </w:p>
    <w:p w14:paraId="75DCC80A" w14:textId="77777777" w:rsidR="008E6D7A" w:rsidRPr="00354554" w:rsidRDefault="008E6D7A" w:rsidP="003778B3">
      <w:pPr>
        <w:spacing w:after="0"/>
        <w:jc w:val="both"/>
        <w:rPr>
          <w:rFonts w:ascii="Times New Roman" w:hAnsi="Times New Roman" w:cs="Times New Roman"/>
          <w:sz w:val="24"/>
          <w:szCs w:val="24"/>
        </w:rPr>
      </w:pPr>
    </w:p>
    <w:p w14:paraId="769338C7" w14:textId="0BBFAA63" w:rsidR="0052783B" w:rsidRPr="00354554" w:rsidRDefault="008E6D7A" w:rsidP="003778B3">
      <w:pPr>
        <w:spacing w:after="0"/>
        <w:jc w:val="center"/>
        <w:rPr>
          <w:rFonts w:ascii="Times New Roman" w:eastAsiaTheme="minorHAnsi" w:hAnsi="Times New Roman" w:cs="Times New Roman"/>
          <w:sz w:val="24"/>
          <w:szCs w:val="24"/>
          <w:lang w:eastAsia="en-US"/>
        </w:rPr>
      </w:pPr>
      <w:r w:rsidRPr="00354554">
        <w:rPr>
          <w:rFonts w:ascii="Times New Roman" w:eastAsiaTheme="minorHAnsi" w:hAnsi="Times New Roman" w:cs="Times New Roman"/>
          <w:position w:val="-28"/>
          <w:sz w:val="24"/>
          <w:szCs w:val="24"/>
          <w:lang w:eastAsia="en-US"/>
        </w:rPr>
        <w:object w:dxaOrig="1005" w:dyaOrig="570" w14:anchorId="32D0F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pt;height:28.7pt" o:ole="" fillcolor="window">
            <v:imagedata r:id="rId8" o:title=""/>
          </v:shape>
          <o:OLEObject Type="Embed" ProgID="Equation.3" ShapeID="_x0000_i1025" DrawAspect="Content" ObjectID="_1822563576" r:id="rId9"/>
        </w:object>
      </w:r>
      <w:r w:rsidR="00324EF7" w:rsidRPr="00354554">
        <w:rPr>
          <w:rFonts w:ascii="Times New Roman" w:eastAsiaTheme="minorHAnsi" w:hAnsi="Times New Roman" w:cs="Times New Roman"/>
          <w:sz w:val="24"/>
          <w:szCs w:val="24"/>
          <w:lang w:eastAsia="en-US"/>
        </w:rPr>
        <w:t xml:space="preserve">    </w:t>
      </w:r>
    </w:p>
    <w:p w14:paraId="645F0241" w14:textId="77777777" w:rsidR="0052783B" w:rsidRPr="00354554" w:rsidRDefault="0052783B" w:rsidP="003778B3">
      <w:pPr>
        <w:spacing w:after="0"/>
        <w:jc w:val="center"/>
        <w:rPr>
          <w:rFonts w:ascii="Times New Roman" w:eastAsiaTheme="minorHAnsi" w:hAnsi="Times New Roman" w:cs="Times New Roman"/>
          <w:sz w:val="24"/>
          <w:szCs w:val="24"/>
          <w:lang w:eastAsia="en-US"/>
        </w:rPr>
      </w:pPr>
    </w:p>
    <w:p w14:paraId="1FEE41EF" w14:textId="31DEDE73" w:rsidR="00E71192" w:rsidRPr="00354554" w:rsidRDefault="00BD7E66" w:rsidP="000874FC">
      <w:pPr>
        <w:pStyle w:val="ListParagraph"/>
        <w:numPr>
          <w:ilvl w:val="1"/>
          <w:numId w:val="23"/>
        </w:numPr>
        <w:rPr>
          <w:rFonts w:eastAsia="Calibri"/>
          <w:szCs w:val="24"/>
        </w:rPr>
      </w:pPr>
      <w:r w:rsidRPr="00354554">
        <w:rPr>
          <w:rFonts w:eastAsia="Calibri"/>
          <w:szCs w:val="24"/>
        </w:rPr>
        <w:t>k</w:t>
      </w:r>
      <w:r w:rsidR="00E71192" w:rsidRPr="00354554">
        <w:rPr>
          <w:rFonts w:eastAsia="Calibri"/>
          <w:szCs w:val="24"/>
        </w:rPr>
        <w:t>riterijaus</w:t>
      </w:r>
      <w:r w:rsidRPr="00354554">
        <w:rPr>
          <w:rFonts w:eastAsia="Calibri"/>
          <w:szCs w:val="24"/>
        </w:rPr>
        <w:t xml:space="preserve"> </w:t>
      </w:r>
      <w:r w:rsidR="00E71192" w:rsidRPr="00354554">
        <w:rPr>
          <w:rFonts w:eastAsia="Calibri"/>
          <w:szCs w:val="24"/>
        </w:rPr>
        <w:t>(</w:t>
      </w:r>
      <w:proofErr w:type="spellStart"/>
      <w:r w:rsidR="00E71192" w:rsidRPr="00354554">
        <w:rPr>
          <w:rFonts w:eastAsia="Calibri"/>
          <w:szCs w:val="24"/>
        </w:rPr>
        <w:t>T</w:t>
      </w:r>
      <w:r w:rsidR="00E71192" w:rsidRPr="00354554">
        <w:rPr>
          <w:rFonts w:eastAsia="Calibri"/>
          <w:szCs w:val="24"/>
          <w:vertAlign w:val="subscript"/>
        </w:rPr>
        <w:t>i</w:t>
      </w:r>
      <w:proofErr w:type="spellEnd"/>
      <w:r w:rsidR="00E71192" w:rsidRPr="00354554">
        <w:rPr>
          <w:rFonts w:eastAsia="Calibri"/>
          <w:szCs w:val="24"/>
        </w:rPr>
        <w:t>) balai apskaičiuojami šio kriterijaus parametrų įvertinimų (</w:t>
      </w:r>
      <w:proofErr w:type="spellStart"/>
      <w:r w:rsidR="00E71192" w:rsidRPr="00354554">
        <w:rPr>
          <w:rFonts w:eastAsia="Calibri"/>
          <w:szCs w:val="24"/>
        </w:rPr>
        <w:t>P</w:t>
      </w:r>
      <w:r w:rsidR="00E71192" w:rsidRPr="00354554">
        <w:rPr>
          <w:rFonts w:eastAsia="Calibri"/>
          <w:szCs w:val="24"/>
          <w:vertAlign w:val="subscript"/>
        </w:rPr>
        <w:t>s</w:t>
      </w:r>
      <w:proofErr w:type="spellEnd"/>
      <w:r w:rsidR="00E71192" w:rsidRPr="00354554">
        <w:rPr>
          <w:rFonts w:eastAsia="Calibri"/>
          <w:szCs w:val="24"/>
        </w:rPr>
        <w:t>) sumą padauginant iš vertinamo kriterijaus lyginamojo svorio (</w:t>
      </w:r>
      <w:proofErr w:type="spellStart"/>
      <w:r w:rsidR="00E71192" w:rsidRPr="00354554">
        <w:rPr>
          <w:rFonts w:eastAsia="Calibri"/>
          <w:szCs w:val="24"/>
        </w:rPr>
        <w:t>Y</w:t>
      </w:r>
      <w:r w:rsidR="00E71192" w:rsidRPr="00354554">
        <w:rPr>
          <w:rFonts w:eastAsia="Calibri"/>
          <w:szCs w:val="24"/>
          <w:vertAlign w:val="subscript"/>
        </w:rPr>
        <w:t>i</w:t>
      </w:r>
      <w:proofErr w:type="spellEnd"/>
      <w:r w:rsidR="00E71192" w:rsidRPr="00354554">
        <w:rPr>
          <w:rFonts w:eastAsia="Calibri"/>
          <w:szCs w:val="24"/>
        </w:rPr>
        <w:t>):</w:t>
      </w:r>
    </w:p>
    <w:p w14:paraId="52AD5C9A" w14:textId="24487078" w:rsidR="00D931CE" w:rsidRPr="00354554" w:rsidRDefault="00000000" w:rsidP="00D931CE">
      <w:pPr>
        <w:rPr>
          <w:rFonts w:eastAsia="Calibri"/>
          <w:szCs w:val="24"/>
        </w:rPr>
      </w:pPr>
      <m:oMathPara>
        <m:oMath>
          <m:sSub>
            <m:sSubPr>
              <m:ctrlPr>
                <w:rPr>
                  <w:rFonts w:ascii="Cambria Math" w:hAnsi="Cambria Math" w:cs="Times New Roman"/>
                  <w:i/>
                  <w:sz w:val="24"/>
                  <w:lang w:eastAsia="en-US"/>
                </w:rPr>
              </m:ctrlPr>
            </m:sSubPr>
            <m:e>
              <m:r>
                <w:rPr>
                  <w:rFonts w:ascii="Cambria Math" w:hAnsi="Cambria Math" w:cs="Times New Roman"/>
                  <w:sz w:val="24"/>
                </w:rPr>
                <m:t>T</m:t>
              </m:r>
            </m:e>
            <m:sub>
              <m:r>
                <w:rPr>
                  <w:rFonts w:ascii="Cambria Math" w:hAnsi="Cambria Math" w:cs="Times New Roman"/>
                  <w:sz w:val="24"/>
                </w:rPr>
                <m:t>i</m:t>
              </m:r>
            </m:sub>
          </m:sSub>
          <m:r>
            <w:rPr>
              <w:rFonts w:ascii="Cambria Math" w:hAnsi="Cambria Math" w:cs="Times New Roman"/>
              <w:sz w:val="24"/>
            </w:rPr>
            <m:t>=</m:t>
          </m:r>
          <m:d>
            <m:dPr>
              <m:ctrlPr>
                <w:rPr>
                  <w:rFonts w:ascii="Cambria Math" w:hAnsi="Cambria Math" w:cs="Times New Roman"/>
                  <w:sz w:val="24"/>
                </w:rPr>
              </m:ctrlPr>
            </m:dPr>
            <m:e>
              <m:nary>
                <m:naryPr>
                  <m:chr m:val="∑"/>
                  <m:limLoc m:val="undOvr"/>
                  <m:supHide m:val="1"/>
                  <m:ctrlPr>
                    <w:rPr>
                      <w:rFonts w:ascii="Cambria Math" w:hAnsi="Cambria Math" w:cs="Times New Roman"/>
                      <w:sz w:val="24"/>
                    </w:rPr>
                  </m:ctrlPr>
                </m:naryPr>
                <m:sub>
                  <m:r>
                    <w:rPr>
                      <w:rFonts w:ascii="Cambria Math" w:hAnsi="Cambria Math" w:cs="Times New Roman"/>
                      <w:sz w:val="24"/>
                    </w:rPr>
                    <m:t>s</m:t>
                  </m:r>
                </m:sub>
                <m:sup/>
                <m:e>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s</m:t>
                      </m:r>
                    </m:sub>
                  </m:sSub>
                </m:e>
              </m:nary>
            </m:e>
          </m:d>
          <m:r>
            <w:rPr>
              <w:rFonts w:ascii="Cambria Math" w:hAnsi="Cambria Math" w:cs="Times New Roman"/>
              <w:sz w:val="24"/>
            </w:rPr>
            <m:t>∙</m:t>
          </m:r>
          <m:sSub>
            <m:sSubPr>
              <m:ctrlPr>
                <w:rPr>
                  <w:rFonts w:ascii="Cambria Math" w:hAnsi="Cambria Math" w:cs="Times New Roman"/>
                  <w:i/>
                  <w:sz w:val="24"/>
                  <w:lang w:eastAsia="en-US"/>
                </w:rPr>
              </m:ctrlPr>
            </m:sSubPr>
            <m:e>
              <m:r>
                <w:rPr>
                  <w:rFonts w:ascii="Cambria Math" w:hAnsi="Cambria Math" w:cs="Times New Roman"/>
                  <w:sz w:val="24"/>
                </w:rPr>
                <m:t>Y</m:t>
              </m:r>
            </m:e>
            <m:sub>
              <m:r>
                <w:rPr>
                  <w:rFonts w:ascii="Cambria Math" w:hAnsi="Cambria Math" w:cs="Times New Roman"/>
                  <w:sz w:val="24"/>
                </w:rPr>
                <m:t>i</m:t>
              </m:r>
            </m:sub>
          </m:sSub>
        </m:oMath>
      </m:oMathPara>
    </w:p>
    <w:p w14:paraId="0299F232" w14:textId="3D74AC34" w:rsidR="00C81357" w:rsidRPr="00354554" w:rsidRDefault="00BD7E66" w:rsidP="000874FC">
      <w:pPr>
        <w:pStyle w:val="ListParagraph"/>
        <w:numPr>
          <w:ilvl w:val="1"/>
          <w:numId w:val="23"/>
        </w:numPr>
        <w:rPr>
          <w:rFonts w:eastAsia="Calibri"/>
          <w:szCs w:val="24"/>
        </w:rPr>
      </w:pPr>
      <w:r w:rsidRPr="00354554">
        <w:rPr>
          <w:rFonts w:eastAsia="Calibri"/>
          <w:szCs w:val="24"/>
        </w:rPr>
        <w:t>k</w:t>
      </w:r>
      <w:r w:rsidR="00E71192" w:rsidRPr="00354554">
        <w:rPr>
          <w:rFonts w:eastAsia="Calibri"/>
          <w:szCs w:val="24"/>
        </w:rPr>
        <w:t>riterijaus parametro įvertinimas (</w:t>
      </w:r>
      <w:proofErr w:type="spellStart"/>
      <w:r w:rsidR="00E71192" w:rsidRPr="00354554">
        <w:rPr>
          <w:rFonts w:eastAsia="Calibri"/>
          <w:szCs w:val="24"/>
        </w:rPr>
        <w:t>P</w:t>
      </w:r>
      <w:r w:rsidR="00E71192" w:rsidRPr="00354554">
        <w:rPr>
          <w:rFonts w:eastAsia="Calibri"/>
          <w:szCs w:val="24"/>
          <w:vertAlign w:val="subscript"/>
        </w:rPr>
        <w:t>s</w:t>
      </w:r>
      <w:proofErr w:type="spellEnd"/>
      <w:r w:rsidR="00E71192" w:rsidRPr="00354554">
        <w:rPr>
          <w:rFonts w:eastAsia="Calibri"/>
          <w:szCs w:val="24"/>
        </w:rPr>
        <w:t>) apskaičiuojamas parametro reikšmę (</w:t>
      </w:r>
      <w:proofErr w:type="spellStart"/>
      <w:r w:rsidR="00E71192" w:rsidRPr="00354554">
        <w:rPr>
          <w:rFonts w:eastAsia="Calibri"/>
          <w:szCs w:val="24"/>
        </w:rPr>
        <w:t>R</w:t>
      </w:r>
      <w:r w:rsidR="00E71192" w:rsidRPr="00354554">
        <w:rPr>
          <w:rFonts w:eastAsia="Calibri"/>
          <w:szCs w:val="24"/>
          <w:vertAlign w:val="subscript"/>
        </w:rPr>
        <w:t>p</w:t>
      </w:r>
      <w:proofErr w:type="spellEnd"/>
      <w:r w:rsidR="00E71192" w:rsidRPr="00354554">
        <w:rPr>
          <w:rFonts w:eastAsia="Calibri"/>
          <w:szCs w:val="24"/>
        </w:rPr>
        <w:t>) palyginant su geriausia to paties parametro reikšme (</w:t>
      </w:r>
      <w:proofErr w:type="spellStart"/>
      <w:r w:rsidR="00E71192" w:rsidRPr="00354554">
        <w:rPr>
          <w:rFonts w:eastAsia="Calibri"/>
          <w:szCs w:val="24"/>
        </w:rPr>
        <w:t>R</w:t>
      </w:r>
      <w:r w:rsidR="00E71192" w:rsidRPr="00354554">
        <w:rPr>
          <w:rFonts w:eastAsia="Calibri"/>
          <w:szCs w:val="24"/>
          <w:vertAlign w:val="subscript"/>
        </w:rPr>
        <w:t>maks</w:t>
      </w:r>
      <w:proofErr w:type="spellEnd"/>
      <w:r w:rsidR="00E71192" w:rsidRPr="00354554">
        <w:rPr>
          <w:rFonts w:eastAsia="Calibri"/>
          <w:szCs w:val="24"/>
        </w:rPr>
        <w:t>) ir padauginant iš vertinamo kriterijaus parametro lyginamojo svorio (</w:t>
      </w:r>
      <w:proofErr w:type="spellStart"/>
      <w:r w:rsidR="00E71192" w:rsidRPr="00354554">
        <w:rPr>
          <w:rFonts w:eastAsia="Calibri"/>
          <w:szCs w:val="24"/>
        </w:rPr>
        <w:t>L</w:t>
      </w:r>
      <w:r w:rsidR="00E71192" w:rsidRPr="00354554">
        <w:rPr>
          <w:rFonts w:eastAsia="Calibri"/>
          <w:szCs w:val="24"/>
          <w:vertAlign w:val="subscript"/>
        </w:rPr>
        <w:t>s</w:t>
      </w:r>
      <w:proofErr w:type="spellEnd"/>
      <w:r w:rsidR="00E71192" w:rsidRPr="00354554">
        <w:rPr>
          <w:rFonts w:eastAsia="Calibri"/>
          <w:szCs w:val="24"/>
        </w:rPr>
        <w:t>):</w:t>
      </w:r>
    </w:p>
    <w:p w14:paraId="0F5230C1" w14:textId="77777777" w:rsidR="003778B3" w:rsidRPr="00354554" w:rsidRDefault="003778B3" w:rsidP="003778B3">
      <w:pPr>
        <w:pStyle w:val="ListParagraph"/>
        <w:spacing w:line="276" w:lineRule="auto"/>
        <w:ind w:left="709"/>
        <w:rPr>
          <w:rFonts w:eastAsia="Calibri"/>
          <w:szCs w:val="24"/>
        </w:rPr>
      </w:pPr>
    </w:p>
    <w:p w14:paraId="66ED2754" w14:textId="733809BF" w:rsidR="00C81357" w:rsidRPr="00354554" w:rsidRDefault="00000000" w:rsidP="003778B3">
      <w:pPr>
        <w:spacing w:after="0"/>
        <w:jc w:val="center"/>
        <w:rPr>
          <w:rFonts w:ascii="Times New Roman" w:hAnsi="Times New Roman" w:cs="Times New Roman"/>
          <w:sz w:val="24"/>
          <w:lang w:eastAsia="en-US"/>
        </w:rPr>
      </w:pPr>
      <m:oMath>
        <m:sSub>
          <m:sSubPr>
            <m:ctrlPr>
              <w:rPr>
                <w:rFonts w:ascii="Cambria Math" w:hAnsi="Cambria Math" w:cs="Times New Roman"/>
                <w:i/>
                <w:sz w:val="24"/>
                <w:lang w:eastAsia="en-US"/>
              </w:rPr>
            </m:ctrlPr>
          </m:sSubPr>
          <m:e>
            <m:r>
              <w:rPr>
                <w:rFonts w:ascii="Cambria Math" w:hAnsi="Cambria Math" w:cs="Times New Roman"/>
                <w:sz w:val="24"/>
              </w:rPr>
              <m:t>P</m:t>
            </m:r>
          </m:e>
          <m:sub>
            <m:r>
              <w:rPr>
                <w:rFonts w:ascii="Cambria Math" w:hAnsi="Cambria Math" w:cs="Times New Roman"/>
                <w:sz w:val="24"/>
              </w:rPr>
              <m:t>s</m:t>
            </m:r>
          </m:sub>
        </m:sSub>
        <m:r>
          <w:rPr>
            <w:rFonts w:ascii="Cambria Math" w:hAnsi="Cambria Math" w:cs="Times New Roman"/>
            <w:sz w:val="24"/>
          </w:rPr>
          <m:t>=</m:t>
        </m:r>
        <m:f>
          <m:fPr>
            <m:ctrlPr>
              <w:rPr>
                <w:rFonts w:ascii="Cambria Math" w:hAnsi="Cambria Math" w:cs="Times New Roman"/>
                <w:i/>
                <w:sz w:val="24"/>
                <w:lang w:eastAsia="en-US"/>
              </w:rPr>
            </m:ctrlPr>
          </m:fPr>
          <m:num>
            <m:sSub>
              <m:sSubPr>
                <m:ctrlPr>
                  <w:rPr>
                    <w:rFonts w:ascii="Cambria Math" w:hAnsi="Cambria Math" w:cs="Times New Roman"/>
                    <w:i/>
                    <w:sz w:val="24"/>
                    <w:lang w:eastAsia="en-US"/>
                  </w:rPr>
                </m:ctrlPr>
              </m:sSubPr>
              <m:e>
                <m:r>
                  <w:rPr>
                    <w:rFonts w:ascii="Cambria Math" w:hAnsi="Cambria Math" w:cs="Times New Roman"/>
                    <w:sz w:val="24"/>
                  </w:rPr>
                  <m:t>R</m:t>
                </m:r>
              </m:e>
              <m:sub>
                <m:r>
                  <w:rPr>
                    <w:rFonts w:ascii="Cambria Math" w:hAnsi="Cambria Math" w:cs="Times New Roman"/>
                    <w:sz w:val="24"/>
                  </w:rPr>
                  <m:t>p</m:t>
                </m:r>
              </m:sub>
            </m:sSub>
          </m:num>
          <m:den>
            <m:sSub>
              <m:sSubPr>
                <m:ctrlPr>
                  <w:rPr>
                    <w:rFonts w:ascii="Cambria Math" w:hAnsi="Cambria Math" w:cs="Times New Roman"/>
                    <w:i/>
                    <w:sz w:val="24"/>
                    <w:lang w:eastAsia="en-US"/>
                  </w:rPr>
                </m:ctrlPr>
              </m:sSubPr>
              <m:e>
                <m:r>
                  <w:rPr>
                    <w:rFonts w:ascii="Cambria Math" w:hAnsi="Cambria Math" w:cs="Times New Roman"/>
                    <w:sz w:val="24"/>
                  </w:rPr>
                  <m:t>R</m:t>
                </m:r>
              </m:e>
              <m:sub>
                <m:r>
                  <w:rPr>
                    <w:rFonts w:ascii="Cambria Math" w:hAnsi="Cambria Math" w:cs="Times New Roman"/>
                    <w:sz w:val="24"/>
                  </w:rPr>
                  <m:t>max</m:t>
                </m:r>
              </m:sub>
            </m:sSub>
          </m:den>
        </m:f>
        <m:r>
          <w:rPr>
            <w:rFonts w:ascii="Cambria Math" w:hAnsi="Cambria Math" w:cs="Times New Roman"/>
            <w:sz w:val="24"/>
          </w:rPr>
          <m:t>∙</m:t>
        </m:r>
        <m:sSub>
          <m:sSubPr>
            <m:ctrlPr>
              <w:rPr>
                <w:rFonts w:ascii="Cambria Math" w:hAnsi="Cambria Math" w:cs="Times New Roman"/>
                <w:i/>
                <w:sz w:val="24"/>
                <w:lang w:eastAsia="en-US"/>
              </w:rPr>
            </m:ctrlPr>
          </m:sSubPr>
          <m:e>
            <m:r>
              <w:rPr>
                <w:rFonts w:ascii="Cambria Math" w:hAnsi="Cambria Math" w:cs="Times New Roman"/>
                <w:sz w:val="24"/>
              </w:rPr>
              <m:t>L</m:t>
            </m:r>
          </m:e>
          <m:sub>
            <m:r>
              <w:rPr>
                <w:rFonts w:ascii="Cambria Math" w:hAnsi="Cambria Math" w:cs="Times New Roman"/>
                <w:sz w:val="24"/>
              </w:rPr>
              <m:t>s</m:t>
            </m:r>
          </m:sub>
        </m:sSub>
      </m:oMath>
      <w:r w:rsidR="003E19DA" w:rsidRPr="00354554">
        <w:rPr>
          <w:rFonts w:ascii="Times New Roman" w:hAnsi="Times New Roman" w:cs="Times New Roman"/>
          <w:sz w:val="24"/>
          <w:lang w:eastAsia="en-US"/>
        </w:rPr>
        <w:t xml:space="preserve">      </w:t>
      </w:r>
    </w:p>
    <w:p w14:paraId="4A160BE0" w14:textId="77777777" w:rsidR="00136CD8" w:rsidRPr="00354554" w:rsidRDefault="00136CD8" w:rsidP="003778B3">
      <w:pPr>
        <w:spacing w:after="0"/>
        <w:jc w:val="center"/>
        <w:rPr>
          <w:rFonts w:ascii="Times New Roman" w:eastAsia="Calibri" w:hAnsi="Times New Roman" w:cs="Times New Roman"/>
          <w:sz w:val="24"/>
          <w:szCs w:val="24"/>
          <w:lang w:eastAsia="en-US"/>
        </w:rPr>
      </w:pPr>
    </w:p>
    <w:p w14:paraId="1C4E9722" w14:textId="1E68FC20" w:rsidR="00E71192" w:rsidRPr="00354554" w:rsidRDefault="00BF0011" w:rsidP="000874FC">
      <w:pPr>
        <w:pStyle w:val="ListParagraph"/>
        <w:numPr>
          <w:ilvl w:val="1"/>
          <w:numId w:val="23"/>
        </w:numPr>
        <w:rPr>
          <w:szCs w:val="24"/>
        </w:rPr>
      </w:pPr>
      <w:r w:rsidRPr="00354554">
        <w:rPr>
          <w:szCs w:val="24"/>
        </w:rPr>
        <w:t>k</w:t>
      </w:r>
      <w:r w:rsidR="00E71192" w:rsidRPr="00354554">
        <w:rPr>
          <w:szCs w:val="24"/>
        </w:rPr>
        <w:t>iekvienas ekspertas įvertina kiekvieno kriterijaus (</w:t>
      </w:r>
      <w:proofErr w:type="spellStart"/>
      <w:r w:rsidR="00E71192" w:rsidRPr="00354554">
        <w:rPr>
          <w:szCs w:val="24"/>
        </w:rPr>
        <w:t>T</w:t>
      </w:r>
      <w:r w:rsidR="00E71192" w:rsidRPr="00354554">
        <w:rPr>
          <w:szCs w:val="24"/>
          <w:vertAlign w:val="subscript"/>
        </w:rPr>
        <w:t>i</w:t>
      </w:r>
      <w:proofErr w:type="spellEnd"/>
      <w:r w:rsidR="00E71192" w:rsidRPr="00354554">
        <w:rPr>
          <w:szCs w:val="24"/>
        </w:rPr>
        <w:t>) ekspertinį įvertį (</w:t>
      </w:r>
      <w:proofErr w:type="spellStart"/>
      <w:r w:rsidR="00E71192" w:rsidRPr="00354554">
        <w:rPr>
          <w:szCs w:val="24"/>
        </w:rPr>
        <w:t>R</w:t>
      </w:r>
      <w:r w:rsidR="00E71192" w:rsidRPr="00354554">
        <w:rPr>
          <w:szCs w:val="24"/>
          <w:vertAlign w:val="subscript"/>
        </w:rPr>
        <w:t>i</w:t>
      </w:r>
      <w:proofErr w:type="spellEnd"/>
      <w:r w:rsidR="00E71192" w:rsidRPr="00354554">
        <w:rPr>
          <w:szCs w:val="24"/>
        </w:rPr>
        <w:t>) balais nuo 1 iki 10 ir aprašo įvertinimą pagal šiuose pirkimo dokumentuose pateiktą kokybinio vertinimo aprašymą</w:t>
      </w:r>
      <w:r w:rsidRPr="00354554">
        <w:rPr>
          <w:szCs w:val="24"/>
        </w:rPr>
        <w:t>;</w:t>
      </w:r>
    </w:p>
    <w:p w14:paraId="00AC59E3" w14:textId="10E13A65" w:rsidR="00E71192" w:rsidRPr="00354554" w:rsidRDefault="00BF0011" w:rsidP="000874FC">
      <w:pPr>
        <w:pStyle w:val="ListParagraph"/>
        <w:numPr>
          <w:ilvl w:val="1"/>
          <w:numId w:val="23"/>
        </w:numPr>
        <w:rPr>
          <w:szCs w:val="24"/>
        </w:rPr>
      </w:pPr>
      <w:r w:rsidRPr="00354554">
        <w:rPr>
          <w:szCs w:val="24"/>
        </w:rPr>
        <w:t>k</w:t>
      </w:r>
      <w:r w:rsidR="00E71192" w:rsidRPr="00354554">
        <w:rPr>
          <w:szCs w:val="24"/>
        </w:rPr>
        <w:t>omisija kiekvienam kriterijui apskaičiuoja ekspertų įverčio balų (</w:t>
      </w:r>
      <w:proofErr w:type="spellStart"/>
      <w:r w:rsidR="00E71192" w:rsidRPr="00354554">
        <w:rPr>
          <w:szCs w:val="24"/>
        </w:rPr>
        <w:t>R</w:t>
      </w:r>
      <w:r w:rsidR="00E71192" w:rsidRPr="00354554">
        <w:rPr>
          <w:szCs w:val="24"/>
          <w:vertAlign w:val="subscript"/>
        </w:rPr>
        <w:t>i</w:t>
      </w:r>
      <w:proofErr w:type="spellEnd"/>
      <w:r w:rsidR="00E71192" w:rsidRPr="00354554">
        <w:rPr>
          <w:szCs w:val="24"/>
        </w:rPr>
        <w:t>) reikšmių vidurkį ir apskaičiuoja kriterijų vidutines (</w:t>
      </w:r>
      <w:proofErr w:type="spellStart"/>
      <w:r w:rsidR="00E71192" w:rsidRPr="00354554">
        <w:rPr>
          <w:szCs w:val="24"/>
        </w:rPr>
        <w:t>T</w:t>
      </w:r>
      <w:r w:rsidR="00E71192" w:rsidRPr="00354554">
        <w:rPr>
          <w:szCs w:val="24"/>
          <w:vertAlign w:val="subscript"/>
        </w:rPr>
        <w:t>i</w:t>
      </w:r>
      <w:proofErr w:type="spellEnd"/>
      <w:r w:rsidR="00E71192" w:rsidRPr="00354554">
        <w:rPr>
          <w:szCs w:val="24"/>
        </w:rPr>
        <w:t>) reikšmes</w:t>
      </w:r>
      <w:r w:rsidRPr="00354554">
        <w:rPr>
          <w:szCs w:val="24"/>
        </w:rPr>
        <w:t>;</w:t>
      </w:r>
    </w:p>
    <w:p w14:paraId="40B750D3" w14:textId="1698F2C9" w:rsidR="00584735" w:rsidRPr="00354554" w:rsidRDefault="00BF0011" w:rsidP="000874FC">
      <w:pPr>
        <w:pStyle w:val="ListParagraph"/>
        <w:numPr>
          <w:ilvl w:val="1"/>
          <w:numId w:val="23"/>
        </w:numPr>
        <w:rPr>
          <w:szCs w:val="24"/>
        </w:rPr>
      </w:pPr>
      <w:r w:rsidRPr="00354554">
        <w:rPr>
          <w:szCs w:val="24"/>
        </w:rPr>
        <w:t>p</w:t>
      </w:r>
      <w:r w:rsidR="00E71192" w:rsidRPr="00354554">
        <w:rPr>
          <w:szCs w:val="24"/>
        </w:rPr>
        <w:t xml:space="preserve">asiūlymas privalo surinkti ne mažiau kaip 6 </w:t>
      </w:r>
      <w:r w:rsidR="00E823AE" w:rsidRPr="00354554">
        <w:rPr>
          <w:szCs w:val="24"/>
        </w:rPr>
        <w:t xml:space="preserve">kokybinio vertinimo </w:t>
      </w:r>
      <w:r w:rsidR="00E71192" w:rsidRPr="00354554">
        <w:rPr>
          <w:szCs w:val="24"/>
        </w:rPr>
        <w:t xml:space="preserve">balus </w:t>
      </w:r>
      <w:r w:rsidRPr="00354554">
        <w:rPr>
          <w:szCs w:val="24"/>
        </w:rPr>
        <w:t>(p</w:t>
      </w:r>
      <w:r w:rsidR="00E71192" w:rsidRPr="00354554">
        <w:rPr>
          <w:szCs w:val="24"/>
        </w:rPr>
        <w:t>asiūlymas, nesurinkęs nustatyto minimalaus balų skaičiaus, bus atmetamas</w:t>
      </w:r>
      <w:r w:rsidRPr="00354554">
        <w:rPr>
          <w:szCs w:val="24"/>
        </w:rPr>
        <w:t>);</w:t>
      </w:r>
    </w:p>
    <w:p w14:paraId="6F6F1EB3" w14:textId="77777777" w:rsidR="00584735" w:rsidRPr="00354554" w:rsidRDefault="00E71192" w:rsidP="000874FC">
      <w:pPr>
        <w:pStyle w:val="ListParagraph"/>
        <w:numPr>
          <w:ilvl w:val="0"/>
          <w:numId w:val="23"/>
        </w:numPr>
        <w:rPr>
          <w:szCs w:val="24"/>
        </w:rPr>
      </w:pPr>
      <w:r w:rsidRPr="00354554">
        <w:rPr>
          <w:rFonts w:eastAsiaTheme="minorHAnsi"/>
          <w:bCs/>
          <w:szCs w:val="24"/>
        </w:rPr>
        <w:t xml:space="preserve">Balų suteikimo tvarka: </w:t>
      </w:r>
    </w:p>
    <w:p w14:paraId="75829F19" w14:textId="0AA8B0AD" w:rsidR="00E71192" w:rsidRPr="00354554" w:rsidRDefault="00BF0011" w:rsidP="000874FC">
      <w:pPr>
        <w:pStyle w:val="ListParagraph"/>
        <w:numPr>
          <w:ilvl w:val="1"/>
          <w:numId w:val="23"/>
        </w:numPr>
        <w:autoSpaceDE w:val="0"/>
        <w:autoSpaceDN w:val="0"/>
        <w:adjustRightInd w:val="0"/>
        <w:rPr>
          <w:rFonts w:eastAsiaTheme="minorHAnsi"/>
          <w:szCs w:val="24"/>
        </w:rPr>
      </w:pPr>
      <w:r w:rsidRPr="00354554">
        <w:rPr>
          <w:rFonts w:eastAsiaTheme="minorHAnsi"/>
          <w:szCs w:val="24"/>
        </w:rPr>
        <w:t>s</w:t>
      </w:r>
      <w:r w:rsidR="00E71192" w:rsidRPr="00354554">
        <w:rPr>
          <w:rFonts w:eastAsiaTheme="minorHAnsi"/>
          <w:szCs w:val="24"/>
        </w:rPr>
        <w:t>iekiant palengvinti vertinimą ir suvienodinti galimas balų interpretacijas, 10 balų (</w:t>
      </w:r>
      <w:proofErr w:type="spellStart"/>
      <w:r w:rsidR="00E71192" w:rsidRPr="00354554">
        <w:rPr>
          <w:rFonts w:eastAsiaTheme="minorHAnsi"/>
          <w:szCs w:val="24"/>
        </w:rPr>
        <w:t>Ri</w:t>
      </w:r>
      <w:proofErr w:type="spellEnd"/>
      <w:r w:rsidR="00E71192" w:rsidRPr="00354554">
        <w:rPr>
          <w:rFonts w:eastAsiaTheme="minorHAnsi"/>
          <w:szCs w:val="24"/>
        </w:rPr>
        <w:t xml:space="preserve">) skalė padalinta į kokybinius intervalus: </w:t>
      </w:r>
    </w:p>
    <w:p w14:paraId="38F0529A" w14:textId="77777777" w:rsidR="00BF0011" w:rsidRPr="00354554" w:rsidRDefault="00BF0011" w:rsidP="00BF0011">
      <w:pPr>
        <w:pStyle w:val="ListParagraph"/>
        <w:autoSpaceDE w:val="0"/>
        <w:autoSpaceDN w:val="0"/>
        <w:adjustRightInd w:val="0"/>
        <w:ind w:left="709"/>
        <w:rPr>
          <w:rFonts w:eastAsiaTheme="minorHAnsi"/>
          <w:szCs w:val="24"/>
        </w:rPr>
      </w:pPr>
    </w:p>
    <w:p w14:paraId="61CEE7F3" w14:textId="36B0D383" w:rsidR="00584735" w:rsidRPr="00354554" w:rsidRDefault="00BF0011" w:rsidP="00BF0011">
      <w:pPr>
        <w:pStyle w:val="ListParagraph"/>
        <w:tabs>
          <w:tab w:val="left" w:pos="3705"/>
          <w:tab w:val="right" w:pos="9638"/>
        </w:tabs>
        <w:autoSpaceDE w:val="0"/>
        <w:autoSpaceDN w:val="0"/>
        <w:adjustRightInd w:val="0"/>
        <w:ind w:left="709"/>
        <w:jc w:val="left"/>
        <w:rPr>
          <w:rFonts w:eastAsiaTheme="minorHAnsi"/>
          <w:sz w:val="22"/>
          <w:szCs w:val="22"/>
        </w:rPr>
      </w:pPr>
      <w:r w:rsidRPr="00354554">
        <w:rPr>
          <w:rFonts w:eastAsiaTheme="minorHAnsi"/>
          <w:b/>
          <w:bCs/>
          <w:sz w:val="22"/>
          <w:szCs w:val="22"/>
        </w:rPr>
        <w:tab/>
        <w:t xml:space="preserve">        3 lentelė.</w:t>
      </w:r>
      <w:r w:rsidRPr="00354554">
        <w:rPr>
          <w:rFonts w:eastAsiaTheme="minorHAnsi"/>
          <w:sz w:val="22"/>
          <w:szCs w:val="22"/>
        </w:rPr>
        <w:t xml:space="preserve"> Vertinimo intervalai</w:t>
      </w:r>
      <w:r w:rsidRPr="00354554">
        <w:rPr>
          <w:rFonts w:eastAsiaTheme="minorHAnsi"/>
          <w:b/>
          <w:bCs/>
          <w:sz w:val="22"/>
          <w:szCs w:val="22"/>
        </w:rPr>
        <w:tab/>
      </w:r>
    </w:p>
    <w:tbl>
      <w:tblPr>
        <w:tblStyle w:val="TableGrid"/>
        <w:tblW w:w="0" w:type="auto"/>
        <w:jc w:val="center"/>
        <w:tblLook w:val="04A0" w:firstRow="1" w:lastRow="0" w:firstColumn="1" w:lastColumn="0" w:noHBand="0" w:noVBand="1"/>
      </w:tblPr>
      <w:tblGrid>
        <w:gridCol w:w="1838"/>
        <w:gridCol w:w="2126"/>
      </w:tblGrid>
      <w:tr w:rsidR="00354554" w:rsidRPr="00354554" w14:paraId="14FEA81F" w14:textId="77777777" w:rsidTr="00090B67">
        <w:trPr>
          <w:jc w:val="center"/>
        </w:trPr>
        <w:tc>
          <w:tcPr>
            <w:tcW w:w="1838" w:type="dxa"/>
            <w:shd w:val="clear" w:color="auto" w:fill="D9D9D9" w:themeFill="background1" w:themeFillShade="D9"/>
          </w:tcPr>
          <w:p w14:paraId="59A53004" w14:textId="77777777" w:rsidR="00584735" w:rsidRPr="00354554" w:rsidRDefault="00584735" w:rsidP="00090B67">
            <w:pPr>
              <w:autoSpaceDE w:val="0"/>
              <w:autoSpaceDN w:val="0"/>
              <w:adjustRightInd w:val="0"/>
              <w:jc w:val="center"/>
              <w:rPr>
                <w:rFonts w:eastAsiaTheme="minorHAnsi"/>
                <w:b/>
                <w:bCs/>
                <w:szCs w:val="24"/>
              </w:rPr>
            </w:pPr>
            <w:r w:rsidRPr="00354554">
              <w:rPr>
                <w:rFonts w:eastAsiaTheme="minorHAnsi"/>
                <w:b/>
                <w:bCs/>
                <w:szCs w:val="24"/>
              </w:rPr>
              <w:t>Vertinimas</w:t>
            </w:r>
          </w:p>
        </w:tc>
        <w:tc>
          <w:tcPr>
            <w:tcW w:w="2126" w:type="dxa"/>
            <w:shd w:val="clear" w:color="auto" w:fill="D9D9D9" w:themeFill="background1" w:themeFillShade="D9"/>
          </w:tcPr>
          <w:p w14:paraId="312FE205" w14:textId="0187FABC" w:rsidR="00584735" w:rsidRPr="00354554" w:rsidRDefault="00584735" w:rsidP="00090B67">
            <w:pPr>
              <w:autoSpaceDE w:val="0"/>
              <w:autoSpaceDN w:val="0"/>
              <w:adjustRightInd w:val="0"/>
              <w:jc w:val="center"/>
              <w:rPr>
                <w:rFonts w:eastAsiaTheme="minorHAnsi"/>
                <w:b/>
                <w:bCs/>
                <w:szCs w:val="24"/>
              </w:rPr>
            </w:pPr>
            <w:r w:rsidRPr="00354554">
              <w:rPr>
                <w:rFonts w:eastAsiaTheme="minorHAnsi"/>
                <w:b/>
                <w:bCs/>
                <w:szCs w:val="24"/>
              </w:rPr>
              <w:t>Bala</w:t>
            </w:r>
            <w:r w:rsidR="00D724A8" w:rsidRPr="00354554">
              <w:rPr>
                <w:rFonts w:eastAsiaTheme="minorHAnsi"/>
                <w:b/>
                <w:bCs/>
                <w:szCs w:val="24"/>
              </w:rPr>
              <w:t>i</w:t>
            </w:r>
          </w:p>
        </w:tc>
      </w:tr>
      <w:tr w:rsidR="00354554" w:rsidRPr="00354554" w14:paraId="3311BEA8" w14:textId="77777777" w:rsidTr="00090B67">
        <w:trPr>
          <w:jc w:val="center"/>
        </w:trPr>
        <w:tc>
          <w:tcPr>
            <w:tcW w:w="1838" w:type="dxa"/>
          </w:tcPr>
          <w:p w14:paraId="0884599F" w14:textId="77777777" w:rsidR="00584735" w:rsidRPr="00354554" w:rsidRDefault="00584735" w:rsidP="006B1F7A">
            <w:pPr>
              <w:pStyle w:val="Default"/>
              <w:rPr>
                <w:rFonts w:eastAsiaTheme="minorHAnsi"/>
                <w:color w:val="auto"/>
              </w:rPr>
            </w:pPr>
            <w:r w:rsidRPr="00354554">
              <w:rPr>
                <w:color w:val="auto"/>
                <w:sz w:val="21"/>
                <w:szCs w:val="21"/>
              </w:rPr>
              <w:t xml:space="preserve">Prastai </w:t>
            </w:r>
          </w:p>
        </w:tc>
        <w:tc>
          <w:tcPr>
            <w:tcW w:w="2126" w:type="dxa"/>
          </w:tcPr>
          <w:p w14:paraId="586EF09E" w14:textId="42CEE7E5" w:rsidR="00584735" w:rsidRPr="00354554" w:rsidRDefault="00584735" w:rsidP="006B1F7A">
            <w:pPr>
              <w:pStyle w:val="Default"/>
              <w:rPr>
                <w:rFonts w:eastAsiaTheme="minorHAnsi"/>
                <w:color w:val="auto"/>
              </w:rPr>
            </w:pPr>
            <w:r w:rsidRPr="00354554">
              <w:rPr>
                <w:color w:val="auto"/>
                <w:sz w:val="21"/>
                <w:szCs w:val="21"/>
              </w:rPr>
              <w:t>1</w:t>
            </w:r>
            <w:r w:rsidR="00BF0011" w:rsidRPr="00354554">
              <w:rPr>
                <w:noProof/>
                <w:color w:val="auto"/>
              </w:rPr>
              <w:t>–</w:t>
            </w:r>
            <w:r w:rsidRPr="00354554">
              <w:rPr>
                <w:color w:val="auto"/>
                <w:sz w:val="21"/>
                <w:szCs w:val="21"/>
              </w:rPr>
              <w:t xml:space="preserve">4 </w:t>
            </w:r>
          </w:p>
        </w:tc>
      </w:tr>
      <w:tr w:rsidR="00354554" w:rsidRPr="00354554" w14:paraId="56777BDD" w14:textId="77777777" w:rsidTr="00090B67">
        <w:trPr>
          <w:jc w:val="center"/>
        </w:trPr>
        <w:tc>
          <w:tcPr>
            <w:tcW w:w="1838" w:type="dxa"/>
          </w:tcPr>
          <w:p w14:paraId="4ACC0407" w14:textId="77777777" w:rsidR="00584735" w:rsidRPr="00354554" w:rsidRDefault="00584735" w:rsidP="006B1F7A">
            <w:pPr>
              <w:pStyle w:val="Default"/>
              <w:rPr>
                <w:rFonts w:eastAsiaTheme="minorHAnsi"/>
                <w:color w:val="auto"/>
              </w:rPr>
            </w:pPr>
            <w:r w:rsidRPr="00354554">
              <w:rPr>
                <w:color w:val="auto"/>
                <w:sz w:val="21"/>
                <w:szCs w:val="21"/>
              </w:rPr>
              <w:t xml:space="preserve">Vidutiniškai </w:t>
            </w:r>
          </w:p>
        </w:tc>
        <w:tc>
          <w:tcPr>
            <w:tcW w:w="2126" w:type="dxa"/>
          </w:tcPr>
          <w:p w14:paraId="0FC367F3" w14:textId="0B45EEED" w:rsidR="00584735" w:rsidRPr="00354554" w:rsidRDefault="00584735" w:rsidP="006B1F7A">
            <w:pPr>
              <w:pStyle w:val="Default"/>
              <w:rPr>
                <w:rFonts w:eastAsiaTheme="minorHAnsi"/>
                <w:color w:val="auto"/>
              </w:rPr>
            </w:pPr>
            <w:r w:rsidRPr="00354554">
              <w:rPr>
                <w:color w:val="auto"/>
                <w:sz w:val="21"/>
                <w:szCs w:val="21"/>
              </w:rPr>
              <w:t>5</w:t>
            </w:r>
            <w:r w:rsidR="00BF0011" w:rsidRPr="00354554">
              <w:rPr>
                <w:noProof/>
                <w:color w:val="auto"/>
              </w:rPr>
              <w:t>–</w:t>
            </w:r>
            <w:r w:rsidRPr="00354554">
              <w:rPr>
                <w:color w:val="auto"/>
                <w:sz w:val="21"/>
                <w:szCs w:val="21"/>
              </w:rPr>
              <w:t xml:space="preserve">7 </w:t>
            </w:r>
          </w:p>
        </w:tc>
      </w:tr>
      <w:tr w:rsidR="00354554" w:rsidRPr="00354554" w14:paraId="7526CC7E" w14:textId="77777777" w:rsidTr="00090B67">
        <w:trPr>
          <w:jc w:val="center"/>
        </w:trPr>
        <w:tc>
          <w:tcPr>
            <w:tcW w:w="1838" w:type="dxa"/>
          </w:tcPr>
          <w:p w14:paraId="40D7BC08" w14:textId="77777777" w:rsidR="00584735" w:rsidRPr="00354554" w:rsidRDefault="00584735" w:rsidP="006B1F7A">
            <w:pPr>
              <w:pStyle w:val="Default"/>
              <w:rPr>
                <w:rFonts w:eastAsiaTheme="minorHAnsi"/>
                <w:color w:val="auto"/>
              </w:rPr>
            </w:pPr>
            <w:r w:rsidRPr="00354554">
              <w:rPr>
                <w:color w:val="auto"/>
                <w:sz w:val="21"/>
                <w:szCs w:val="21"/>
              </w:rPr>
              <w:t xml:space="preserve">Gerai </w:t>
            </w:r>
          </w:p>
        </w:tc>
        <w:tc>
          <w:tcPr>
            <w:tcW w:w="2126" w:type="dxa"/>
          </w:tcPr>
          <w:p w14:paraId="2F554437" w14:textId="2E7A8894" w:rsidR="00584735" w:rsidRPr="00354554" w:rsidRDefault="00584735" w:rsidP="006B1F7A">
            <w:pPr>
              <w:pStyle w:val="Default"/>
              <w:rPr>
                <w:rFonts w:eastAsiaTheme="minorHAnsi"/>
                <w:color w:val="auto"/>
              </w:rPr>
            </w:pPr>
            <w:r w:rsidRPr="00354554">
              <w:rPr>
                <w:color w:val="auto"/>
                <w:sz w:val="21"/>
                <w:szCs w:val="21"/>
              </w:rPr>
              <w:t>8</w:t>
            </w:r>
            <w:r w:rsidR="00BF0011" w:rsidRPr="00354554">
              <w:rPr>
                <w:noProof/>
                <w:color w:val="auto"/>
              </w:rPr>
              <w:t>–</w:t>
            </w:r>
            <w:r w:rsidRPr="00354554">
              <w:rPr>
                <w:color w:val="auto"/>
                <w:sz w:val="21"/>
                <w:szCs w:val="21"/>
              </w:rPr>
              <w:t xml:space="preserve">10 </w:t>
            </w:r>
          </w:p>
        </w:tc>
      </w:tr>
    </w:tbl>
    <w:p w14:paraId="4063265A" w14:textId="77777777" w:rsidR="00A5572D" w:rsidRDefault="00A5572D" w:rsidP="00A5572D">
      <w:pPr>
        <w:pStyle w:val="ListParagraph"/>
        <w:autoSpaceDE w:val="0"/>
        <w:autoSpaceDN w:val="0"/>
        <w:adjustRightInd w:val="0"/>
        <w:ind w:left="709"/>
        <w:rPr>
          <w:rFonts w:eastAsiaTheme="minorHAnsi"/>
          <w:noProof/>
          <w:szCs w:val="24"/>
        </w:rPr>
      </w:pPr>
    </w:p>
    <w:p w14:paraId="5E814DA0" w14:textId="7C00A913" w:rsidR="00584735" w:rsidRPr="00354554" w:rsidRDefault="004A2B34" w:rsidP="000874FC">
      <w:pPr>
        <w:pStyle w:val="ListParagraph"/>
        <w:numPr>
          <w:ilvl w:val="0"/>
          <w:numId w:val="23"/>
        </w:numPr>
        <w:autoSpaceDE w:val="0"/>
        <w:autoSpaceDN w:val="0"/>
        <w:adjustRightInd w:val="0"/>
        <w:rPr>
          <w:rFonts w:eastAsiaTheme="minorHAnsi"/>
          <w:noProof/>
          <w:szCs w:val="24"/>
        </w:rPr>
      </w:pPr>
      <w:r w:rsidRPr="00354554">
        <w:rPr>
          <w:rFonts w:eastAsiaTheme="minorHAnsi"/>
          <w:szCs w:val="24"/>
        </w:rPr>
        <w:t>4 lentelėje</w:t>
      </w:r>
      <w:r w:rsidR="00584735" w:rsidRPr="00354554">
        <w:rPr>
          <w:rFonts w:eastAsiaTheme="minorHAnsi"/>
          <w:szCs w:val="24"/>
        </w:rPr>
        <w:t xml:space="preserve"> </w:t>
      </w:r>
      <w:r w:rsidRPr="00354554">
        <w:rPr>
          <w:rFonts w:eastAsiaTheme="minorHAnsi"/>
          <w:szCs w:val="24"/>
        </w:rPr>
        <w:t>pateikiama</w:t>
      </w:r>
      <w:r w:rsidR="00D724A8" w:rsidRPr="00354554">
        <w:rPr>
          <w:rFonts w:eastAsiaTheme="minorHAnsi"/>
          <w:szCs w:val="24"/>
        </w:rPr>
        <w:t>s</w:t>
      </w:r>
      <w:r w:rsidR="00584735" w:rsidRPr="00354554">
        <w:rPr>
          <w:rFonts w:eastAsiaTheme="minorHAnsi"/>
          <w:szCs w:val="24"/>
        </w:rPr>
        <w:t xml:space="preserve"> kokybinių vertinimų </w:t>
      </w:r>
      <w:r w:rsidR="00584735" w:rsidRPr="00354554">
        <w:rPr>
          <w:rFonts w:eastAsiaTheme="minorHAnsi"/>
          <w:noProof/>
          <w:szCs w:val="24"/>
        </w:rPr>
        <w:t>aprašymas</w:t>
      </w:r>
      <w:r w:rsidR="00090B67" w:rsidRPr="00354554">
        <w:rPr>
          <w:rFonts w:eastAsiaTheme="minorHAnsi"/>
          <w:noProof/>
          <w:szCs w:val="24"/>
        </w:rPr>
        <w:t>.</w:t>
      </w:r>
    </w:p>
    <w:p w14:paraId="0F331AA8" w14:textId="77777777" w:rsidR="004A2B34" w:rsidRPr="00354554" w:rsidRDefault="004A2B34" w:rsidP="004A2B34">
      <w:pPr>
        <w:pStyle w:val="ListParagraph"/>
        <w:autoSpaceDE w:val="0"/>
        <w:autoSpaceDN w:val="0"/>
        <w:adjustRightInd w:val="0"/>
        <w:ind w:left="709"/>
        <w:rPr>
          <w:rFonts w:eastAsiaTheme="minorHAnsi"/>
          <w:noProof/>
          <w:szCs w:val="24"/>
        </w:rPr>
      </w:pPr>
    </w:p>
    <w:p w14:paraId="734309EA" w14:textId="39F2F97A" w:rsidR="00584735" w:rsidRPr="00354554" w:rsidRDefault="004A2B34" w:rsidP="004A2B34">
      <w:pPr>
        <w:pStyle w:val="ListParagraph"/>
        <w:autoSpaceDE w:val="0"/>
        <w:autoSpaceDN w:val="0"/>
        <w:adjustRightInd w:val="0"/>
        <w:ind w:left="709"/>
        <w:jc w:val="right"/>
        <w:rPr>
          <w:rFonts w:eastAsiaTheme="minorHAnsi"/>
          <w:noProof/>
          <w:sz w:val="22"/>
          <w:szCs w:val="22"/>
        </w:rPr>
      </w:pPr>
      <w:r w:rsidRPr="00354554">
        <w:rPr>
          <w:rFonts w:eastAsiaTheme="minorHAnsi"/>
          <w:b/>
          <w:bCs/>
          <w:noProof/>
          <w:sz w:val="22"/>
          <w:szCs w:val="22"/>
        </w:rPr>
        <w:t>4 lentelė.</w:t>
      </w:r>
      <w:r w:rsidRPr="00354554">
        <w:rPr>
          <w:rFonts w:eastAsiaTheme="minorHAnsi"/>
          <w:noProof/>
          <w:sz w:val="22"/>
          <w:szCs w:val="22"/>
        </w:rPr>
        <w:t xml:space="preserve"> Kokybinių vertinim</w:t>
      </w:r>
      <w:r w:rsidR="00D724A8" w:rsidRPr="00354554">
        <w:rPr>
          <w:rFonts w:eastAsiaTheme="minorHAnsi"/>
          <w:noProof/>
          <w:sz w:val="22"/>
          <w:szCs w:val="22"/>
        </w:rPr>
        <w:t>ų</w:t>
      </w:r>
      <w:r w:rsidRPr="00354554">
        <w:rPr>
          <w:rFonts w:eastAsiaTheme="minorHAnsi"/>
          <w:noProof/>
          <w:sz w:val="22"/>
          <w:szCs w:val="22"/>
        </w:rPr>
        <w:t xml:space="preserve"> aprašymas</w:t>
      </w:r>
    </w:p>
    <w:tbl>
      <w:tblPr>
        <w:tblStyle w:val="TableGrid"/>
        <w:tblW w:w="0" w:type="auto"/>
        <w:tblLook w:val="04A0" w:firstRow="1" w:lastRow="0" w:firstColumn="1" w:lastColumn="0" w:noHBand="0" w:noVBand="1"/>
      </w:tblPr>
      <w:tblGrid>
        <w:gridCol w:w="2689"/>
        <w:gridCol w:w="6939"/>
      </w:tblGrid>
      <w:tr w:rsidR="00354554" w:rsidRPr="00354554" w14:paraId="3B361625" w14:textId="77777777" w:rsidTr="004A1C84">
        <w:tc>
          <w:tcPr>
            <w:tcW w:w="2689" w:type="dxa"/>
            <w:shd w:val="clear" w:color="auto" w:fill="D9D9D9" w:themeFill="background1" w:themeFillShade="D9"/>
          </w:tcPr>
          <w:p w14:paraId="7943E7FD" w14:textId="09C6A012" w:rsidR="00584735" w:rsidRPr="00354554" w:rsidRDefault="00584735" w:rsidP="004A1C84">
            <w:pPr>
              <w:pStyle w:val="Default"/>
              <w:jc w:val="center"/>
              <w:rPr>
                <w:rFonts w:eastAsiaTheme="minorHAnsi"/>
                <w:noProof/>
                <w:color w:val="auto"/>
                <w:sz w:val="22"/>
                <w:szCs w:val="22"/>
              </w:rPr>
            </w:pPr>
            <w:r w:rsidRPr="00354554">
              <w:rPr>
                <w:b/>
                <w:bCs/>
                <w:noProof/>
                <w:color w:val="auto"/>
                <w:sz w:val="22"/>
                <w:szCs w:val="22"/>
              </w:rPr>
              <w:t>Vertinimas</w:t>
            </w:r>
          </w:p>
        </w:tc>
        <w:tc>
          <w:tcPr>
            <w:tcW w:w="6939" w:type="dxa"/>
            <w:shd w:val="clear" w:color="auto" w:fill="D9D9D9" w:themeFill="background1" w:themeFillShade="D9"/>
          </w:tcPr>
          <w:p w14:paraId="3D27CED2" w14:textId="71C546D2" w:rsidR="00584735" w:rsidRPr="00354554" w:rsidRDefault="00584735" w:rsidP="004A1C84">
            <w:pPr>
              <w:pStyle w:val="Default"/>
              <w:jc w:val="center"/>
              <w:rPr>
                <w:rFonts w:eastAsiaTheme="minorHAnsi"/>
                <w:noProof/>
                <w:color w:val="auto"/>
                <w:sz w:val="22"/>
                <w:szCs w:val="22"/>
              </w:rPr>
            </w:pPr>
            <w:r w:rsidRPr="00354554">
              <w:rPr>
                <w:b/>
                <w:bCs/>
                <w:noProof/>
                <w:color w:val="auto"/>
                <w:sz w:val="22"/>
                <w:szCs w:val="22"/>
              </w:rPr>
              <w:t>Aprašymas</w:t>
            </w:r>
          </w:p>
        </w:tc>
      </w:tr>
      <w:tr w:rsidR="00354554" w:rsidRPr="00354554" w14:paraId="553D9B94" w14:textId="77777777" w:rsidTr="004A1C84">
        <w:tc>
          <w:tcPr>
            <w:tcW w:w="9628" w:type="dxa"/>
            <w:gridSpan w:val="2"/>
            <w:shd w:val="clear" w:color="auto" w:fill="D9D9D9" w:themeFill="background1" w:themeFillShade="D9"/>
          </w:tcPr>
          <w:p w14:paraId="02962607" w14:textId="11A3A3EF" w:rsidR="00584735" w:rsidRPr="00354554" w:rsidRDefault="00584735" w:rsidP="004A1C84">
            <w:pPr>
              <w:pStyle w:val="Default"/>
              <w:jc w:val="center"/>
              <w:rPr>
                <w:rFonts w:eastAsiaTheme="minorHAnsi"/>
                <w:noProof/>
                <w:color w:val="auto"/>
                <w:sz w:val="22"/>
                <w:szCs w:val="22"/>
              </w:rPr>
            </w:pPr>
            <w:r w:rsidRPr="00354554">
              <w:rPr>
                <w:b/>
                <w:bCs/>
                <w:noProof/>
                <w:color w:val="auto"/>
                <w:sz w:val="22"/>
                <w:szCs w:val="22"/>
              </w:rPr>
              <w:t>Antras kriterijus: techninės savybės (T1)</w:t>
            </w:r>
          </w:p>
        </w:tc>
      </w:tr>
      <w:tr w:rsidR="00354554" w:rsidRPr="00354554" w14:paraId="7D1E25CF" w14:textId="77777777" w:rsidTr="00B32CC5">
        <w:tc>
          <w:tcPr>
            <w:tcW w:w="9628" w:type="dxa"/>
            <w:gridSpan w:val="2"/>
          </w:tcPr>
          <w:p w14:paraId="1A139A96" w14:textId="761E17B9" w:rsidR="00E15E2A" w:rsidRPr="00354554" w:rsidRDefault="00E15E2A" w:rsidP="004A1C84">
            <w:pPr>
              <w:pStyle w:val="Default"/>
              <w:numPr>
                <w:ilvl w:val="0"/>
                <w:numId w:val="20"/>
              </w:numPr>
              <w:jc w:val="center"/>
              <w:rPr>
                <w:b/>
                <w:bCs/>
                <w:noProof/>
                <w:color w:val="auto"/>
                <w:sz w:val="22"/>
                <w:szCs w:val="22"/>
              </w:rPr>
            </w:pPr>
            <w:r w:rsidRPr="00354554">
              <w:rPr>
                <w:b/>
                <w:bCs/>
                <w:noProof/>
                <w:color w:val="auto"/>
                <w:sz w:val="22"/>
                <w:szCs w:val="22"/>
              </w:rPr>
              <w:t>Klaviatūros jautrumas nuo ppp (piano pianissimo) iki fff (forte fortissimo)</w:t>
            </w:r>
          </w:p>
        </w:tc>
      </w:tr>
      <w:tr w:rsidR="00354554" w:rsidRPr="00354554" w14:paraId="39DB16B2" w14:textId="77777777" w:rsidTr="00584735">
        <w:tc>
          <w:tcPr>
            <w:tcW w:w="2689" w:type="dxa"/>
          </w:tcPr>
          <w:p w14:paraId="010292D0" w14:textId="525FB2A1" w:rsidR="00E15E2A" w:rsidRPr="00354554" w:rsidRDefault="00E15E2A" w:rsidP="004A1C84">
            <w:pPr>
              <w:pStyle w:val="Default"/>
              <w:rPr>
                <w:noProof/>
                <w:color w:val="auto"/>
                <w:sz w:val="22"/>
                <w:szCs w:val="22"/>
              </w:rPr>
            </w:pPr>
            <w:r w:rsidRPr="00354554">
              <w:rPr>
                <w:i/>
                <w:iCs/>
                <w:noProof/>
                <w:color w:val="auto"/>
                <w:sz w:val="22"/>
                <w:szCs w:val="22"/>
              </w:rPr>
              <w:t>Prastai (1</w:t>
            </w:r>
            <w:r w:rsidR="00D724A8" w:rsidRPr="00354554">
              <w:rPr>
                <w:i/>
                <w:iCs/>
                <w:noProof/>
                <w:color w:val="auto"/>
              </w:rPr>
              <w:t>–</w:t>
            </w:r>
            <w:r w:rsidRPr="00354554">
              <w:rPr>
                <w:i/>
                <w:iCs/>
                <w:noProof/>
                <w:color w:val="auto"/>
                <w:sz w:val="22"/>
                <w:szCs w:val="22"/>
              </w:rPr>
              <w:t>4 bal</w:t>
            </w:r>
            <w:r w:rsidR="00D724A8" w:rsidRPr="00354554">
              <w:rPr>
                <w:i/>
                <w:iCs/>
                <w:noProof/>
                <w:color w:val="auto"/>
                <w:sz w:val="22"/>
                <w:szCs w:val="22"/>
              </w:rPr>
              <w:t>ai</w:t>
            </w:r>
            <w:r w:rsidRPr="00354554">
              <w:rPr>
                <w:i/>
                <w:iCs/>
                <w:noProof/>
                <w:color w:val="auto"/>
                <w:sz w:val="22"/>
                <w:szCs w:val="22"/>
              </w:rPr>
              <w:t xml:space="preserve">) </w:t>
            </w:r>
          </w:p>
          <w:p w14:paraId="37867015" w14:textId="77777777" w:rsidR="00584735" w:rsidRPr="00354554" w:rsidRDefault="00584735" w:rsidP="004A1C84">
            <w:pPr>
              <w:autoSpaceDE w:val="0"/>
              <w:autoSpaceDN w:val="0"/>
              <w:adjustRightInd w:val="0"/>
              <w:rPr>
                <w:rFonts w:eastAsiaTheme="minorHAnsi"/>
                <w:noProof/>
                <w:sz w:val="22"/>
                <w:szCs w:val="22"/>
              </w:rPr>
            </w:pPr>
          </w:p>
        </w:tc>
        <w:tc>
          <w:tcPr>
            <w:tcW w:w="6939" w:type="dxa"/>
          </w:tcPr>
          <w:p w14:paraId="3B86B503" w14:textId="7893DF79" w:rsidR="00584735" w:rsidRPr="00A5572D" w:rsidRDefault="00E15E2A" w:rsidP="00A5572D">
            <w:pPr>
              <w:pStyle w:val="Default"/>
              <w:jc w:val="both"/>
              <w:rPr>
                <w:noProof/>
                <w:color w:val="auto"/>
                <w:sz w:val="22"/>
                <w:szCs w:val="22"/>
              </w:rPr>
            </w:pPr>
            <w:r w:rsidRPr="00354554">
              <w:rPr>
                <w:noProof/>
                <w:color w:val="auto"/>
                <w:sz w:val="22"/>
                <w:szCs w:val="22"/>
              </w:rPr>
              <w:t xml:space="preserve">Žemas mechanizmo jautrumas. Klavišų eiga pernelyg laisva, nevienoda. Grojant repeticijos būdu ir smulkia technika, klavišai laiku negrįžta į reikiamą poziciją, užsilaiko, natos pakartotinai nepraskamba; grojant staccato, legato, non legato vienodu intensyvumu, garsas skamba netolygiai, skirtingo laipsnio garsumu. Grojant akordine ir arpeggio technika, atskiri akordų garsai „iššoka“ arba nepraskamba, akordas nehomogeniškas. </w:t>
            </w:r>
          </w:p>
        </w:tc>
      </w:tr>
      <w:tr w:rsidR="00354554" w:rsidRPr="00354554" w14:paraId="3F6118F9" w14:textId="77777777" w:rsidTr="00584735">
        <w:tc>
          <w:tcPr>
            <w:tcW w:w="2689" w:type="dxa"/>
          </w:tcPr>
          <w:p w14:paraId="7A019B43" w14:textId="3123CB94" w:rsidR="00E15E2A" w:rsidRPr="00354554" w:rsidRDefault="00E15E2A" w:rsidP="004A1C84">
            <w:pPr>
              <w:pStyle w:val="Default"/>
              <w:rPr>
                <w:noProof/>
                <w:color w:val="auto"/>
                <w:sz w:val="22"/>
                <w:szCs w:val="22"/>
              </w:rPr>
            </w:pPr>
            <w:r w:rsidRPr="00354554">
              <w:rPr>
                <w:i/>
                <w:iCs/>
                <w:noProof/>
                <w:color w:val="auto"/>
                <w:sz w:val="22"/>
                <w:szCs w:val="22"/>
              </w:rPr>
              <w:t>Vidutiniškai (5</w:t>
            </w:r>
            <w:r w:rsidR="00D724A8" w:rsidRPr="00354554">
              <w:rPr>
                <w:noProof/>
                <w:color w:val="auto"/>
              </w:rPr>
              <w:t>–</w:t>
            </w:r>
            <w:r w:rsidRPr="00354554">
              <w:rPr>
                <w:i/>
                <w:iCs/>
                <w:noProof/>
                <w:color w:val="auto"/>
                <w:sz w:val="22"/>
                <w:szCs w:val="22"/>
              </w:rPr>
              <w:t>7 bal</w:t>
            </w:r>
            <w:r w:rsidR="00D724A8" w:rsidRPr="00354554">
              <w:rPr>
                <w:i/>
                <w:iCs/>
                <w:noProof/>
                <w:color w:val="auto"/>
                <w:sz w:val="22"/>
                <w:szCs w:val="22"/>
              </w:rPr>
              <w:t>ai</w:t>
            </w:r>
            <w:r w:rsidRPr="00354554">
              <w:rPr>
                <w:i/>
                <w:iCs/>
                <w:noProof/>
                <w:color w:val="auto"/>
                <w:sz w:val="22"/>
                <w:szCs w:val="22"/>
              </w:rPr>
              <w:t xml:space="preserve">) </w:t>
            </w:r>
          </w:p>
          <w:p w14:paraId="25028601" w14:textId="77777777" w:rsidR="00584735" w:rsidRPr="00354554" w:rsidRDefault="00584735" w:rsidP="004A1C84">
            <w:pPr>
              <w:autoSpaceDE w:val="0"/>
              <w:autoSpaceDN w:val="0"/>
              <w:adjustRightInd w:val="0"/>
              <w:rPr>
                <w:rFonts w:eastAsiaTheme="minorHAnsi"/>
                <w:noProof/>
                <w:sz w:val="22"/>
                <w:szCs w:val="22"/>
              </w:rPr>
            </w:pPr>
          </w:p>
        </w:tc>
        <w:tc>
          <w:tcPr>
            <w:tcW w:w="6939" w:type="dxa"/>
          </w:tcPr>
          <w:p w14:paraId="6CDB97F2" w14:textId="36C32CA1" w:rsidR="00584735" w:rsidRPr="00A5572D" w:rsidRDefault="00E15E2A" w:rsidP="00A5572D">
            <w:pPr>
              <w:pStyle w:val="Default"/>
              <w:jc w:val="both"/>
              <w:rPr>
                <w:noProof/>
                <w:color w:val="auto"/>
                <w:sz w:val="22"/>
                <w:szCs w:val="22"/>
              </w:rPr>
            </w:pPr>
            <w:r w:rsidRPr="00354554">
              <w:rPr>
                <w:noProof/>
                <w:color w:val="auto"/>
                <w:sz w:val="22"/>
                <w:szCs w:val="22"/>
              </w:rPr>
              <w:t xml:space="preserve">Vidutinis mechanizmo jautrumas. Klavišų eiga tolygi. Grojant repeticijos būdu ir smulkia technika, klavišai laiku grįžta į reikiamą poziciją, bet natos praskamba nevienodai, skirtingu garsumu; grojant staccato, legato, non legato tuo pačiu intensyvumu, juntami klavišų atsako skirtumai. Grojant </w:t>
            </w:r>
            <w:r w:rsidRPr="00354554">
              <w:rPr>
                <w:noProof/>
                <w:color w:val="auto"/>
                <w:sz w:val="22"/>
                <w:szCs w:val="22"/>
              </w:rPr>
              <w:lastRenderedPageBreak/>
              <w:t xml:space="preserve">akordine ir arpeggio technika, visi akordų garsai praskamba, bet garso attacca nepakankamai aiški. </w:t>
            </w:r>
          </w:p>
        </w:tc>
      </w:tr>
      <w:tr w:rsidR="00354554" w:rsidRPr="00354554" w14:paraId="60F10073" w14:textId="77777777" w:rsidTr="00584735">
        <w:tc>
          <w:tcPr>
            <w:tcW w:w="2689" w:type="dxa"/>
          </w:tcPr>
          <w:p w14:paraId="3EFC5E52" w14:textId="21739363" w:rsidR="00E15E2A" w:rsidRPr="00354554" w:rsidRDefault="00E15E2A" w:rsidP="004A1C84">
            <w:pPr>
              <w:pStyle w:val="Default"/>
              <w:rPr>
                <w:noProof/>
                <w:color w:val="auto"/>
                <w:sz w:val="22"/>
                <w:szCs w:val="22"/>
              </w:rPr>
            </w:pPr>
            <w:r w:rsidRPr="00354554">
              <w:rPr>
                <w:i/>
                <w:iCs/>
                <w:noProof/>
                <w:color w:val="auto"/>
                <w:sz w:val="22"/>
                <w:szCs w:val="22"/>
              </w:rPr>
              <w:t>Gerai (8</w:t>
            </w:r>
            <w:r w:rsidR="00D724A8" w:rsidRPr="00354554">
              <w:rPr>
                <w:noProof/>
                <w:color w:val="auto"/>
              </w:rPr>
              <w:t>–</w:t>
            </w:r>
            <w:r w:rsidRPr="00354554">
              <w:rPr>
                <w:i/>
                <w:iCs/>
                <w:noProof/>
                <w:color w:val="auto"/>
                <w:sz w:val="22"/>
                <w:szCs w:val="22"/>
              </w:rPr>
              <w:t xml:space="preserve">10 balų) </w:t>
            </w:r>
          </w:p>
          <w:p w14:paraId="0B07DE41" w14:textId="77777777" w:rsidR="00584735" w:rsidRPr="00354554" w:rsidRDefault="00584735" w:rsidP="004A1C84">
            <w:pPr>
              <w:autoSpaceDE w:val="0"/>
              <w:autoSpaceDN w:val="0"/>
              <w:adjustRightInd w:val="0"/>
              <w:rPr>
                <w:rFonts w:eastAsiaTheme="minorHAnsi"/>
                <w:noProof/>
                <w:sz w:val="22"/>
                <w:szCs w:val="22"/>
              </w:rPr>
            </w:pPr>
          </w:p>
        </w:tc>
        <w:tc>
          <w:tcPr>
            <w:tcW w:w="6939" w:type="dxa"/>
          </w:tcPr>
          <w:p w14:paraId="47E61644" w14:textId="155F13FE" w:rsidR="00584735" w:rsidRPr="00354554" w:rsidRDefault="00E15E2A" w:rsidP="004A1C84">
            <w:pPr>
              <w:pStyle w:val="Default"/>
              <w:jc w:val="both"/>
              <w:rPr>
                <w:rFonts w:eastAsiaTheme="minorHAnsi"/>
                <w:noProof/>
                <w:color w:val="auto"/>
                <w:sz w:val="22"/>
                <w:szCs w:val="22"/>
              </w:rPr>
            </w:pPr>
            <w:r w:rsidRPr="00354554">
              <w:rPr>
                <w:noProof/>
                <w:color w:val="auto"/>
                <w:sz w:val="22"/>
                <w:szCs w:val="22"/>
              </w:rPr>
              <w:t xml:space="preserve">Aukštas mechanizmo jautrumas visuose režimuose nuo ppp iki fff. Klavišų eiga tolygi. Grojant repeticijos būdu ir smulkia technika, klavišai laiku grįžta į reikiamą poziciją, natos praskamba vienodu garsumu; grojant staccato, legato, non legato tuo pačiu intensyvumu, klavišų atsakas tikslus. Grojant akordine ir arpeggio technika, visi akordų garsai aiškiai ir tolygiai praskamba, attacca konkreti ir aiški. </w:t>
            </w:r>
          </w:p>
        </w:tc>
      </w:tr>
      <w:tr w:rsidR="00354554" w:rsidRPr="00354554" w14:paraId="33EE286B" w14:textId="77777777" w:rsidTr="00F70DB5">
        <w:tc>
          <w:tcPr>
            <w:tcW w:w="9628" w:type="dxa"/>
            <w:gridSpan w:val="2"/>
          </w:tcPr>
          <w:p w14:paraId="776334D1" w14:textId="0D423D30" w:rsidR="00E15E2A" w:rsidRPr="00354554" w:rsidRDefault="00E15E2A" w:rsidP="004A1C84">
            <w:pPr>
              <w:pStyle w:val="ListParagraph"/>
              <w:numPr>
                <w:ilvl w:val="0"/>
                <w:numId w:val="20"/>
              </w:numPr>
              <w:autoSpaceDE w:val="0"/>
              <w:autoSpaceDN w:val="0"/>
              <w:adjustRightInd w:val="0"/>
              <w:jc w:val="center"/>
              <w:rPr>
                <w:rFonts w:eastAsiaTheme="minorHAnsi"/>
                <w:b/>
                <w:bCs/>
                <w:sz w:val="22"/>
                <w:szCs w:val="22"/>
              </w:rPr>
            </w:pPr>
            <w:r w:rsidRPr="00354554">
              <w:rPr>
                <w:b/>
                <w:bCs/>
                <w:sz w:val="22"/>
                <w:szCs w:val="22"/>
              </w:rPr>
              <w:t>Instrumento derinimo stabilumas</w:t>
            </w:r>
          </w:p>
        </w:tc>
      </w:tr>
      <w:tr w:rsidR="00354554" w:rsidRPr="00354554" w14:paraId="41C3BD23" w14:textId="77777777" w:rsidTr="00584735">
        <w:tc>
          <w:tcPr>
            <w:tcW w:w="2689" w:type="dxa"/>
          </w:tcPr>
          <w:p w14:paraId="0C8AAA94" w14:textId="09E44710" w:rsidR="00E15E2A" w:rsidRPr="00354554" w:rsidRDefault="00E15E2A" w:rsidP="004A1C84">
            <w:pPr>
              <w:pStyle w:val="Default"/>
              <w:rPr>
                <w:noProof/>
                <w:color w:val="auto"/>
                <w:sz w:val="22"/>
                <w:szCs w:val="22"/>
              </w:rPr>
            </w:pPr>
            <w:r w:rsidRPr="00354554">
              <w:rPr>
                <w:i/>
                <w:iCs/>
                <w:noProof/>
                <w:color w:val="auto"/>
                <w:sz w:val="22"/>
                <w:szCs w:val="22"/>
              </w:rPr>
              <w:t>Prastai (1</w:t>
            </w:r>
            <w:r w:rsidR="00D724A8" w:rsidRPr="00354554">
              <w:rPr>
                <w:noProof/>
                <w:color w:val="auto"/>
              </w:rPr>
              <w:t>–</w:t>
            </w:r>
            <w:r w:rsidRPr="00354554">
              <w:rPr>
                <w:i/>
                <w:iCs/>
                <w:noProof/>
                <w:color w:val="auto"/>
                <w:sz w:val="22"/>
                <w:szCs w:val="22"/>
              </w:rPr>
              <w:t>4 bal</w:t>
            </w:r>
            <w:r w:rsidR="00D724A8" w:rsidRPr="00354554">
              <w:rPr>
                <w:i/>
                <w:iCs/>
                <w:noProof/>
                <w:color w:val="auto"/>
                <w:sz w:val="22"/>
                <w:szCs w:val="22"/>
              </w:rPr>
              <w:t>ai</w:t>
            </w:r>
            <w:r w:rsidRPr="00354554">
              <w:rPr>
                <w:i/>
                <w:iCs/>
                <w:noProof/>
                <w:color w:val="auto"/>
                <w:sz w:val="22"/>
                <w:szCs w:val="22"/>
              </w:rPr>
              <w:t xml:space="preserve">) </w:t>
            </w:r>
          </w:p>
          <w:p w14:paraId="52915953" w14:textId="77777777" w:rsidR="00584735" w:rsidRPr="00354554" w:rsidRDefault="00584735" w:rsidP="004A1C84">
            <w:pPr>
              <w:autoSpaceDE w:val="0"/>
              <w:autoSpaceDN w:val="0"/>
              <w:adjustRightInd w:val="0"/>
              <w:rPr>
                <w:rFonts w:eastAsiaTheme="minorHAnsi"/>
                <w:noProof/>
                <w:sz w:val="22"/>
                <w:szCs w:val="22"/>
              </w:rPr>
            </w:pPr>
          </w:p>
        </w:tc>
        <w:tc>
          <w:tcPr>
            <w:tcW w:w="6939" w:type="dxa"/>
          </w:tcPr>
          <w:p w14:paraId="2D1CB7CB" w14:textId="7FF4C9BC" w:rsidR="00584735" w:rsidRPr="00354554" w:rsidRDefault="00F8400B" w:rsidP="004A1C84">
            <w:pPr>
              <w:autoSpaceDE w:val="0"/>
              <w:autoSpaceDN w:val="0"/>
              <w:adjustRightInd w:val="0"/>
              <w:jc w:val="both"/>
              <w:rPr>
                <w:rFonts w:eastAsiaTheme="minorHAnsi"/>
                <w:noProof/>
                <w:sz w:val="22"/>
                <w:szCs w:val="22"/>
              </w:rPr>
            </w:pPr>
            <w:r w:rsidRPr="00354554">
              <w:rPr>
                <w:noProof/>
                <w:sz w:val="22"/>
                <w:szCs w:val="22"/>
              </w:rPr>
              <w:t xml:space="preserve">Prastas derinimo stabilumas. Nuokrypis nuo etaloninio derinimo </w:t>
            </w:r>
            <w:r w:rsidR="00D724A8" w:rsidRPr="00354554">
              <w:rPr>
                <w:noProof/>
                <w:szCs w:val="24"/>
              </w:rPr>
              <w:t xml:space="preserve">– </w:t>
            </w:r>
            <w:r w:rsidRPr="00354554">
              <w:rPr>
                <w:noProof/>
                <w:sz w:val="22"/>
                <w:szCs w:val="22"/>
              </w:rPr>
              <w:t>daugiau nei 4 ct.</w:t>
            </w:r>
          </w:p>
        </w:tc>
      </w:tr>
      <w:tr w:rsidR="00354554" w:rsidRPr="00354554" w14:paraId="3960C534" w14:textId="77777777" w:rsidTr="00584735">
        <w:tc>
          <w:tcPr>
            <w:tcW w:w="2689" w:type="dxa"/>
          </w:tcPr>
          <w:p w14:paraId="6D894531" w14:textId="5902A832" w:rsidR="00E15E2A" w:rsidRPr="00354554" w:rsidRDefault="00E15E2A" w:rsidP="004A1C84">
            <w:pPr>
              <w:pStyle w:val="Default"/>
              <w:rPr>
                <w:noProof/>
                <w:color w:val="auto"/>
                <w:sz w:val="22"/>
                <w:szCs w:val="22"/>
              </w:rPr>
            </w:pPr>
            <w:r w:rsidRPr="00354554">
              <w:rPr>
                <w:i/>
                <w:iCs/>
                <w:noProof/>
                <w:color w:val="auto"/>
                <w:sz w:val="22"/>
                <w:szCs w:val="22"/>
              </w:rPr>
              <w:t>Vidutiniškai (5</w:t>
            </w:r>
            <w:r w:rsidR="00D724A8" w:rsidRPr="00354554">
              <w:rPr>
                <w:noProof/>
                <w:color w:val="auto"/>
              </w:rPr>
              <w:t>–</w:t>
            </w:r>
            <w:r w:rsidRPr="00354554">
              <w:rPr>
                <w:i/>
                <w:iCs/>
                <w:noProof/>
                <w:color w:val="auto"/>
                <w:sz w:val="22"/>
                <w:szCs w:val="22"/>
              </w:rPr>
              <w:t>7 bal</w:t>
            </w:r>
            <w:r w:rsidR="00D724A8" w:rsidRPr="00354554">
              <w:rPr>
                <w:i/>
                <w:iCs/>
                <w:noProof/>
                <w:color w:val="auto"/>
                <w:sz w:val="22"/>
                <w:szCs w:val="22"/>
              </w:rPr>
              <w:t>ai</w:t>
            </w:r>
            <w:r w:rsidRPr="00354554">
              <w:rPr>
                <w:i/>
                <w:iCs/>
                <w:noProof/>
                <w:color w:val="auto"/>
                <w:sz w:val="22"/>
                <w:szCs w:val="22"/>
              </w:rPr>
              <w:t xml:space="preserve">) </w:t>
            </w:r>
          </w:p>
          <w:p w14:paraId="0D3BD21E" w14:textId="77777777" w:rsidR="00584735" w:rsidRPr="00354554" w:rsidRDefault="00584735" w:rsidP="004A1C84">
            <w:pPr>
              <w:autoSpaceDE w:val="0"/>
              <w:autoSpaceDN w:val="0"/>
              <w:adjustRightInd w:val="0"/>
              <w:rPr>
                <w:rFonts w:eastAsiaTheme="minorHAnsi"/>
                <w:noProof/>
                <w:sz w:val="22"/>
                <w:szCs w:val="22"/>
              </w:rPr>
            </w:pPr>
          </w:p>
        </w:tc>
        <w:tc>
          <w:tcPr>
            <w:tcW w:w="6939" w:type="dxa"/>
          </w:tcPr>
          <w:p w14:paraId="4AF879AD" w14:textId="3E5BB46B" w:rsidR="00584735" w:rsidRPr="00354554" w:rsidRDefault="00F8400B" w:rsidP="004A1C84">
            <w:pPr>
              <w:autoSpaceDE w:val="0"/>
              <w:autoSpaceDN w:val="0"/>
              <w:adjustRightInd w:val="0"/>
              <w:jc w:val="both"/>
              <w:rPr>
                <w:rFonts w:eastAsiaTheme="minorHAnsi"/>
                <w:noProof/>
                <w:sz w:val="22"/>
                <w:szCs w:val="22"/>
              </w:rPr>
            </w:pPr>
            <w:r w:rsidRPr="00354554">
              <w:rPr>
                <w:noProof/>
                <w:sz w:val="22"/>
                <w:szCs w:val="22"/>
              </w:rPr>
              <w:t xml:space="preserve">Vidutiniškas derinimo stabilumas. Nuokrypis nuo etaloninio derinimo </w:t>
            </w:r>
            <w:r w:rsidR="00D724A8" w:rsidRPr="00354554">
              <w:rPr>
                <w:noProof/>
                <w:szCs w:val="24"/>
              </w:rPr>
              <w:t xml:space="preserve">– </w:t>
            </w:r>
            <w:r w:rsidRPr="00354554">
              <w:rPr>
                <w:noProof/>
                <w:sz w:val="22"/>
                <w:szCs w:val="22"/>
              </w:rPr>
              <w:t>nuo 2 iki 4 ct.</w:t>
            </w:r>
          </w:p>
        </w:tc>
      </w:tr>
      <w:tr w:rsidR="00354554" w:rsidRPr="00354554" w14:paraId="38940E70" w14:textId="77777777" w:rsidTr="00584735">
        <w:tc>
          <w:tcPr>
            <w:tcW w:w="2689" w:type="dxa"/>
          </w:tcPr>
          <w:p w14:paraId="3DE2EA8C" w14:textId="721EE5FE" w:rsidR="00E15E2A" w:rsidRPr="00354554" w:rsidRDefault="00E15E2A" w:rsidP="004A1C84">
            <w:pPr>
              <w:pStyle w:val="Default"/>
              <w:rPr>
                <w:noProof/>
                <w:color w:val="auto"/>
                <w:sz w:val="22"/>
                <w:szCs w:val="22"/>
              </w:rPr>
            </w:pPr>
            <w:r w:rsidRPr="00354554">
              <w:rPr>
                <w:i/>
                <w:iCs/>
                <w:noProof/>
                <w:color w:val="auto"/>
                <w:sz w:val="22"/>
                <w:szCs w:val="22"/>
              </w:rPr>
              <w:t>Gerai (8</w:t>
            </w:r>
            <w:r w:rsidR="00D724A8" w:rsidRPr="00354554">
              <w:rPr>
                <w:noProof/>
                <w:color w:val="auto"/>
              </w:rPr>
              <w:t>–</w:t>
            </w:r>
            <w:r w:rsidRPr="00354554">
              <w:rPr>
                <w:i/>
                <w:iCs/>
                <w:noProof/>
                <w:color w:val="auto"/>
                <w:sz w:val="22"/>
                <w:szCs w:val="22"/>
              </w:rPr>
              <w:t xml:space="preserve">10 balų) </w:t>
            </w:r>
          </w:p>
          <w:p w14:paraId="7108883C" w14:textId="77777777" w:rsidR="00584735" w:rsidRPr="00354554" w:rsidRDefault="00584735" w:rsidP="004A1C84">
            <w:pPr>
              <w:autoSpaceDE w:val="0"/>
              <w:autoSpaceDN w:val="0"/>
              <w:adjustRightInd w:val="0"/>
              <w:rPr>
                <w:rFonts w:eastAsiaTheme="minorHAnsi"/>
                <w:noProof/>
                <w:sz w:val="22"/>
                <w:szCs w:val="22"/>
              </w:rPr>
            </w:pPr>
          </w:p>
        </w:tc>
        <w:tc>
          <w:tcPr>
            <w:tcW w:w="6939" w:type="dxa"/>
          </w:tcPr>
          <w:p w14:paraId="6F5F5D88" w14:textId="433E6BBC" w:rsidR="00584735" w:rsidRPr="00354554" w:rsidRDefault="00F8400B" w:rsidP="004A1C84">
            <w:pPr>
              <w:autoSpaceDE w:val="0"/>
              <w:autoSpaceDN w:val="0"/>
              <w:adjustRightInd w:val="0"/>
              <w:jc w:val="both"/>
              <w:rPr>
                <w:rFonts w:eastAsiaTheme="minorHAnsi"/>
                <w:noProof/>
                <w:sz w:val="22"/>
                <w:szCs w:val="22"/>
              </w:rPr>
            </w:pPr>
            <w:r w:rsidRPr="00354554">
              <w:rPr>
                <w:noProof/>
                <w:sz w:val="22"/>
                <w:szCs w:val="22"/>
              </w:rPr>
              <w:t>Geras derinimo stabilumas</w:t>
            </w:r>
            <w:r w:rsidR="00D724A8" w:rsidRPr="00354554">
              <w:rPr>
                <w:noProof/>
                <w:sz w:val="22"/>
                <w:szCs w:val="22"/>
              </w:rPr>
              <w:t>.</w:t>
            </w:r>
            <w:r w:rsidRPr="00354554">
              <w:rPr>
                <w:noProof/>
                <w:sz w:val="22"/>
                <w:szCs w:val="22"/>
              </w:rPr>
              <w:t xml:space="preserve"> Nuokrypis nuo etaloninio derinimo </w:t>
            </w:r>
            <w:r w:rsidR="00D724A8" w:rsidRPr="00354554">
              <w:rPr>
                <w:noProof/>
                <w:szCs w:val="24"/>
              </w:rPr>
              <w:t xml:space="preserve">– </w:t>
            </w:r>
            <w:r w:rsidRPr="00354554">
              <w:rPr>
                <w:noProof/>
                <w:sz w:val="22"/>
                <w:szCs w:val="22"/>
              </w:rPr>
              <w:t>mažiau</w:t>
            </w:r>
            <w:r w:rsidR="00D724A8" w:rsidRPr="00354554">
              <w:rPr>
                <w:noProof/>
                <w:sz w:val="22"/>
                <w:szCs w:val="22"/>
              </w:rPr>
              <w:t xml:space="preserve"> </w:t>
            </w:r>
            <w:r w:rsidRPr="00354554">
              <w:rPr>
                <w:noProof/>
                <w:sz w:val="22"/>
                <w:szCs w:val="22"/>
              </w:rPr>
              <w:t xml:space="preserve"> nei 2 ct.</w:t>
            </w:r>
          </w:p>
        </w:tc>
      </w:tr>
      <w:tr w:rsidR="00354554" w:rsidRPr="00354554" w14:paraId="6812D526" w14:textId="77777777" w:rsidTr="004A1C84">
        <w:tc>
          <w:tcPr>
            <w:tcW w:w="9628" w:type="dxa"/>
            <w:gridSpan w:val="2"/>
            <w:shd w:val="clear" w:color="auto" w:fill="D9D9D9" w:themeFill="background1" w:themeFillShade="D9"/>
          </w:tcPr>
          <w:p w14:paraId="0EEAFDAF" w14:textId="6B42FD34" w:rsidR="00E15E2A" w:rsidRPr="00354554" w:rsidRDefault="00E15E2A" w:rsidP="004A1C84">
            <w:pPr>
              <w:autoSpaceDE w:val="0"/>
              <w:autoSpaceDN w:val="0"/>
              <w:adjustRightInd w:val="0"/>
              <w:jc w:val="center"/>
              <w:rPr>
                <w:rFonts w:eastAsiaTheme="minorHAnsi"/>
                <w:noProof/>
                <w:sz w:val="22"/>
                <w:szCs w:val="22"/>
              </w:rPr>
            </w:pPr>
            <w:r w:rsidRPr="00354554">
              <w:rPr>
                <w:rFonts w:eastAsia="Calibri"/>
                <w:b/>
                <w:noProof/>
                <w:sz w:val="22"/>
                <w:szCs w:val="22"/>
                <w:lang w:eastAsia="en-US"/>
              </w:rPr>
              <w:t>Trečiasis kriterijus: akustinės savybės (</w:t>
            </w:r>
            <w:r w:rsidRPr="00354554">
              <w:rPr>
                <w:b/>
                <w:bCs/>
                <w:noProof/>
                <w:sz w:val="22"/>
                <w:szCs w:val="22"/>
              </w:rPr>
              <w:t>T</w:t>
            </w:r>
            <w:r w:rsidRPr="00354554">
              <w:rPr>
                <w:b/>
                <w:bCs/>
                <w:noProof/>
                <w:sz w:val="22"/>
                <w:szCs w:val="22"/>
                <w:vertAlign w:val="subscript"/>
              </w:rPr>
              <w:t>2</w:t>
            </w:r>
            <w:r w:rsidRPr="00354554">
              <w:rPr>
                <w:b/>
                <w:bCs/>
                <w:noProof/>
                <w:sz w:val="22"/>
                <w:szCs w:val="22"/>
              </w:rPr>
              <w:t>)</w:t>
            </w:r>
          </w:p>
        </w:tc>
      </w:tr>
      <w:tr w:rsidR="00354554" w:rsidRPr="00354554" w14:paraId="2FBB225D" w14:textId="77777777" w:rsidTr="00574208">
        <w:tc>
          <w:tcPr>
            <w:tcW w:w="9628" w:type="dxa"/>
            <w:gridSpan w:val="2"/>
          </w:tcPr>
          <w:p w14:paraId="43C9CC9B" w14:textId="09C8D935" w:rsidR="00E15E2A" w:rsidRPr="00354554" w:rsidRDefault="00E15E2A" w:rsidP="004A1C84">
            <w:pPr>
              <w:pStyle w:val="ListParagraph"/>
              <w:numPr>
                <w:ilvl w:val="0"/>
                <w:numId w:val="20"/>
              </w:numPr>
              <w:autoSpaceDE w:val="0"/>
              <w:autoSpaceDN w:val="0"/>
              <w:adjustRightInd w:val="0"/>
              <w:jc w:val="center"/>
              <w:rPr>
                <w:rFonts w:eastAsiaTheme="minorHAnsi"/>
                <w:b/>
                <w:bCs/>
                <w:noProof/>
                <w:sz w:val="22"/>
                <w:szCs w:val="22"/>
              </w:rPr>
            </w:pPr>
            <w:r w:rsidRPr="00354554">
              <w:rPr>
                <w:b/>
                <w:bCs/>
                <w:noProof/>
                <w:sz w:val="22"/>
                <w:szCs w:val="22"/>
              </w:rPr>
              <w:t>Skambesio galimybės nuo ppp (pianissimo) iki fff (fortissimo)</w:t>
            </w:r>
          </w:p>
        </w:tc>
      </w:tr>
      <w:tr w:rsidR="00354554" w:rsidRPr="00354554" w14:paraId="370A11CD" w14:textId="77777777" w:rsidTr="00584735">
        <w:tc>
          <w:tcPr>
            <w:tcW w:w="2689" w:type="dxa"/>
          </w:tcPr>
          <w:p w14:paraId="5314E25A" w14:textId="77777777" w:rsidR="00D724A8" w:rsidRPr="00354554" w:rsidRDefault="00E15E2A" w:rsidP="00D724A8">
            <w:pPr>
              <w:pStyle w:val="Default"/>
              <w:rPr>
                <w:noProof/>
                <w:color w:val="auto"/>
                <w:sz w:val="22"/>
                <w:szCs w:val="22"/>
              </w:rPr>
            </w:pPr>
            <w:r w:rsidRPr="00354554">
              <w:rPr>
                <w:i/>
                <w:iCs/>
                <w:noProof/>
                <w:color w:val="auto"/>
                <w:sz w:val="22"/>
                <w:szCs w:val="22"/>
              </w:rPr>
              <w:t xml:space="preserve">Prastai </w:t>
            </w:r>
            <w:r w:rsidR="00D724A8" w:rsidRPr="00354554">
              <w:rPr>
                <w:i/>
                <w:iCs/>
                <w:noProof/>
                <w:color w:val="auto"/>
                <w:sz w:val="22"/>
                <w:szCs w:val="22"/>
              </w:rPr>
              <w:t>(1</w:t>
            </w:r>
            <w:r w:rsidR="00D724A8" w:rsidRPr="00354554">
              <w:rPr>
                <w:noProof/>
                <w:color w:val="auto"/>
              </w:rPr>
              <w:t>–</w:t>
            </w:r>
            <w:r w:rsidR="00D724A8" w:rsidRPr="00354554">
              <w:rPr>
                <w:i/>
                <w:iCs/>
                <w:noProof/>
                <w:color w:val="auto"/>
                <w:sz w:val="22"/>
                <w:szCs w:val="22"/>
              </w:rPr>
              <w:t xml:space="preserve">4 balai) </w:t>
            </w:r>
          </w:p>
          <w:p w14:paraId="161C8FBC" w14:textId="633C7D7F" w:rsidR="00E15E2A" w:rsidRPr="00354554" w:rsidRDefault="00E15E2A" w:rsidP="004A1C84">
            <w:pPr>
              <w:pStyle w:val="Default"/>
              <w:rPr>
                <w:noProof/>
                <w:color w:val="auto"/>
                <w:sz w:val="22"/>
                <w:szCs w:val="22"/>
              </w:rPr>
            </w:pPr>
          </w:p>
          <w:p w14:paraId="0412EAB9" w14:textId="77777777" w:rsidR="00E15E2A" w:rsidRPr="00354554" w:rsidRDefault="00E15E2A" w:rsidP="004A1C84">
            <w:pPr>
              <w:autoSpaceDE w:val="0"/>
              <w:autoSpaceDN w:val="0"/>
              <w:adjustRightInd w:val="0"/>
              <w:rPr>
                <w:rFonts w:eastAsiaTheme="minorHAnsi"/>
                <w:noProof/>
                <w:sz w:val="22"/>
                <w:szCs w:val="22"/>
              </w:rPr>
            </w:pPr>
          </w:p>
        </w:tc>
        <w:tc>
          <w:tcPr>
            <w:tcW w:w="6939" w:type="dxa"/>
          </w:tcPr>
          <w:p w14:paraId="7A48CFF2" w14:textId="77777777" w:rsidR="00E15E2A" w:rsidRPr="00354554" w:rsidRDefault="00E15E2A" w:rsidP="004A1C84">
            <w:pPr>
              <w:pStyle w:val="Default"/>
              <w:jc w:val="both"/>
              <w:rPr>
                <w:noProof/>
                <w:color w:val="auto"/>
                <w:sz w:val="22"/>
                <w:szCs w:val="22"/>
              </w:rPr>
            </w:pPr>
            <w:r w:rsidRPr="00354554">
              <w:rPr>
                <w:noProof/>
                <w:color w:val="auto"/>
                <w:sz w:val="22"/>
                <w:szCs w:val="22"/>
              </w:rPr>
              <w:t xml:space="preserve">Skambinant ppp instrumentas nesuskamba, arba atskiri klavišai atsiliepia netolygiai; skambinant fff instrumentas praranda savo garso kokybę, pasigirsta pašaliniai garsai. </w:t>
            </w:r>
          </w:p>
          <w:p w14:paraId="64C36517" w14:textId="77777777" w:rsidR="00E15E2A" w:rsidRPr="00354554" w:rsidRDefault="00E15E2A" w:rsidP="004A1C84">
            <w:pPr>
              <w:autoSpaceDE w:val="0"/>
              <w:autoSpaceDN w:val="0"/>
              <w:adjustRightInd w:val="0"/>
              <w:jc w:val="both"/>
              <w:rPr>
                <w:rFonts w:eastAsiaTheme="minorHAnsi"/>
                <w:noProof/>
                <w:sz w:val="22"/>
                <w:szCs w:val="22"/>
              </w:rPr>
            </w:pPr>
          </w:p>
        </w:tc>
      </w:tr>
      <w:tr w:rsidR="00354554" w:rsidRPr="00354554" w14:paraId="75D8FDE8" w14:textId="77777777" w:rsidTr="00584735">
        <w:tc>
          <w:tcPr>
            <w:tcW w:w="2689" w:type="dxa"/>
          </w:tcPr>
          <w:p w14:paraId="3AF060BE" w14:textId="65C3A95A" w:rsidR="00E15E2A" w:rsidRPr="00354554" w:rsidRDefault="00E15E2A" w:rsidP="004A1C84">
            <w:pPr>
              <w:autoSpaceDE w:val="0"/>
              <w:autoSpaceDN w:val="0"/>
              <w:adjustRightInd w:val="0"/>
              <w:rPr>
                <w:rFonts w:eastAsiaTheme="minorHAnsi"/>
                <w:noProof/>
                <w:sz w:val="22"/>
                <w:szCs w:val="22"/>
              </w:rPr>
            </w:pPr>
            <w:r w:rsidRPr="00354554">
              <w:rPr>
                <w:i/>
                <w:iCs/>
                <w:noProof/>
                <w:sz w:val="22"/>
                <w:szCs w:val="22"/>
              </w:rPr>
              <w:t xml:space="preserve">Vidutiniškai </w:t>
            </w:r>
            <w:r w:rsidR="00D724A8" w:rsidRPr="00354554">
              <w:rPr>
                <w:i/>
                <w:iCs/>
                <w:noProof/>
                <w:sz w:val="22"/>
                <w:szCs w:val="22"/>
              </w:rPr>
              <w:t>(5</w:t>
            </w:r>
            <w:r w:rsidR="00D724A8" w:rsidRPr="00354554">
              <w:rPr>
                <w:noProof/>
                <w:szCs w:val="24"/>
              </w:rPr>
              <w:t>–</w:t>
            </w:r>
            <w:r w:rsidR="00D724A8" w:rsidRPr="00354554">
              <w:rPr>
                <w:i/>
                <w:iCs/>
                <w:noProof/>
                <w:sz w:val="22"/>
                <w:szCs w:val="22"/>
              </w:rPr>
              <w:t xml:space="preserve">7 balai) </w:t>
            </w:r>
          </w:p>
        </w:tc>
        <w:tc>
          <w:tcPr>
            <w:tcW w:w="6939" w:type="dxa"/>
          </w:tcPr>
          <w:p w14:paraId="039C3C83" w14:textId="77777777" w:rsidR="00E15E2A" w:rsidRPr="00354554" w:rsidRDefault="00E15E2A" w:rsidP="004A1C84">
            <w:pPr>
              <w:pStyle w:val="Default"/>
              <w:jc w:val="both"/>
              <w:rPr>
                <w:noProof/>
                <w:color w:val="auto"/>
                <w:sz w:val="22"/>
                <w:szCs w:val="22"/>
              </w:rPr>
            </w:pPr>
            <w:r w:rsidRPr="00354554">
              <w:rPr>
                <w:noProof/>
                <w:color w:val="auto"/>
                <w:sz w:val="22"/>
                <w:szCs w:val="22"/>
              </w:rPr>
              <w:t xml:space="preserve">Skambinant ppp visi klavišai atsiliepia tolygiai, skambinant fff visi instrumento registrai skamba švariai ir tarpusavyje proporcingai. </w:t>
            </w:r>
          </w:p>
          <w:p w14:paraId="32BC1E09" w14:textId="77777777" w:rsidR="00E15E2A" w:rsidRPr="00354554" w:rsidRDefault="00E15E2A" w:rsidP="004A1C84">
            <w:pPr>
              <w:autoSpaceDE w:val="0"/>
              <w:autoSpaceDN w:val="0"/>
              <w:adjustRightInd w:val="0"/>
              <w:jc w:val="both"/>
              <w:rPr>
                <w:rFonts w:eastAsiaTheme="minorHAnsi"/>
                <w:noProof/>
                <w:sz w:val="22"/>
                <w:szCs w:val="22"/>
              </w:rPr>
            </w:pPr>
          </w:p>
        </w:tc>
      </w:tr>
      <w:tr w:rsidR="00354554" w:rsidRPr="00354554" w14:paraId="7395AC7B" w14:textId="77777777" w:rsidTr="00584735">
        <w:tc>
          <w:tcPr>
            <w:tcW w:w="2689" w:type="dxa"/>
          </w:tcPr>
          <w:p w14:paraId="2CE06A52" w14:textId="45C59562" w:rsidR="00E15E2A" w:rsidRPr="00354554" w:rsidRDefault="00E15E2A" w:rsidP="004A1C84">
            <w:pPr>
              <w:pStyle w:val="Default"/>
              <w:rPr>
                <w:noProof/>
                <w:color w:val="auto"/>
                <w:sz w:val="22"/>
                <w:szCs w:val="22"/>
              </w:rPr>
            </w:pPr>
            <w:r w:rsidRPr="00354554">
              <w:rPr>
                <w:i/>
                <w:iCs/>
                <w:noProof/>
                <w:color w:val="auto"/>
                <w:sz w:val="22"/>
                <w:szCs w:val="22"/>
              </w:rPr>
              <w:t>Gerai (8</w:t>
            </w:r>
            <w:r w:rsidR="00D724A8" w:rsidRPr="00354554">
              <w:rPr>
                <w:noProof/>
                <w:color w:val="auto"/>
              </w:rPr>
              <w:t>–</w:t>
            </w:r>
            <w:r w:rsidRPr="00354554">
              <w:rPr>
                <w:i/>
                <w:iCs/>
                <w:noProof/>
                <w:color w:val="auto"/>
                <w:sz w:val="22"/>
                <w:szCs w:val="22"/>
              </w:rPr>
              <w:t xml:space="preserve">10 balų) </w:t>
            </w:r>
          </w:p>
          <w:p w14:paraId="5535F189" w14:textId="77777777" w:rsidR="00E15E2A" w:rsidRPr="00354554" w:rsidRDefault="00E15E2A" w:rsidP="004A1C84">
            <w:pPr>
              <w:autoSpaceDE w:val="0"/>
              <w:autoSpaceDN w:val="0"/>
              <w:adjustRightInd w:val="0"/>
              <w:rPr>
                <w:rFonts w:eastAsiaTheme="minorHAnsi"/>
                <w:noProof/>
                <w:sz w:val="22"/>
                <w:szCs w:val="22"/>
              </w:rPr>
            </w:pPr>
          </w:p>
        </w:tc>
        <w:tc>
          <w:tcPr>
            <w:tcW w:w="6939" w:type="dxa"/>
          </w:tcPr>
          <w:p w14:paraId="6CFE7B87" w14:textId="77777777" w:rsidR="00E15E2A" w:rsidRPr="00354554" w:rsidRDefault="00E15E2A" w:rsidP="004A1C84">
            <w:pPr>
              <w:pStyle w:val="Default"/>
              <w:jc w:val="both"/>
              <w:rPr>
                <w:noProof/>
                <w:color w:val="auto"/>
                <w:sz w:val="22"/>
                <w:szCs w:val="22"/>
              </w:rPr>
            </w:pPr>
            <w:r w:rsidRPr="00354554">
              <w:rPr>
                <w:noProof/>
                <w:color w:val="auto"/>
                <w:sz w:val="22"/>
                <w:szCs w:val="22"/>
              </w:rPr>
              <w:t xml:space="preserve">Instrumentas suteikia galimybę tolygiai per visą klaviatūrą skambinti ppp – vos girdimu garso stiprumu. Skambinant garsyn iki fff tolygiai gerėja garso stiprumas ir sklaida. </w:t>
            </w:r>
          </w:p>
          <w:p w14:paraId="117FEC37" w14:textId="77777777" w:rsidR="00E15E2A" w:rsidRPr="00354554" w:rsidRDefault="00E15E2A" w:rsidP="004A1C84">
            <w:pPr>
              <w:autoSpaceDE w:val="0"/>
              <w:autoSpaceDN w:val="0"/>
              <w:adjustRightInd w:val="0"/>
              <w:jc w:val="both"/>
              <w:rPr>
                <w:rFonts w:eastAsiaTheme="minorHAnsi"/>
                <w:noProof/>
                <w:sz w:val="22"/>
                <w:szCs w:val="22"/>
              </w:rPr>
            </w:pPr>
          </w:p>
        </w:tc>
      </w:tr>
      <w:tr w:rsidR="00354554" w:rsidRPr="00354554" w14:paraId="32A09FB8" w14:textId="77777777" w:rsidTr="007B79C9">
        <w:tc>
          <w:tcPr>
            <w:tcW w:w="9628" w:type="dxa"/>
            <w:gridSpan w:val="2"/>
          </w:tcPr>
          <w:p w14:paraId="32B70752" w14:textId="354F9664" w:rsidR="00E15E2A" w:rsidRPr="00354554" w:rsidRDefault="00E15E2A" w:rsidP="004A1C84">
            <w:pPr>
              <w:pStyle w:val="ListParagraph"/>
              <w:numPr>
                <w:ilvl w:val="0"/>
                <w:numId w:val="20"/>
              </w:numPr>
              <w:autoSpaceDE w:val="0"/>
              <w:autoSpaceDN w:val="0"/>
              <w:adjustRightInd w:val="0"/>
              <w:jc w:val="center"/>
              <w:rPr>
                <w:rFonts w:eastAsiaTheme="minorHAnsi"/>
                <w:b/>
                <w:bCs/>
                <w:noProof/>
                <w:sz w:val="22"/>
                <w:szCs w:val="22"/>
              </w:rPr>
            </w:pPr>
            <w:r w:rsidRPr="00354554">
              <w:rPr>
                <w:b/>
                <w:bCs/>
                <w:noProof/>
                <w:sz w:val="22"/>
                <w:szCs w:val="22"/>
              </w:rPr>
              <w:t>Tembrinės instrumento skalės diapazonas</w:t>
            </w:r>
          </w:p>
        </w:tc>
      </w:tr>
      <w:tr w:rsidR="00354554" w:rsidRPr="00354554" w14:paraId="461F1465" w14:textId="77777777" w:rsidTr="006B1F7A">
        <w:tc>
          <w:tcPr>
            <w:tcW w:w="2689" w:type="dxa"/>
          </w:tcPr>
          <w:p w14:paraId="571C21E5" w14:textId="1E1785D7" w:rsidR="00E15E2A" w:rsidRPr="00354554" w:rsidRDefault="00E15E2A" w:rsidP="004A1C84">
            <w:pPr>
              <w:autoSpaceDE w:val="0"/>
              <w:autoSpaceDN w:val="0"/>
              <w:adjustRightInd w:val="0"/>
              <w:rPr>
                <w:rFonts w:eastAsiaTheme="minorHAnsi"/>
                <w:noProof/>
                <w:sz w:val="22"/>
                <w:szCs w:val="22"/>
              </w:rPr>
            </w:pPr>
            <w:r w:rsidRPr="00354554">
              <w:rPr>
                <w:i/>
                <w:iCs/>
                <w:noProof/>
                <w:sz w:val="22"/>
                <w:szCs w:val="22"/>
              </w:rPr>
              <w:t xml:space="preserve">Prastai </w:t>
            </w:r>
            <w:r w:rsidR="00D724A8" w:rsidRPr="00354554">
              <w:rPr>
                <w:i/>
                <w:iCs/>
                <w:noProof/>
                <w:sz w:val="22"/>
                <w:szCs w:val="22"/>
              </w:rPr>
              <w:t>(1</w:t>
            </w:r>
            <w:r w:rsidR="00D724A8" w:rsidRPr="00354554">
              <w:rPr>
                <w:noProof/>
                <w:szCs w:val="24"/>
              </w:rPr>
              <w:t>–</w:t>
            </w:r>
            <w:r w:rsidR="00D724A8" w:rsidRPr="00354554">
              <w:rPr>
                <w:i/>
                <w:iCs/>
                <w:noProof/>
                <w:sz w:val="22"/>
                <w:szCs w:val="22"/>
              </w:rPr>
              <w:t xml:space="preserve">4 balai) </w:t>
            </w:r>
          </w:p>
        </w:tc>
        <w:tc>
          <w:tcPr>
            <w:tcW w:w="6939" w:type="dxa"/>
          </w:tcPr>
          <w:p w14:paraId="525BBAE1" w14:textId="4C7FEA26" w:rsidR="00E15E2A" w:rsidRPr="00354554" w:rsidRDefault="00E15E2A" w:rsidP="004A1C84">
            <w:pPr>
              <w:pStyle w:val="Default"/>
              <w:jc w:val="both"/>
              <w:rPr>
                <w:noProof/>
                <w:color w:val="auto"/>
                <w:sz w:val="22"/>
                <w:szCs w:val="22"/>
              </w:rPr>
            </w:pPr>
            <w:r w:rsidRPr="00354554">
              <w:rPr>
                <w:noProof/>
                <w:color w:val="auto"/>
                <w:sz w:val="22"/>
                <w:szCs w:val="22"/>
              </w:rPr>
              <w:t>Siauras ir neįvairus instrumento tembrinės skalės diapazonas. Grojant pasirinktą kūrinį nepavyksta išgauti reikalingo tembro. Instrumentas skamba monochromiškai, klavišų atsakas teikia mažai galimybių meniniam interpretavimui.</w:t>
            </w:r>
          </w:p>
          <w:p w14:paraId="6D4D360A" w14:textId="77777777" w:rsidR="00E15E2A" w:rsidRPr="00354554" w:rsidRDefault="00E15E2A" w:rsidP="004A1C84">
            <w:pPr>
              <w:autoSpaceDE w:val="0"/>
              <w:autoSpaceDN w:val="0"/>
              <w:adjustRightInd w:val="0"/>
              <w:jc w:val="both"/>
              <w:rPr>
                <w:rFonts w:eastAsiaTheme="minorHAnsi"/>
                <w:noProof/>
                <w:sz w:val="22"/>
                <w:szCs w:val="22"/>
              </w:rPr>
            </w:pPr>
          </w:p>
        </w:tc>
      </w:tr>
      <w:tr w:rsidR="00354554" w:rsidRPr="00354554" w14:paraId="7230F11F" w14:textId="77777777" w:rsidTr="006B1F7A">
        <w:tc>
          <w:tcPr>
            <w:tcW w:w="2689" w:type="dxa"/>
          </w:tcPr>
          <w:p w14:paraId="7F50D420" w14:textId="369A5139" w:rsidR="00E15E2A" w:rsidRPr="00354554" w:rsidRDefault="00E15E2A" w:rsidP="004A1C84">
            <w:pPr>
              <w:pStyle w:val="Default"/>
              <w:rPr>
                <w:noProof/>
                <w:color w:val="auto"/>
                <w:sz w:val="22"/>
                <w:szCs w:val="22"/>
              </w:rPr>
            </w:pPr>
            <w:r w:rsidRPr="00354554">
              <w:rPr>
                <w:i/>
                <w:iCs/>
                <w:noProof/>
                <w:color w:val="auto"/>
                <w:sz w:val="22"/>
                <w:szCs w:val="22"/>
              </w:rPr>
              <w:t xml:space="preserve">Vidutiniškai </w:t>
            </w:r>
            <w:r w:rsidR="00D724A8" w:rsidRPr="00354554">
              <w:rPr>
                <w:i/>
                <w:iCs/>
                <w:noProof/>
                <w:color w:val="auto"/>
                <w:sz w:val="22"/>
                <w:szCs w:val="22"/>
              </w:rPr>
              <w:t>(5</w:t>
            </w:r>
            <w:r w:rsidR="00D724A8" w:rsidRPr="00354554">
              <w:rPr>
                <w:noProof/>
                <w:color w:val="auto"/>
              </w:rPr>
              <w:t>–</w:t>
            </w:r>
            <w:r w:rsidR="00D724A8" w:rsidRPr="00354554">
              <w:rPr>
                <w:i/>
                <w:iCs/>
                <w:noProof/>
                <w:color w:val="auto"/>
                <w:sz w:val="22"/>
                <w:szCs w:val="22"/>
              </w:rPr>
              <w:t>7 balai)</w:t>
            </w:r>
          </w:p>
          <w:p w14:paraId="315E3CC9" w14:textId="77777777" w:rsidR="00E15E2A" w:rsidRPr="00354554" w:rsidRDefault="00E15E2A" w:rsidP="004A1C84">
            <w:pPr>
              <w:autoSpaceDE w:val="0"/>
              <w:autoSpaceDN w:val="0"/>
              <w:adjustRightInd w:val="0"/>
              <w:rPr>
                <w:rFonts w:eastAsiaTheme="minorHAnsi"/>
                <w:noProof/>
                <w:sz w:val="22"/>
                <w:szCs w:val="22"/>
              </w:rPr>
            </w:pPr>
          </w:p>
        </w:tc>
        <w:tc>
          <w:tcPr>
            <w:tcW w:w="6939" w:type="dxa"/>
          </w:tcPr>
          <w:p w14:paraId="32D798AE" w14:textId="77777777" w:rsidR="00E15E2A" w:rsidRPr="00354554" w:rsidRDefault="00E15E2A" w:rsidP="004A1C84">
            <w:pPr>
              <w:pStyle w:val="Default"/>
              <w:jc w:val="both"/>
              <w:rPr>
                <w:noProof/>
                <w:color w:val="auto"/>
                <w:sz w:val="22"/>
                <w:szCs w:val="22"/>
              </w:rPr>
            </w:pPr>
            <w:r w:rsidRPr="00354554">
              <w:rPr>
                <w:noProof/>
                <w:color w:val="auto"/>
                <w:sz w:val="22"/>
                <w:szCs w:val="22"/>
              </w:rPr>
              <w:t xml:space="preserve">Vidutiniškai platus ir įvairus tembrinės instrumento skalės diapazonas. Grojant pasirinktą kūrinį, iš dalies pavyksta išgauti reikalingą tembrą. Instrumento skambesys polichromiškas viduriniame registre, tačiau meninio interpretavimo galimybes riboja diskanto ir bosiniai registrai. </w:t>
            </w:r>
          </w:p>
          <w:p w14:paraId="074EB98C" w14:textId="77777777" w:rsidR="00E15E2A" w:rsidRPr="00354554" w:rsidRDefault="00E15E2A" w:rsidP="004A1C84">
            <w:pPr>
              <w:autoSpaceDE w:val="0"/>
              <w:autoSpaceDN w:val="0"/>
              <w:adjustRightInd w:val="0"/>
              <w:jc w:val="both"/>
              <w:rPr>
                <w:rFonts w:eastAsiaTheme="minorHAnsi"/>
                <w:noProof/>
                <w:sz w:val="22"/>
                <w:szCs w:val="22"/>
              </w:rPr>
            </w:pPr>
          </w:p>
        </w:tc>
      </w:tr>
      <w:tr w:rsidR="00354554" w:rsidRPr="00354554" w14:paraId="097E4155" w14:textId="77777777" w:rsidTr="006B1F7A">
        <w:tc>
          <w:tcPr>
            <w:tcW w:w="2689" w:type="dxa"/>
          </w:tcPr>
          <w:p w14:paraId="5AE6D9B7" w14:textId="5F57C309" w:rsidR="00E15E2A" w:rsidRPr="00354554" w:rsidRDefault="00E15E2A" w:rsidP="004A1C84">
            <w:pPr>
              <w:pStyle w:val="Default"/>
              <w:rPr>
                <w:noProof/>
                <w:color w:val="auto"/>
                <w:sz w:val="22"/>
                <w:szCs w:val="22"/>
              </w:rPr>
            </w:pPr>
            <w:r w:rsidRPr="00354554">
              <w:rPr>
                <w:i/>
                <w:iCs/>
                <w:noProof/>
                <w:color w:val="auto"/>
                <w:sz w:val="22"/>
                <w:szCs w:val="22"/>
              </w:rPr>
              <w:t>Gerai (8</w:t>
            </w:r>
            <w:r w:rsidR="00D724A8" w:rsidRPr="00354554">
              <w:rPr>
                <w:noProof/>
                <w:color w:val="auto"/>
              </w:rPr>
              <w:t>–</w:t>
            </w:r>
            <w:r w:rsidRPr="00354554">
              <w:rPr>
                <w:i/>
                <w:iCs/>
                <w:noProof/>
                <w:color w:val="auto"/>
                <w:sz w:val="22"/>
                <w:szCs w:val="22"/>
              </w:rPr>
              <w:t xml:space="preserve">10 balų) </w:t>
            </w:r>
          </w:p>
          <w:p w14:paraId="5A9F141E" w14:textId="77777777" w:rsidR="00E15E2A" w:rsidRPr="00354554" w:rsidRDefault="00E15E2A" w:rsidP="004A1C84">
            <w:pPr>
              <w:autoSpaceDE w:val="0"/>
              <w:autoSpaceDN w:val="0"/>
              <w:adjustRightInd w:val="0"/>
              <w:rPr>
                <w:rFonts w:eastAsiaTheme="minorHAnsi"/>
                <w:noProof/>
                <w:sz w:val="22"/>
                <w:szCs w:val="22"/>
              </w:rPr>
            </w:pPr>
          </w:p>
        </w:tc>
        <w:tc>
          <w:tcPr>
            <w:tcW w:w="6939" w:type="dxa"/>
          </w:tcPr>
          <w:p w14:paraId="3DE0F848" w14:textId="77777777" w:rsidR="00E15E2A" w:rsidRPr="00354554" w:rsidRDefault="00E15E2A" w:rsidP="004A1C84">
            <w:pPr>
              <w:pStyle w:val="Default"/>
              <w:jc w:val="both"/>
              <w:rPr>
                <w:noProof/>
                <w:color w:val="auto"/>
                <w:sz w:val="22"/>
                <w:szCs w:val="22"/>
              </w:rPr>
            </w:pPr>
            <w:r w:rsidRPr="00354554">
              <w:rPr>
                <w:noProof/>
                <w:color w:val="auto"/>
                <w:sz w:val="22"/>
                <w:szCs w:val="22"/>
              </w:rPr>
              <w:t xml:space="preserve">Platus ir įvairus tembrinės instrumento skalės diapazonas. Grojant pasirinktą kūrinį, pilnai pavyksta išgauti reikalingą tembrą. Instrumento skambesys polichromiškas, turtingas obertonų visuose registruose, klavišų atsakas teikia plačias galimybes kūrinio meniniam interpretavimui. </w:t>
            </w:r>
          </w:p>
          <w:p w14:paraId="23D3A56E" w14:textId="77777777" w:rsidR="00E15E2A" w:rsidRPr="00354554" w:rsidRDefault="00E15E2A" w:rsidP="004A1C84">
            <w:pPr>
              <w:autoSpaceDE w:val="0"/>
              <w:autoSpaceDN w:val="0"/>
              <w:adjustRightInd w:val="0"/>
              <w:jc w:val="both"/>
              <w:rPr>
                <w:rFonts w:eastAsiaTheme="minorHAnsi"/>
                <w:noProof/>
                <w:sz w:val="22"/>
                <w:szCs w:val="22"/>
              </w:rPr>
            </w:pPr>
          </w:p>
        </w:tc>
      </w:tr>
      <w:tr w:rsidR="00354554" w:rsidRPr="00354554" w14:paraId="3328E6CE" w14:textId="77777777" w:rsidTr="0057326B">
        <w:tc>
          <w:tcPr>
            <w:tcW w:w="9628" w:type="dxa"/>
            <w:gridSpan w:val="2"/>
          </w:tcPr>
          <w:p w14:paraId="661E4ACF" w14:textId="623FA49E" w:rsidR="00E15E2A" w:rsidRPr="00354554" w:rsidRDefault="00E15E2A" w:rsidP="004A1C84">
            <w:pPr>
              <w:pStyle w:val="ListParagraph"/>
              <w:numPr>
                <w:ilvl w:val="0"/>
                <w:numId w:val="20"/>
              </w:numPr>
              <w:autoSpaceDE w:val="0"/>
              <w:autoSpaceDN w:val="0"/>
              <w:adjustRightInd w:val="0"/>
              <w:jc w:val="center"/>
              <w:rPr>
                <w:rFonts w:eastAsiaTheme="minorHAnsi"/>
                <w:b/>
                <w:bCs/>
                <w:noProof/>
                <w:sz w:val="22"/>
                <w:szCs w:val="22"/>
              </w:rPr>
            </w:pPr>
            <w:r w:rsidRPr="00354554">
              <w:rPr>
                <w:b/>
                <w:bCs/>
                <w:noProof/>
                <w:sz w:val="22"/>
                <w:szCs w:val="22"/>
              </w:rPr>
              <w:t>Skambesio trukmės ir kokybės santykis</w:t>
            </w:r>
          </w:p>
        </w:tc>
      </w:tr>
      <w:tr w:rsidR="00354554" w:rsidRPr="00354554" w14:paraId="658035ED" w14:textId="77777777" w:rsidTr="00584735">
        <w:tc>
          <w:tcPr>
            <w:tcW w:w="2689" w:type="dxa"/>
          </w:tcPr>
          <w:p w14:paraId="4D7627AE" w14:textId="5D9A5653" w:rsidR="00E15E2A" w:rsidRPr="00354554" w:rsidRDefault="00E15E2A" w:rsidP="004A1C84">
            <w:pPr>
              <w:autoSpaceDE w:val="0"/>
              <w:autoSpaceDN w:val="0"/>
              <w:adjustRightInd w:val="0"/>
              <w:rPr>
                <w:rFonts w:eastAsiaTheme="minorHAnsi"/>
                <w:noProof/>
                <w:sz w:val="22"/>
                <w:szCs w:val="22"/>
              </w:rPr>
            </w:pPr>
            <w:r w:rsidRPr="00354554">
              <w:rPr>
                <w:i/>
                <w:iCs/>
                <w:noProof/>
                <w:sz w:val="22"/>
                <w:szCs w:val="22"/>
              </w:rPr>
              <w:t xml:space="preserve">Prastai </w:t>
            </w:r>
            <w:r w:rsidR="00D724A8" w:rsidRPr="00354554">
              <w:rPr>
                <w:i/>
                <w:iCs/>
                <w:noProof/>
                <w:sz w:val="22"/>
                <w:szCs w:val="22"/>
              </w:rPr>
              <w:t>(1</w:t>
            </w:r>
            <w:r w:rsidR="00D724A8" w:rsidRPr="00354554">
              <w:rPr>
                <w:noProof/>
                <w:szCs w:val="24"/>
              </w:rPr>
              <w:t>–</w:t>
            </w:r>
            <w:r w:rsidR="00D724A8" w:rsidRPr="00354554">
              <w:rPr>
                <w:i/>
                <w:iCs/>
                <w:noProof/>
                <w:sz w:val="22"/>
                <w:szCs w:val="22"/>
              </w:rPr>
              <w:t xml:space="preserve">4 balai) </w:t>
            </w:r>
          </w:p>
        </w:tc>
        <w:tc>
          <w:tcPr>
            <w:tcW w:w="6939" w:type="dxa"/>
          </w:tcPr>
          <w:p w14:paraId="48DD1BCC" w14:textId="33ED00CE" w:rsidR="00E15E2A" w:rsidRPr="00354554" w:rsidRDefault="00E15E2A" w:rsidP="004A1C84">
            <w:pPr>
              <w:pStyle w:val="Default"/>
              <w:jc w:val="both"/>
              <w:rPr>
                <w:noProof/>
                <w:color w:val="auto"/>
                <w:sz w:val="22"/>
                <w:szCs w:val="22"/>
              </w:rPr>
            </w:pPr>
            <w:r w:rsidRPr="00354554">
              <w:rPr>
                <w:noProof/>
                <w:color w:val="auto"/>
                <w:sz w:val="22"/>
                <w:szCs w:val="22"/>
              </w:rPr>
              <w:t xml:space="preserve">Suskambėję instrumento garsai iš karto praranda savo tembrines savybes ir nutyla. </w:t>
            </w:r>
          </w:p>
        </w:tc>
      </w:tr>
      <w:tr w:rsidR="00354554" w:rsidRPr="00354554" w14:paraId="464C72D7" w14:textId="77777777" w:rsidTr="00584735">
        <w:tc>
          <w:tcPr>
            <w:tcW w:w="2689" w:type="dxa"/>
          </w:tcPr>
          <w:p w14:paraId="3FFA7E97" w14:textId="57B07C52" w:rsidR="00E15E2A" w:rsidRPr="00354554" w:rsidRDefault="00E15E2A" w:rsidP="004A1C84">
            <w:pPr>
              <w:pStyle w:val="Default"/>
              <w:rPr>
                <w:noProof/>
                <w:color w:val="auto"/>
                <w:sz w:val="22"/>
                <w:szCs w:val="22"/>
              </w:rPr>
            </w:pPr>
            <w:r w:rsidRPr="00354554">
              <w:rPr>
                <w:i/>
                <w:iCs/>
                <w:noProof/>
                <w:color w:val="auto"/>
                <w:sz w:val="22"/>
                <w:szCs w:val="22"/>
              </w:rPr>
              <w:t xml:space="preserve">Vidutiniškai </w:t>
            </w:r>
            <w:r w:rsidR="00D724A8" w:rsidRPr="00354554">
              <w:rPr>
                <w:i/>
                <w:iCs/>
                <w:noProof/>
                <w:color w:val="auto"/>
                <w:sz w:val="22"/>
                <w:szCs w:val="22"/>
              </w:rPr>
              <w:t>(5</w:t>
            </w:r>
            <w:r w:rsidR="00D724A8" w:rsidRPr="00354554">
              <w:rPr>
                <w:noProof/>
                <w:color w:val="auto"/>
              </w:rPr>
              <w:t>–</w:t>
            </w:r>
            <w:r w:rsidR="00D724A8" w:rsidRPr="00354554">
              <w:rPr>
                <w:i/>
                <w:iCs/>
                <w:noProof/>
                <w:color w:val="auto"/>
                <w:sz w:val="22"/>
                <w:szCs w:val="22"/>
              </w:rPr>
              <w:t>7 balai)</w:t>
            </w:r>
          </w:p>
          <w:p w14:paraId="3A792490" w14:textId="77777777" w:rsidR="00E15E2A" w:rsidRPr="00354554" w:rsidRDefault="00E15E2A" w:rsidP="004A1C84">
            <w:pPr>
              <w:autoSpaceDE w:val="0"/>
              <w:autoSpaceDN w:val="0"/>
              <w:adjustRightInd w:val="0"/>
              <w:rPr>
                <w:rFonts w:eastAsiaTheme="minorHAnsi"/>
                <w:noProof/>
                <w:sz w:val="22"/>
                <w:szCs w:val="22"/>
              </w:rPr>
            </w:pPr>
          </w:p>
        </w:tc>
        <w:tc>
          <w:tcPr>
            <w:tcW w:w="6939" w:type="dxa"/>
          </w:tcPr>
          <w:p w14:paraId="547C7975" w14:textId="2644A1C0" w:rsidR="00E15E2A" w:rsidRPr="00354554" w:rsidRDefault="00E15E2A" w:rsidP="004A1C84">
            <w:pPr>
              <w:pStyle w:val="Default"/>
              <w:jc w:val="both"/>
              <w:rPr>
                <w:noProof/>
                <w:color w:val="auto"/>
                <w:sz w:val="22"/>
                <w:szCs w:val="22"/>
              </w:rPr>
            </w:pPr>
            <w:r w:rsidRPr="00354554">
              <w:rPr>
                <w:noProof/>
                <w:color w:val="auto"/>
                <w:sz w:val="22"/>
                <w:szCs w:val="22"/>
              </w:rPr>
              <w:t xml:space="preserve">Instrumento garsai skamba pakankamai ilgai, leidžia tinkamai skambinti lėtus ir kantileninius kūrinius. </w:t>
            </w:r>
          </w:p>
        </w:tc>
      </w:tr>
      <w:tr w:rsidR="00E15E2A" w:rsidRPr="00354554" w14:paraId="203FAD8D" w14:textId="77777777" w:rsidTr="00584735">
        <w:tc>
          <w:tcPr>
            <w:tcW w:w="2689" w:type="dxa"/>
          </w:tcPr>
          <w:p w14:paraId="07D739BB" w14:textId="3284997C" w:rsidR="00E15E2A" w:rsidRPr="00354554" w:rsidRDefault="00E15E2A" w:rsidP="004A1C84">
            <w:pPr>
              <w:pStyle w:val="Default"/>
              <w:rPr>
                <w:noProof/>
                <w:color w:val="auto"/>
                <w:sz w:val="22"/>
                <w:szCs w:val="22"/>
              </w:rPr>
            </w:pPr>
            <w:r w:rsidRPr="00354554">
              <w:rPr>
                <w:i/>
                <w:iCs/>
                <w:noProof/>
                <w:color w:val="auto"/>
                <w:sz w:val="22"/>
                <w:szCs w:val="22"/>
              </w:rPr>
              <w:t>Gerai (8</w:t>
            </w:r>
            <w:r w:rsidR="00D724A8" w:rsidRPr="00354554">
              <w:rPr>
                <w:noProof/>
                <w:color w:val="auto"/>
              </w:rPr>
              <w:t>–</w:t>
            </w:r>
            <w:r w:rsidRPr="00354554">
              <w:rPr>
                <w:i/>
                <w:iCs/>
                <w:noProof/>
                <w:color w:val="auto"/>
                <w:sz w:val="22"/>
                <w:szCs w:val="22"/>
              </w:rPr>
              <w:t xml:space="preserve">10 balų) </w:t>
            </w:r>
          </w:p>
          <w:p w14:paraId="3BFE5891" w14:textId="77777777" w:rsidR="00E15E2A" w:rsidRPr="00354554" w:rsidRDefault="00E15E2A" w:rsidP="004A1C84">
            <w:pPr>
              <w:autoSpaceDE w:val="0"/>
              <w:autoSpaceDN w:val="0"/>
              <w:adjustRightInd w:val="0"/>
              <w:rPr>
                <w:rFonts w:eastAsiaTheme="minorHAnsi"/>
                <w:noProof/>
                <w:sz w:val="22"/>
                <w:szCs w:val="22"/>
              </w:rPr>
            </w:pPr>
          </w:p>
        </w:tc>
        <w:tc>
          <w:tcPr>
            <w:tcW w:w="6939" w:type="dxa"/>
          </w:tcPr>
          <w:p w14:paraId="3120956F" w14:textId="77777777" w:rsidR="00E15E2A" w:rsidRPr="00354554" w:rsidRDefault="00E15E2A" w:rsidP="004A1C84">
            <w:pPr>
              <w:pStyle w:val="Default"/>
              <w:jc w:val="both"/>
              <w:rPr>
                <w:noProof/>
                <w:color w:val="auto"/>
                <w:sz w:val="22"/>
                <w:szCs w:val="22"/>
              </w:rPr>
            </w:pPr>
            <w:r w:rsidRPr="00354554">
              <w:rPr>
                <w:noProof/>
                <w:color w:val="auto"/>
                <w:sz w:val="22"/>
                <w:szCs w:val="22"/>
              </w:rPr>
              <w:t xml:space="preserve">Grojant skirtinguose registruose bei skirtingu intensyvumu instrumento garsai skamba ilgai ir nepraranda savo tembrinių savybių. </w:t>
            </w:r>
          </w:p>
          <w:p w14:paraId="27987EA8" w14:textId="77777777" w:rsidR="00E15E2A" w:rsidRPr="00354554" w:rsidRDefault="00E15E2A" w:rsidP="004A1C84">
            <w:pPr>
              <w:autoSpaceDE w:val="0"/>
              <w:autoSpaceDN w:val="0"/>
              <w:adjustRightInd w:val="0"/>
              <w:jc w:val="both"/>
              <w:rPr>
                <w:rFonts w:eastAsiaTheme="minorHAnsi"/>
                <w:noProof/>
                <w:sz w:val="22"/>
                <w:szCs w:val="22"/>
              </w:rPr>
            </w:pPr>
          </w:p>
        </w:tc>
      </w:tr>
    </w:tbl>
    <w:p w14:paraId="365D4C8E" w14:textId="77777777" w:rsidR="00584735" w:rsidRPr="00354554" w:rsidRDefault="00584735" w:rsidP="00E71192">
      <w:pPr>
        <w:autoSpaceDE w:val="0"/>
        <w:autoSpaceDN w:val="0"/>
        <w:adjustRightInd w:val="0"/>
        <w:rPr>
          <w:rFonts w:eastAsiaTheme="minorHAnsi"/>
          <w:noProof/>
          <w:szCs w:val="24"/>
        </w:rPr>
      </w:pPr>
    </w:p>
    <w:sectPr w:rsidR="00584735" w:rsidRPr="00354554" w:rsidSect="00B840DA">
      <w:headerReference w:type="default" r:id="rId10"/>
      <w:footerReference w:type="default" r:id="rId11"/>
      <w:pgSz w:w="11906" w:h="16838" w:code="9"/>
      <w:pgMar w:top="1134" w:right="567" w:bottom="567"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686C" w14:textId="77777777" w:rsidR="00E907A2" w:rsidRDefault="00E907A2" w:rsidP="00103B3B">
      <w:pPr>
        <w:spacing w:after="0" w:line="240" w:lineRule="auto"/>
      </w:pPr>
      <w:r>
        <w:separator/>
      </w:r>
    </w:p>
  </w:endnote>
  <w:endnote w:type="continuationSeparator" w:id="0">
    <w:p w14:paraId="63114CE9" w14:textId="77777777" w:rsidR="00E907A2" w:rsidRDefault="00E907A2" w:rsidP="0010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365293"/>
      <w:docPartObj>
        <w:docPartGallery w:val="Page Numbers (Bottom of Page)"/>
        <w:docPartUnique/>
      </w:docPartObj>
    </w:sdtPr>
    <w:sdtContent>
      <w:p w14:paraId="1285566B" w14:textId="6E3E3F33" w:rsidR="004A1C84" w:rsidRDefault="004A1C84">
        <w:pPr>
          <w:pStyle w:val="Footer"/>
          <w:jc w:val="center"/>
        </w:pPr>
        <w:r>
          <w:fldChar w:fldCharType="begin"/>
        </w:r>
        <w:r>
          <w:instrText>PAGE   \* MERGEFORMAT</w:instrText>
        </w:r>
        <w:r>
          <w:fldChar w:fldCharType="separate"/>
        </w:r>
        <w:r>
          <w:t>2</w:t>
        </w:r>
        <w:r>
          <w:fldChar w:fldCharType="end"/>
        </w:r>
      </w:p>
    </w:sdtContent>
  </w:sdt>
  <w:p w14:paraId="25D9477E" w14:textId="77777777" w:rsidR="004A1C84" w:rsidRDefault="004A1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1C7C" w14:textId="77777777" w:rsidR="00E907A2" w:rsidRDefault="00E907A2" w:rsidP="00103B3B">
      <w:pPr>
        <w:spacing w:after="0" w:line="240" w:lineRule="auto"/>
      </w:pPr>
      <w:r>
        <w:separator/>
      </w:r>
    </w:p>
  </w:footnote>
  <w:footnote w:type="continuationSeparator" w:id="0">
    <w:p w14:paraId="005630F0" w14:textId="77777777" w:rsidR="00E907A2" w:rsidRDefault="00E907A2" w:rsidP="00103B3B">
      <w:pPr>
        <w:spacing w:after="0" w:line="240" w:lineRule="auto"/>
      </w:pPr>
      <w:r>
        <w:continuationSeparator/>
      </w:r>
    </w:p>
  </w:footnote>
  <w:footnote w:id="1">
    <w:p w14:paraId="17E8C6F6" w14:textId="77777777" w:rsidR="00C81295" w:rsidRPr="008E6D7A" w:rsidRDefault="00C81295" w:rsidP="008E6D7A">
      <w:pPr>
        <w:pStyle w:val="FootnoteText"/>
        <w:jc w:val="both"/>
        <w:rPr>
          <w:rFonts w:ascii="Times New Roman" w:hAnsi="Times New Roman" w:cs="Times New Roman"/>
          <w:noProof/>
        </w:rPr>
      </w:pPr>
      <w:r w:rsidRPr="008E6D7A">
        <w:rPr>
          <w:rStyle w:val="FootnoteReference"/>
          <w:rFonts w:ascii="Times New Roman" w:hAnsi="Times New Roman"/>
        </w:rPr>
        <w:footnoteRef/>
      </w:r>
      <w:r w:rsidRPr="008E6D7A">
        <w:rPr>
          <w:rFonts w:ascii="Times New Roman" w:hAnsi="Times New Roman" w:cs="Times New Roman"/>
        </w:rPr>
        <w:t xml:space="preserve"> </w:t>
      </w:r>
      <w:r w:rsidRPr="008E6D7A">
        <w:rPr>
          <w:rFonts w:ascii="Times New Roman" w:hAnsi="Times New Roman" w:cs="Times New Roman"/>
          <w:noProof/>
        </w:rPr>
        <w:t xml:space="preserve">Testas atliekamas garso diapazone nuo ppp </w:t>
      </w:r>
      <w:r w:rsidRPr="00D36FC8">
        <w:rPr>
          <w:rFonts w:ascii="Times New Roman" w:hAnsi="Times New Roman" w:cs="Times New Roman"/>
          <w:noProof/>
        </w:rPr>
        <w:t>(piano pianissimo) iki fff (forte fortissimo). Tempas nuo largo iki prestissimo, žemame, viduriniame ir aukštame registre, grojant atskirus pasažus, tikslinius</w:t>
      </w:r>
      <w:r w:rsidRPr="008E6D7A">
        <w:rPr>
          <w:rFonts w:ascii="Times New Roman" w:hAnsi="Times New Roman" w:cs="Times New Roman"/>
          <w:noProof/>
        </w:rPr>
        <w:t xml:space="preserve"> fragmentus ir skirtingų epochų (baroko, klasikos, romantizmo, XX a ir šiuolaikinės muzikos) įvairių autorių kūrinius.</w:t>
      </w:r>
    </w:p>
  </w:footnote>
  <w:footnote w:id="2">
    <w:p w14:paraId="582587E8" w14:textId="77777777" w:rsidR="00C81295" w:rsidRPr="008E6D7A" w:rsidRDefault="00C81295" w:rsidP="008E6D7A">
      <w:pPr>
        <w:pStyle w:val="FootnoteText"/>
        <w:jc w:val="both"/>
        <w:rPr>
          <w:rFonts w:ascii="Times New Roman" w:hAnsi="Times New Roman" w:cs="Times New Roman"/>
          <w:noProof/>
        </w:rPr>
      </w:pPr>
      <w:r w:rsidRPr="008E6D7A">
        <w:rPr>
          <w:rStyle w:val="FootnoteReference"/>
          <w:rFonts w:ascii="Times New Roman" w:hAnsi="Times New Roman"/>
          <w:noProof/>
        </w:rPr>
        <w:footnoteRef/>
      </w:r>
      <w:r w:rsidRPr="008E6D7A">
        <w:rPr>
          <w:rFonts w:ascii="Times New Roman" w:hAnsi="Times New Roman" w:cs="Times New Roman"/>
          <w:noProof/>
        </w:rPr>
        <w:t xml:space="preserve"> Testas atliekamas intensyviai naudojant instrumentą 60 min., arpeggio ir akordine technika, apimant visą klaviatūrą. Pasirenkant koncertinis fortepijono muzikos repertuaras. Asocijuojami kūriniai: L.van Beethoveno „Patetinė“ sonata, F.Chopino etiudas op.1 nr 12, F.Liszto koncertas Nr 1 Es-dur, S.Rachmaninovo Preliudas op 3 Nr 2 cis-moll ir pan. Naudojamas derinimo aparatas. Po 60 min. intensyvaus grojimo tikrinamas derinimo nuokrypis visuose diapazonuose. Trijų ir dviejų stygų chorai tikrinami derinimo aparatu, vieną stygą turintys klavišai tikrinami oktavomis.</w:t>
      </w:r>
    </w:p>
  </w:footnote>
  <w:footnote w:id="3">
    <w:p w14:paraId="32DBC67E" w14:textId="77777777" w:rsidR="00557902" w:rsidRPr="008E6D7A" w:rsidRDefault="00557902" w:rsidP="008E6D7A">
      <w:pPr>
        <w:pStyle w:val="FootnoteText"/>
        <w:jc w:val="both"/>
        <w:rPr>
          <w:rFonts w:ascii="Times New Roman" w:hAnsi="Times New Roman" w:cs="Times New Roman"/>
          <w:noProof/>
        </w:rPr>
      </w:pPr>
      <w:r w:rsidRPr="008E6D7A">
        <w:rPr>
          <w:rStyle w:val="FootnoteReference"/>
          <w:rFonts w:ascii="Times New Roman" w:hAnsi="Times New Roman"/>
          <w:noProof/>
        </w:rPr>
        <w:footnoteRef/>
      </w:r>
      <w:r w:rsidRPr="008E6D7A">
        <w:rPr>
          <w:rFonts w:ascii="Times New Roman" w:hAnsi="Times New Roman" w:cs="Times New Roman"/>
          <w:noProof/>
        </w:rPr>
        <w:t xml:space="preserve"> Testas nustato garso kokybės amplitudę kintant garso stiprumui nuo ppp iki fff, -žemame, viduriniame ir aukštame registruose. Tempas nuo largo iki prestissimo, pasirenkant atskirus pasažus, tikslinius fragmentus. Asocijuojami kūriniai: L.van Beethoveno „Patetinė“ sonata, F.Chopino etiudas op.1 nr 12, F. Liszto koncertas Nr 1 Es-dur, S.Rachmaninovo Preliudas op 3 Nr 2 cis-moll ir pan.</w:t>
      </w:r>
    </w:p>
  </w:footnote>
  <w:footnote w:id="4">
    <w:p w14:paraId="345AA93D" w14:textId="77777777" w:rsidR="00557902" w:rsidRPr="008E6D7A" w:rsidRDefault="00557902" w:rsidP="008E6D7A">
      <w:pPr>
        <w:pStyle w:val="FootnoteText"/>
        <w:jc w:val="both"/>
        <w:rPr>
          <w:rFonts w:ascii="Times New Roman" w:hAnsi="Times New Roman" w:cs="Times New Roman"/>
          <w:noProof/>
        </w:rPr>
      </w:pPr>
      <w:r w:rsidRPr="008E6D7A">
        <w:rPr>
          <w:rStyle w:val="FootnoteReference"/>
          <w:rFonts w:ascii="Times New Roman" w:hAnsi="Times New Roman"/>
          <w:noProof/>
        </w:rPr>
        <w:footnoteRef/>
      </w:r>
      <w:r w:rsidRPr="008E6D7A">
        <w:rPr>
          <w:rFonts w:ascii="Times New Roman" w:hAnsi="Times New Roman" w:cs="Times New Roman"/>
          <w:noProof/>
        </w:rPr>
        <w:t xml:space="preserve"> Testas nustato garso tembro kokybės amplitudę siekiant meninių tikslų, Naudojami įvairūs tempai ir plati dinaminė skalė, taikoma skirtinga artikuliacija. Pasirenkami tiksliniai pasažai ir fragmentai, ryškaus kolorito fortepijoninio repertuaro pavyzdžiai. Asocijuojami kūriniai: V. A. Mocarto sonatos, F.Chopino preliudai ir mazurkos, C.Debussy, M .Raveliopjesės ir pan.</w:t>
      </w:r>
    </w:p>
  </w:footnote>
  <w:footnote w:id="5">
    <w:p w14:paraId="151B5E5B" w14:textId="77777777" w:rsidR="00557902" w:rsidRPr="008E6D7A" w:rsidRDefault="00557902" w:rsidP="008E6D7A">
      <w:pPr>
        <w:pStyle w:val="FootnoteText"/>
        <w:jc w:val="both"/>
        <w:rPr>
          <w:rFonts w:ascii="Times New Roman" w:hAnsi="Times New Roman" w:cs="Times New Roman"/>
        </w:rPr>
      </w:pPr>
      <w:r w:rsidRPr="008E6D7A">
        <w:rPr>
          <w:rStyle w:val="FootnoteReference"/>
          <w:rFonts w:ascii="Times New Roman" w:hAnsi="Times New Roman"/>
          <w:noProof/>
        </w:rPr>
        <w:footnoteRef/>
      </w:r>
      <w:r w:rsidRPr="008E6D7A">
        <w:rPr>
          <w:rFonts w:ascii="Times New Roman" w:hAnsi="Times New Roman" w:cs="Times New Roman"/>
          <w:noProof/>
        </w:rPr>
        <w:t xml:space="preserve"> Testas nustato garso kantilenines savybes ir jų tvarumą. Naudojami lėtesni tempai ir plati dinaminė skalė nuo p iki f, artikuliuojama legato ir kitais panašiais būdais. Pasirenkami tiksliniai fragmentai, reikalaujantys dainingo garso, ryškios melodikos fortepijoninio repertuaro pavyzdžiai. Asocijuojami kūriniai: W.A Mozarto ir L.van Beethoveno sonatų lėtosios dalys, F.Chopino noktiurnai, S.Rachmaninovo lyriniai preliudai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F524" w14:textId="6BE100AE" w:rsidR="005838DF" w:rsidRDefault="005838DF" w:rsidP="002D02F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387"/>
    <w:multiLevelType w:val="multilevel"/>
    <w:tmpl w:val="238636B0"/>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108312CD"/>
    <w:multiLevelType w:val="hybridMultilevel"/>
    <w:tmpl w:val="2B641F22"/>
    <w:lvl w:ilvl="0" w:tplc="EA184B7C">
      <w:start w:val="15"/>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F374B7D"/>
    <w:multiLevelType w:val="hybridMultilevel"/>
    <w:tmpl w:val="431031BC"/>
    <w:lvl w:ilvl="0" w:tplc="60F62E82">
      <w:start w:val="1"/>
      <w:numFmt w:val="decimal"/>
      <w:lvlText w:val="%1."/>
      <w:lvlJc w:val="left"/>
      <w:pPr>
        <w:ind w:left="1920" w:hanging="360"/>
      </w:pPr>
      <w:rPr>
        <w:rFonts w:hint="default"/>
        <w:color w:val="auto"/>
      </w:rPr>
    </w:lvl>
    <w:lvl w:ilvl="1" w:tplc="04270019">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4" w15:restartNumberingAfterBreak="0">
    <w:nsid w:val="22EE3319"/>
    <w:multiLevelType w:val="multilevel"/>
    <w:tmpl w:val="101C5C6A"/>
    <w:lvl w:ilvl="0">
      <w:start w:val="15"/>
      <w:numFmt w:val="decimal"/>
      <w:lvlText w:val="%1."/>
      <w:lvlJc w:val="left"/>
      <w:pPr>
        <w:ind w:left="443" w:hanging="443"/>
      </w:pPr>
      <w:rPr>
        <w:rFonts w:hint="default"/>
      </w:rPr>
    </w:lvl>
    <w:lvl w:ilvl="1">
      <w:start w:val="1"/>
      <w:numFmt w:val="decimal"/>
      <w:lvlText w:val="%1.%2."/>
      <w:lvlJc w:val="left"/>
      <w:pPr>
        <w:ind w:left="1872" w:hanging="443"/>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 w15:restartNumberingAfterBreak="0">
    <w:nsid w:val="29D74CAE"/>
    <w:multiLevelType w:val="multilevel"/>
    <w:tmpl w:val="238636B0"/>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111706"/>
    <w:multiLevelType w:val="hybridMultilevel"/>
    <w:tmpl w:val="37201F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8" w15:restartNumberingAfterBreak="0">
    <w:nsid w:val="2EC97ED5"/>
    <w:multiLevelType w:val="hybridMultilevel"/>
    <w:tmpl w:val="344E0A14"/>
    <w:lvl w:ilvl="0" w:tplc="DD50E744">
      <w:start w:val="1"/>
      <w:numFmt w:val="decimal"/>
      <w:lvlText w:val="%1."/>
      <w:lvlJc w:val="left"/>
      <w:pPr>
        <w:ind w:left="720" w:hanging="360"/>
      </w:pPr>
      <w:rPr>
        <w:rFonts w:hint="default"/>
        <w:b/>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080EEE"/>
    <w:multiLevelType w:val="hybridMultilevel"/>
    <w:tmpl w:val="934A03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0E3B70"/>
    <w:multiLevelType w:val="multilevel"/>
    <w:tmpl w:val="0C10314C"/>
    <w:lvl w:ilvl="0">
      <w:start w:val="14"/>
      <w:numFmt w:val="decimal"/>
      <w:lvlText w:val="%1."/>
      <w:lvlJc w:val="left"/>
      <w:pPr>
        <w:ind w:left="443" w:hanging="443"/>
      </w:pPr>
      <w:rPr>
        <w:rFonts w:hint="default"/>
      </w:rPr>
    </w:lvl>
    <w:lvl w:ilvl="1">
      <w:start w:val="8"/>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740B71"/>
    <w:multiLevelType w:val="hybridMultilevel"/>
    <w:tmpl w:val="4CD27E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291F3A"/>
    <w:multiLevelType w:val="hybridMultilevel"/>
    <w:tmpl w:val="4872CE4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5A5361B5"/>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5D7D3EA7"/>
    <w:multiLevelType w:val="multilevel"/>
    <w:tmpl w:val="919C7AF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ECA4287"/>
    <w:multiLevelType w:val="hybridMultilevel"/>
    <w:tmpl w:val="6B26E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A67B4B"/>
    <w:multiLevelType w:val="multilevel"/>
    <w:tmpl w:val="85AC923C"/>
    <w:lvl w:ilvl="0">
      <w:start w:val="1"/>
      <w:numFmt w:val="decimal"/>
      <w:suff w:val="space"/>
      <w:lvlText w:val="%1."/>
      <w:lvlJc w:val="left"/>
      <w:pPr>
        <w:ind w:left="0" w:firstLine="709"/>
      </w:pPr>
    </w:lvl>
    <w:lvl w:ilvl="1">
      <w:start w:val="1"/>
      <w:numFmt w:val="decimal"/>
      <w:suff w:val="space"/>
      <w:lvlText w:val="%1.%2."/>
      <w:lvlJc w:val="left"/>
      <w:pPr>
        <w:ind w:left="142"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912A2E"/>
    <w:multiLevelType w:val="hybridMultilevel"/>
    <w:tmpl w:val="4A609E30"/>
    <w:lvl w:ilvl="0" w:tplc="0D6C4D8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05C5A5D"/>
    <w:multiLevelType w:val="multilevel"/>
    <w:tmpl w:val="238636B0"/>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6F7B4B"/>
    <w:multiLevelType w:val="hybridMultilevel"/>
    <w:tmpl w:val="6F1286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9895859">
    <w:abstractNumId w:val="12"/>
  </w:num>
  <w:num w:numId="2" w16cid:durableId="593124782">
    <w:abstractNumId w:val="1"/>
  </w:num>
  <w:num w:numId="3" w16cid:durableId="1852524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2692696">
    <w:abstractNumId w:val="18"/>
  </w:num>
  <w:num w:numId="5" w16cid:durableId="1503279304">
    <w:abstractNumId w:val="14"/>
  </w:num>
  <w:num w:numId="6" w16cid:durableId="9985381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223329">
    <w:abstractNumId w:val="7"/>
  </w:num>
  <w:num w:numId="8" w16cid:durableId="20932368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0211693">
    <w:abstractNumId w:val="5"/>
  </w:num>
  <w:num w:numId="10" w16cid:durableId="765659776">
    <w:abstractNumId w:val="11"/>
  </w:num>
  <w:num w:numId="11" w16cid:durableId="1444112079">
    <w:abstractNumId w:val="16"/>
  </w:num>
  <w:num w:numId="12" w16cid:durableId="1010640725">
    <w:abstractNumId w:val="9"/>
  </w:num>
  <w:num w:numId="13" w16cid:durableId="399912660">
    <w:abstractNumId w:val="3"/>
  </w:num>
  <w:num w:numId="14" w16cid:durableId="1786653340">
    <w:abstractNumId w:val="13"/>
  </w:num>
  <w:num w:numId="15" w16cid:durableId="2028406496">
    <w:abstractNumId w:val="17"/>
  </w:num>
  <w:num w:numId="16" w16cid:durableId="141507243">
    <w:abstractNumId w:val="6"/>
  </w:num>
  <w:num w:numId="17" w16cid:durableId="1467429538">
    <w:abstractNumId w:val="20"/>
  </w:num>
  <w:num w:numId="18" w16cid:durableId="1336424161">
    <w:abstractNumId w:val="0"/>
  </w:num>
  <w:num w:numId="19" w16cid:durableId="1519850669">
    <w:abstractNumId w:val="19"/>
  </w:num>
  <w:num w:numId="20" w16cid:durableId="836306610">
    <w:abstractNumId w:val="8"/>
  </w:num>
  <w:num w:numId="21" w16cid:durableId="1361931070">
    <w:abstractNumId w:val="10"/>
  </w:num>
  <w:num w:numId="22" w16cid:durableId="1051003933">
    <w:abstractNumId w:val="2"/>
  </w:num>
  <w:num w:numId="23" w16cid:durableId="1985964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B3B"/>
    <w:rsid w:val="00022843"/>
    <w:rsid w:val="00022E1C"/>
    <w:rsid w:val="000442D6"/>
    <w:rsid w:val="0004456A"/>
    <w:rsid w:val="0006073B"/>
    <w:rsid w:val="00061577"/>
    <w:rsid w:val="000756DF"/>
    <w:rsid w:val="00080EF5"/>
    <w:rsid w:val="000826A0"/>
    <w:rsid w:val="0008334F"/>
    <w:rsid w:val="000874FC"/>
    <w:rsid w:val="00090B67"/>
    <w:rsid w:val="00091CF7"/>
    <w:rsid w:val="00096ECA"/>
    <w:rsid w:val="000979F2"/>
    <w:rsid w:val="000A2944"/>
    <w:rsid w:val="000A2E32"/>
    <w:rsid w:val="000A5679"/>
    <w:rsid w:val="000B1C52"/>
    <w:rsid w:val="000C16F4"/>
    <w:rsid w:val="000D19AD"/>
    <w:rsid w:val="000D7B4D"/>
    <w:rsid w:val="000E0C6E"/>
    <w:rsid w:val="000F072F"/>
    <w:rsid w:val="000F0B18"/>
    <w:rsid w:val="000F1250"/>
    <w:rsid w:val="000F3E7D"/>
    <w:rsid w:val="000F448B"/>
    <w:rsid w:val="000F5B84"/>
    <w:rsid w:val="00103B3B"/>
    <w:rsid w:val="00112567"/>
    <w:rsid w:val="00112F58"/>
    <w:rsid w:val="001143C1"/>
    <w:rsid w:val="00116712"/>
    <w:rsid w:val="00126C66"/>
    <w:rsid w:val="00127FC0"/>
    <w:rsid w:val="00136CD8"/>
    <w:rsid w:val="00137DA4"/>
    <w:rsid w:val="00164923"/>
    <w:rsid w:val="00165532"/>
    <w:rsid w:val="001674EC"/>
    <w:rsid w:val="0017172E"/>
    <w:rsid w:val="00172335"/>
    <w:rsid w:val="001749C0"/>
    <w:rsid w:val="00176CC5"/>
    <w:rsid w:val="00183154"/>
    <w:rsid w:val="001870BE"/>
    <w:rsid w:val="00190CEE"/>
    <w:rsid w:val="0019125B"/>
    <w:rsid w:val="00191B0E"/>
    <w:rsid w:val="00195577"/>
    <w:rsid w:val="00196A7C"/>
    <w:rsid w:val="001A0FA0"/>
    <w:rsid w:val="001A4E58"/>
    <w:rsid w:val="001B3BC6"/>
    <w:rsid w:val="001B69D5"/>
    <w:rsid w:val="001C0272"/>
    <w:rsid w:val="001C48A2"/>
    <w:rsid w:val="001D35C7"/>
    <w:rsid w:val="001E6022"/>
    <w:rsid w:val="002018B7"/>
    <w:rsid w:val="00205062"/>
    <w:rsid w:val="00207DAD"/>
    <w:rsid w:val="00211200"/>
    <w:rsid w:val="00215E68"/>
    <w:rsid w:val="002174E6"/>
    <w:rsid w:val="00223E66"/>
    <w:rsid w:val="0022575D"/>
    <w:rsid w:val="00225CF1"/>
    <w:rsid w:val="00226A6E"/>
    <w:rsid w:val="00230C43"/>
    <w:rsid w:val="0023395D"/>
    <w:rsid w:val="002442B3"/>
    <w:rsid w:val="002500A5"/>
    <w:rsid w:val="00251B97"/>
    <w:rsid w:val="00252B22"/>
    <w:rsid w:val="00252ED6"/>
    <w:rsid w:val="00270BE7"/>
    <w:rsid w:val="002739F7"/>
    <w:rsid w:val="00277B63"/>
    <w:rsid w:val="00282B01"/>
    <w:rsid w:val="00284B0A"/>
    <w:rsid w:val="00284D6D"/>
    <w:rsid w:val="002B6725"/>
    <w:rsid w:val="002C13F8"/>
    <w:rsid w:val="002E00D0"/>
    <w:rsid w:val="002E64D0"/>
    <w:rsid w:val="002E6DD0"/>
    <w:rsid w:val="002F3323"/>
    <w:rsid w:val="00300CDA"/>
    <w:rsid w:val="00301C1C"/>
    <w:rsid w:val="003031C4"/>
    <w:rsid w:val="003045C8"/>
    <w:rsid w:val="00306DF3"/>
    <w:rsid w:val="00307EE8"/>
    <w:rsid w:val="00324EF7"/>
    <w:rsid w:val="00325C49"/>
    <w:rsid w:val="00327288"/>
    <w:rsid w:val="0033372B"/>
    <w:rsid w:val="00337505"/>
    <w:rsid w:val="003468BF"/>
    <w:rsid w:val="00354554"/>
    <w:rsid w:val="00361573"/>
    <w:rsid w:val="00364D63"/>
    <w:rsid w:val="00374C1D"/>
    <w:rsid w:val="003778B3"/>
    <w:rsid w:val="0038503F"/>
    <w:rsid w:val="00392BAF"/>
    <w:rsid w:val="00394075"/>
    <w:rsid w:val="003A4677"/>
    <w:rsid w:val="003B1233"/>
    <w:rsid w:val="003B1D0A"/>
    <w:rsid w:val="003B6961"/>
    <w:rsid w:val="003C3797"/>
    <w:rsid w:val="003C7D83"/>
    <w:rsid w:val="003D684F"/>
    <w:rsid w:val="003E19DA"/>
    <w:rsid w:val="003E6C82"/>
    <w:rsid w:val="003E6C83"/>
    <w:rsid w:val="003F0F74"/>
    <w:rsid w:val="003F12F1"/>
    <w:rsid w:val="003F744A"/>
    <w:rsid w:val="00400D31"/>
    <w:rsid w:val="004146F8"/>
    <w:rsid w:val="004154CA"/>
    <w:rsid w:val="00416CFE"/>
    <w:rsid w:val="0041706B"/>
    <w:rsid w:val="004216D5"/>
    <w:rsid w:val="00426C42"/>
    <w:rsid w:val="00436E76"/>
    <w:rsid w:val="00451297"/>
    <w:rsid w:val="00456BB6"/>
    <w:rsid w:val="00461B5F"/>
    <w:rsid w:val="004621E9"/>
    <w:rsid w:val="00470394"/>
    <w:rsid w:val="00474174"/>
    <w:rsid w:val="00474445"/>
    <w:rsid w:val="00482900"/>
    <w:rsid w:val="0048615F"/>
    <w:rsid w:val="004A1C84"/>
    <w:rsid w:val="004A2B34"/>
    <w:rsid w:val="004B1581"/>
    <w:rsid w:val="004B6AAB"/>
    <w:rsid w:val="004E0B58"/>
    <w:rsid w:val="004E378E"/>
    <w:rsid w:val="004E43B0"/>
    <w:rsid w:val="004E6F29"/>
    <w:rsid w:val="004F0147"/>
    <w:rsid w:val="004F2CFC"/>
    <w:rsid w:val="00516A0F"/>
    <w:rsid w:val="0052231A"/>
    <w:rsid w:val="005259AC"/>
    <w:rsid w:val="0052783B"/>
    <w:rsid w:val="00530395"/>
    <w:rsid w:val="005331F8"/>
    <w:rsid w:val="00537CDC"/>
    <w:rsid w:val="00542249"/>
    <w:rsid w:val="005424A9"/>
    <w:rsid w:val="005568CF"/>
    <w:rsid w:val="00557902"/>
    <w:rsid w:val="00567F6F"/>
    <w:rsid w:val="0057682B"/>
    <w:rsid w:val="005838DF"/>
    <w:rsid w:val="00584735"/>
    <w:rsid w:val="005B32BC"/>
    <w:rsid w:val="005B337E"/>
    <w:rsid w:val="005C0062"/>
    <w:rsid w:val="005C7F0A"/>
    <w:rsid w:val="005D62D8"/>
    <w:rsid w:val="005E1284"/>
    <w:rsid w:val="00607D5E"/>
    <w:rsid w:val="00607F7D"/>
    <w:rsid w:val="00613741"/>
    <w:rsid w:val="00614722"/>
    <w:rsid w:val="0061639A"/>
    <w:rsid w:val="00620320"/>
    <w:rsid w:val="00621EC3"/>
    <w:rsid w:val="00622598"/>
    <w:rsid w:val="006245CC"/>
    <w:rsid w:val="00630C82"/>
    <w:rsid w:val="00642996"/>
    <w:rsid w:val="00642B00"/>
    <w:rsid w:val="00657B6A"/>
    <w:rsid w:val="00672CF4"/>
    <w:rsid w:val="00675FB7"/>
    <w:rsid w:val="00695CCC"/>
    <w:rsid w:val="0069623E"/>
    <w:rsid w:val="006A2643"/>
    <w:rsid w:val="006B5EF9"/>
    <w:rsid w:val="006C2395"/>
    <w:rsid w:val="006C38C1"/>
    <w:rsid w:val="006E278F"/>
    <w:rsid w:val="006F0BC2"/>
    <w:rsid w:val="006F545A"/>
    <w:rsid w:val="0070073C"/>
    <w:rsid w:val="00701E6C"/>
    <w:rsid w:val="00710978"/>
    <w:rsid w:val="00715685"/>
    <w:rsid w:val="00720E57"/>
    <w:rsid w:val="0072321E"/>
    <w:rsid w:val="0072695D"/>
    <w:rsid w:val="007306ED"/>
    <w:rsid w:val="0073397B"/>
    <w:rsid w:val="00742B40"/>
    <w:rsid w:val="0074341C"/>
    <w:rsid w:val="0075585B"/>
    <w:rsid w:val="007637CA"/>
    <w:rsid w:val="0077084D"/>
    <w:rsid w:val="007742A3"/>
    <w:rsid w:val="0078285B"/>
    <w:rsid w:val="00784B28"/>
    <w:rsid w:val="00790A33"/>
    <w:rsid w:val="007B76B7"/>
    <w:rsid w:val="007C22D2"/>
    <w:rsid w:val="007C4268"/>
    <w:rsid w:val="007C74AD"/>
    <w:rsid w:val="007E08BB"/>
    <w:rsid w:val="007F05E5"/>
    <w:rsid w:val="008216FD"/>
    <w:rsid w:val="00825088"/>
    <w:rsid w:val="00826274"/>
    <w:rsid w:val="0083110F"/>
    <w:rsid w:val="00832E4A"/>
    <w:rsid w:val="00834CFF"/>
    <w:rsid w:val="008413C3"/>
    <w:rsid w:val="00843481"/>
    <w:rsid w:val="008444FF"/>
    <w:rsid w:val="00865ADE"/>
    <w:rsid w:val="00877B43"/>
    <w:rsid w:val="00880C26"/>
    <w:rsid w:val="00880E41"/>
    <w:rsid w:val="008836B3"/>
    <w:rsid w:val="00885EF3"/>
    <w:rsid w:val="008A0A89"/>
    <w:rsid w:val="008A27A7"/>
    <w:rsid w:val="008C15DD"/>
    <w:rsid w:val="008C70D9"/>
    <w:rsid w:val="008E1BDB"/>
    <w:rsid w:val="008E2787"/>
    <w:rsid w:val="008E6D7A"/>
    <w:rsid w:val="008F03F9"/>
    <w:rsid w:val="008F2B71"/>
    <w:rsid w:val="008F58EC"/>
    <w:rsid w:val="008F7CD7"/>
    <w:rsid w:val="00900B69"/>
    <w:rsid w:val="00907D62"/>
    <w:rsid w:val="00912828"/>
    <w:rsid w:val="00913371"/>
    <w:rsid w:val="00914AEF"/>
    <w:rsid w:val="0092117A"/>
    <w:rsid w:val="00932EEA"/>
    <w:rsid w:val="009471C7"/>
    <w:rsid w:val="009512E2"/>
    <w:rsid w:val="00951525"/>
    <w:rsid w:val="00952BAE"/>
    <w:rsid w:val="00955839"/>
    <w:rsid w:val="00966324"/>
    <w:rsid w:val="0097748F"/>
    <w:rsid w:val="00981ABF"/>
    <w:rsid w:val="0099541F"/>
    <w:rsid w:val="0099575C"/>
    <w:rsid w:val="009963F4"/>
    <w:rsid w:val="009A5C60"/>
    <w:rsid w:val="009B3209"/>
    <w:rsid w:val="009C58B0"/>
    <w:rsid w:val="009C617F"/>
    <w:rsid w:val="009D62DF"/>
    <w:rsid w:val="009D7F6F"/>
    <w:rsid w:val="009E3D30"/>
    <w:rsid w:val="009E46FD"/>
    <w:rsid w:val="009E68E1"/>
    <w:rsid w:val="009F0677"/>
    <w:rsid w:val="00A151D6"/>
    <w:rsid w:val="00A21324"/>
    <w:rsid w:val="00A27AA1"/>
    <w:rsid w:val="00A35AED"/>
    <w:rsid w:val="00A400BD"/>
    <w:rsid w:val="00A40EA4"/>
    <w:rsid w:val="00A456D4"/>
    <w:rsid w:val="00A5214D"/>
    <w:rsid w:val="00A5572D"/>
    <w:rsid w:val="00A61CD9"/>
    <w:rsid w:val="00A70368"/>
    <w:rsid w:val="00A741F4"/>
    <w:rsid w:val="00A80D04"/>
    <w:rsid w:val="00A959BD"/>
    <w:rsid w:val="00AA5792"/>
    <w:rsid w:val="00AA5F08"/>
    <w:rsid w:val="00AB3B68"/>
    <w:rsid w:val="00AB67C3"/>
    <w:rsid w:val="00AB7976"/>
    <w:rsid w:val="00AD5AC6"/>
    <w:rsid w:val="00AE176B"/>
    <w:rsid w:val="00AF3C0D"/>
    <w:rsid w:val="00AF42A6"/>
    <w:rsid w:val="00B00BAB"/>
    <w:rsid w:val="00B00FE8"/>
    <w:rsid w:val="00B01671"/>
    <w:rsid w:val="00B05C26"/>
    <w:rsid w:val="00B10FF7"/>
    <w:rsid w:val="00B304BC"/>
    <w:rsid w:val="00B41F84"/>
    <w:rsid w:val="00B51EB9"/>
    <w:rsid w:val="00B62B9C"/>
    <w:rsid w:val="00B73543"/>
    <w:rsid w:val="00B74CB8"/>
    <w:rsid w:val="00B75E9A"/>
    <w:rsid w:val="00B764E9"/>
    <w:rsid w:val="00B82E84"/>
    <w:rsid w:val="00B840DA"/>
    <w:rsid w:val="00B93AA0"/>
    <w:rsid w:val="00B96D2E"/>
    <w:rsid w:val="00BA1619"/>
    <w:rsid w:val="00BA6F17"/>
    <w:rsid w:val="00BB2DC0"/>
    <w:rsid w:val="00BB401C"/>
    <w:rsid w:val="00BC069D"/>
    <w:rsid w:val="00BC30DA"/>
    <w:rsid w:val="00BC7816"/>
    <w:rsid w:val="00BD18C1"/>
    <w:rsid w:val="00BD5FBF"/>
    <w:rsid w:val="00BD631D"/>
    <w:rsid w:val="00BD7E66"/>
    <w:rsid w:val="00BE31F7"/>
    <w:rsid w:val="00BE4212"/>
    <w:rsid w:val="00BE4B70"/>
    <w:rsid w:val="00BE75C4"/>
    <w:rsid w:val="00BF0011"/>
    <w:rsid w:val="00BF45BB"/>
    <w:rsid w:val="00C137BC"/>
    <w:rsid w:val="00C2368A"/>
    <w:rsid w:val="00C27C90"/>
    <w:rsid w:val="00C57939"/>
    <w:rsid w:val="00C64059"/>
    <w:rsid w:val="00C774CC"/>
    <w:rsid w:val="00C81295"/>
    <w:rsid w:val="00C81357"/>
    <w:rsid w:val="00C820B4"/>
    <w:rsid w:val="00C841AF"/>
    <w:rsid w:val="00C846E9"/>
    <w:rsid w:val="00C96CAA"/>
    <w:rsid w:val="00CA0513"/>
    <w:rsid w:val="00CA3702"/>
    <w:rsid w:val="00CA45DE"/>
    <w:rsid w:val="00CB71FD"/>
    <w:rsid w:val="00CC5A52"/>
    <w:rsid w:val="00CC645D"/>
    <w:rsid w:val="00CC67B3"/>
    <w:rsid w:val="00CC6CD0"/>
    <w:rsid w:val="00CD25F6"/>
    <w:rsid w:val="00CD2BD9"/>
    <w:rsid w:val="00CD4D8B"/>
    <w:rsid w:val="00CD561C"/>
    <w:rsid w:val="00CD6738"/>
    <w:rsid w:val="00CE0118"/>
    <w:rsid w:val="00CE4EE1"/>
    <w:rsid w:val="00CF0768"/>
    <w:rsid w:val="00D04556"/>
    <w:rsid w:val="00D16172"/>
    <w:rsid w:val="00D217D8"/>
    <w:rsid w:val="00D26FDC"/>
    <w:rsid w:val="00D31FD0"/>
    <w:rsid w:val="00D33790"/>
    <w:rsid w:val="00D36FC8"/>
    <w:rsid w:val="00D4064A"/>
    <w:rsid w:val="00D546C9"/>
    <w:rsid w:val="00D562DC"/>
    <w:rsid w:val="00D5729D"/>
    <w:rsid w:val="00D661B0"/>
    <w:rsid w:val="00D724A8"/>
    <w:rsid w:val="00D845E0"/>
    <w:rsid w:val="00D84FB2"/>
    <w:rsid w:val="00D878A1"/>
    <w:rsid w:val="00D931CE"/>
    <w:rsid w:val="00DA145F"/>
    <w:rsid w:val="00DA4E32"/>
    <w:rsid w:val="00DB2900"/>
    <w:rsid w:val="00DB2E64"/>
    <w:rsid w:val="00DB4E64"/>
    <w:rsid w:val="00DC11BA"/>
    <w:rsid w:val="00DC4297"/>
    <w:rsid w:val="00DC4D66"/>
    <w:rsid w:val="00DD4D28"/>
    <w:rsid w:val="00DE27CE"/>
    <w:rsid w:val="00DE4205"/>
    <w:rsid w:val="00DE55C9"/>
    <w:rsid w:val="00DF29C3"/>
    <w:rsid w:val="00E0224E"/>
    <w:rsid w:val="00E022CA"/>
    <w:rsid w:val="00E06503"/>
    <w:rsid w:val="00E07D9C"/>
    <w:rsid w:val="00E15E2A"/>
    <w:rsid w:val="00E2064C"/>
    <w:rsid w:val="00E2797E"/>
    <w:rsid w:val="00E41B7C"/>
    <w:rsid w:val="00E4324D"/>
    <w:rsid w:val="00E50053"/>
    <w:rsid w:val="00E52174"/>
    <w:rsid w:val="00E71192"/>
    <w:rsid w:val="00E747D9"/>
    <w:rsid w:val="00E7605F"/>
    <w:rsid w:val="00E80E63"/>
    <w:rsid w:val="00E823AE"/>
    <w:rsid w:val="00E849C6"/>
    <w:rsid w:val="00E85DAF"/>
    <w:rsid w:val="00E907A2"/>
    <w:rsid w:val="00EA138F"/>
    <w:rsid w:val="00EC20BB"/>
    <w:rsid w:val="00EC463B"/>
    <w:rsid w:val="00EC6A5A"/>
    <w:rsid w:val="00ED03E2"/>
    <w:rsid w:val="00EE3EC1"/>
    <w:rsid w:val="00EE4F14"/>
    <w:rsid w:val="00EF0F24"/>
    <w:rsid w:val="00EF7D1D"/>
    <w:rsid w:val="00F00F67"/>
    <w:rsid w:val="00F0462B"/>
    <w:rsid w:val="00F156F6"/>
    <w:rsid w:val="00F15EF3"/>
    <w:rsid w:val="00F16CD9"/>
    <w:rsid w:val="00F171A2"/>
    <w:rsid w:val="00F17431"/>
    <w:rsid w:val="00F23261"/>
    <w:rsid w:val="00F248BB"/>
    <w:rsid w:val="00F37EAC"/>
    <w:rsid w:val="00F418A6"/>
    <w:rsid w:val="00F5288B"/>
    <w:rsid w:val="00F62636"/>
    <w:rsid w:val="00F72494"/>
    <w:rsid w:val="00F740A7"/>
    <w:rsid w:val="00F7520A"/>
    <w:rsid w:val="00F8400B"/>
    <w:rsid w:val="00F96033"/>
    <w:rsid w:val="00F96390"/>
    <w:rsid w:val="00FB1403"/>
    <w:rsid w:val="00FB39C9"/>
    <w:rsid w:val="00FB54C1"/>
    <w:rsid w:val="00FC5CCA"/>
    <w:rsid w:val="00FD16AD"/>
    <w:rsid w:val="00FD6278"/>
    <w:rsid w:val="00FE5AC8"/>
    <w:rsid w:val="00FF2BBF"/>
    <w:rsid w:val="00FF52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2BE07"/>
  <w15:docId w15:val="{AA8942C5-5B04-4441-AC71-A4D1F0BA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B3B"/>
    <w:rPr>
      <w:rFonts w:eastAsiaTheme="minorEastAsia"/>
      <w:lang w:eastAsia="zh-CN"/>
    </w:rPr>
  </w:style>
  <w:style w:type="paragraph" w:styleId="Heading1">
    <w:name w:val="heading 1"/>
    <w:basedOn w:val="Normal"/>
    <w:next w:val="Normal"/>
    <w:link w:val="Heading1Char"/>
    <w:uiPriority w:val="9"/>
    <w:qFormat/>
    <w:rsid w:val="00103B3B"/>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B3B"/>
    <w:rPr>
      <w:rFonts w:ascii="Times New Roman" w:eastAsia="Times New Roman" w:hAnsi="Times New Roman" w:cs="Times New Roman"/>
      <w:sz w:val="24"/>
      <w:szCs w:val="20"/>
    </w:rPr>
  </w:style>
  <w:style w:type="paragraph" w:styleId="Header">
    <w:name w:val="header"/>
    <w:aliases w:val="HEADER_EN,En-tête-1,En-tête-2,hd,Header 2,HEADER_EN Char Char Char Char,HEADER_EN Diagrama Diagrama, Char Char Char, Char Char Char Char Char,Char + Arial,Firs..., Char Char Char Char Char Char Ch,HEADER_EN Char Char Char"/>
    <w:basedOn w:val="Normal"/>
    <w:link w:val="HeaderChar"/>
    <w:uiPriority w:val="99"/>
    <w:rsid w:val="00103B3B"/>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aliases w:val="HEADER_EN Char,En-tête-1 Char,En-tête-2 Char,hd Char,Header 2 Char,HEADER_EN Char Char Char Char Char,HEADER_EN Diagrama Diagrama Char, Char Char Char Char, Char Char Char Char Char Char,Char + Arial Char,Firs... Char"/>
    <w:basedOn w:val="DefaultParagraphFont"/>
    <w:link w:val="Header"/>
    <w:uiPriority w:val="99"/>
    <w:rsid w:val="00103B3B"/>
    <w:rPr>
      <w:rFonts w:ascii="Times New Roman" w:eastAsia="Times New Roman" w:hAnsi="Times New Roman" w:cs="Times New Roman"/>
      <w:sz w:val="24"/>
      <w:szCs w:val="20"/>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103B3B"/>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TableGrid">
    <w:name w:val="Table Grid"/>
    <w:basedOn w:val="TableNormal"/>
    <w:uiPriority w:val="59"/>
    <w:rsid w:val="00103B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qFormat/>
    <w:rsid w:val="00103B3B"/>
    <w:rPr>
      <w:rFonts w:cs="Times New Roman"/>
      <w:vertAlign w:val="superscript"/>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rsid w:val="00103B3B"/>
    <w:rPr>
      <w:rFonts w:ascii="Times New Roman" w:eastAsia="Times New Roman" w:hAnsi="Times New Roman" w:cs="Times New Roman"/>
      <w:sz w:val="24"/>
      <w:szCs w:val="20"/>
    </w:rPr>
  </w:style>
  <w:style w:type="character" w:customStyle="1" w:styleId="apple-converted-space">
    <w:name w:val="apple-converted-space"/>
    <w:rsid w:val="00103B3B"/>
  </w:style>
  <w:style w:type="character" w:styleId="Emphasis">
    <w:name w:val="Emphasis"/>
    <w:basedOn w:val="DefaultParagraphFont"/>
    <w:uiPriority w:val="20"/>
    <w:qFormat/>
    <w:rsid w:val="00103B3B"/>
    <w:rPr>
      <w:i/>
      <w:iCs/>
      <w:color w:val="auto"/>
    </w:rPr>
  </w:style>
  <w:style w:type="paragraph" w:customStyle="1" w:styleId="Pagrindinistekstas1">
    <w:name w:val="Pagrindinis tekstas1"/>
    <w:rsid w:val="00103B3B"/>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styleId="Footer">
    <w:name w:val="footer"/>
    <w:basedOn w:val="Normal"/>
    <w:link w:val="FooterChar"/>
    <w:uiPriority w:val="99"/>
    <w:unhideWhenUsed/>
    <w:rsid w:val="00F171A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171A2"/>
    <w:rPr>
      <w:rFonts w:eastAsiaTheme="minorEastAsia"/>
      <w:lang w:eastAsia="zh-CN"/>
    </w:rPr>
  </w:style>
  <w:style w:type="paragraph" w:styleId="FootnoteText">
    <w:name w:val="footnote text"/>
    <w:aliases w:val="Diagrama1"/>
    <w:basedOn w:val="Normal"/>
    <w:link w:val="FootnoteTextChar"/>
    <w:uiPriority w:val="99"/>
    <w:semiHidden/>
    <w:unhideWhenUsed/>
    <w:rsid w:val="001A4E58"/>
    <w:pPr>
      <w:spacing w:after="0" w:line="240" w:lineRule="auto"/>
    </w:pPr>
    <w:rPr>
      <w:sz w:val="20"/>
      <w:szCs w:val="20"/>
    </w:rPr>
  </w:style>
  <w:style w:type="character" w:customStyle="1" w:styleId="FootnoteTextChar">
    <w:name w:val="Footnote Text Char"/>
    <w:aliases w:val="Diagrama1 Char"/>
    <w:basedOn w:val="DefaultParagraphFont"/>
    <w:link w:val="FootnoteText"/>
    <w:uiPriority w:val="99"/>
    <w:semiHidden/>
    <w:rsid w:val="001A4E58"/>
    <w:rPr>
      <w:rFonts w:eastAsiaTheme="minorEastAsia"/>
      <w:sz w:val="20"/>
      <w:szCs w:val="20"/>
      <w:lang w:eastAsia="zh-CN"/>
    </w:rPr>
  </w:style>
  <w:style w:type="numbering" w:customStyle="1" w:styleId="11111111">
    <w:name w:val="1 / 1.1 / 1.1.111"/>
    <w:basedOn w:val="NoList"/>
    <w:next w:val="111111"/>
    <w:rsid w:val="00877B43"/>
    <w:pPr>
      <w:numPr>
        <w:numId w:val="7"/>
      </w:numPr>
    </w:pPr>
  </w:style>
  <w:style w:type="numbering" w:styleId="111111">
    <w:name w:val="Outline List 2"/>
    <w:basedOn w:val="NoList"/>
    <w:uiPriority w:val="99"/>
    <w:semiHidden/>
    <w:unhideWhenUsed/>
    <w:rsid w:val="00877B43"/>
  </w:style>
  <w:style w:type="paragraph" w:styleId="Caption">
    <w:name w:val="caption"/>
    <w:basedOn w:val="Normal"/>
    <w:next w:val="Normal"/>
    <w:uiPriority w:val="35"/>
    <w:semiHidden/>
    <w:unhideWhenUsed/>
    <w:qFormat/>
    <w:rsid w:val="008E6D7A"/>
    <w:pPr>
      <w:spacing w:after="0" w:line="240" w:lineRule="auto"/>
      <w:jc w:val="both"/>
    </w:pPr>
    <w:rPr>
      <w:rFonts w:ascii="Times New Roman" w:eastAsiaTheme="minorHAnsi" w:hAnsi="Times New Roman"/>
      <w:b/>
      <w:iCs/>
      <w:sz w:val="24"/>
      <w:szCs w:val="18"/>
      <w:lang w:eastAsia="en-US"/>
    </w:rPr>
  </w:style>
  <w:style w:type="paragraph" w:styleId="BalloonText">
    <w:name w:val="Balloon Text"/>
    <w:basedOn w:val="Normal"/>
    <w:link w:val="BalloonTextChar"/>
    <w:uiPriority w:val="99"/>
    <w:semiHidden/>
    <w:unhideWhenUsed/>
    <w:rsid w:val="008E6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D7A"/>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270BE7"/>
    <w:rPr>
      <w:sz w:val="16"/>
      <w:szCs w:val="16"/>
    </w:rPr>
  </w:style>
  <w:style w:type="paragraph" w:styleId="CommentText">
    <w:name w:val="annotation text"/>
    <w:basedOn w:val="Normal"/>
    <w:link w:val="CommentTextChar"/>
    <w:uiPriority w:val="99"/>
    <w:semiHidden/>
    <w:unhideWhenUsed/>
    <w:rsid w:val="00270BE7"/>
    <w:pPr>
      <w:spacing w:line="240" w:lineRule="auto"/>
    </w:pPr>
    <w:rPr>
      <w:sz w:val="20"/>
      <w:szCs w:val="20"/>
    </w:rPr>
  </w:style>
  <w:style w:type="character" w:customStyle="1" w:styleId="CommentTextChar">
    <w:name w:val="Comment Text Char"/>
    <w:basedOn w:val="DefaultParagraphFont"/>
    <w:link w:val="CommentText"/>
    <w:uiPriority w:val="99"/>
    <w:semiHidden/>
    <w:rsid w:val="00270BE7"/>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270BE7"/>
    <w:rPr>
      <w:b/>
      <w:bCs/>
    </w:rPr>
  </w:style>
  <w:style w:type="character" w:customStyle="1" w:styleId="CommentSubjectChar">
    <w:name w:val="Comment Subject Char"/>
    <w:basedOn w:val="CommentTextChar"/>
    <w:link w:val="CommentSubject"/>
    <w:uiPriority w:val="99"/>
    <w:semiHidden/>
    <w:rsid w:val="00270BE7"/>
    <w:rPr>
      <w:rFonts w:eastAsiaTheme="minorEastAsia"/>
      <w:b/>
      <w:bCs/>
      <w:sz w:val="20"/>
      <w:szCs w:val="20"/>
      <w:lang w:eastAsia="zh-CN"/>
    </w:rPr>
  </w:style>
  <w:style w:type="character" w:styleId="Hyperlink">
    <w:name w:val="Hyperlink"/>
    <w:basedOn w:val="DefaultParagraphFont"/>
    <w:uiPriority w:val="99"/>
    <w:unhideWhenUsed/>
    <w:rsid w:val="00190CEE"/>
    <w:rPr>
      <w:color w:val="0000FF" w:themeColor="hyperlink"/>
      <w:u w:val="single"/>
    </w:rPr>
  </w:style>
  <w:style w:type="paragraph" w:customStyle="1" w:styleId="Default">
    <w:name w:val="Default"/>
    <w:rsid w:val="00FF2BB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951525"/>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9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59C88-5227-4AED-A6F1-DBA17AF5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7</Pages>
  <Words>2444</Words>
  <Characters>13936</Characters>
  <Application>Microsoft Office Word</Application>
  <DocSecurity>0</DocSecurity>
  <Lines>116</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PC31</dc:creator>
  <cp:lastModifiedBy>Agnė Balčytytė</cp:lastModifiedBy>
  <cp:revision>9</cp:revision>
  <dcterms:created xsi:type="dcterms:W3CDTF">2025-09-12T08:53:00Z</dcterms:created>
  <dcterms:modified xsi:type="dcterms:W3CDTF">2025-10-21T11:53:00Z</dcterms:modified>
</cp:coreProperties>
</file>