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85F0A" w14:textId="3E5AEAA8" w:rsidR="00D917DC" w:rsidRDefault="00D917DC" w:rsidP="00D917DC">
      <w:pPr>
        <w:jc w:val="center"/>
        <w:rPr>
          <w:sz w:val="28"/>
          <w:szCs w:val="28"/>
        </w:rPr>
      </w:pPr>
      <w:bookmarkStart w:id="0" w:name="_GoBack"/>
      <w:bookmarkEnd w:id="0"/>
      <w:r w:rsidRPr="00D917DC">
        <w:rPr>
          <w:sz w:val="28"/>
          <w:szCs w:val="28"/>
        </w:rPr>
        <w:t>PASIŪLYMŲ VERTINIMO KRITERIJAI IR SĄLYGOS</w:t>
      </w:r>
    </w:p>
    <w:p w14:paraId="09A3B409" w14:textId="77777777" w:rsidR="00D917DC" w:rsidRPr="00D917DC" w:rsidRDefault="00D917DC" w:rsidP="00D917DC">
      <w:pPr>
        <w:jc w:val="center"/>
        <w:rPr>
          <w:sz w:val="28"/>
          <w:szCs w:val="28"/>
        </w:rPr>
      </w:pPr>
    </w:p>
    <w:p w14:paraId="2A02B3CA" w14:textId="3AB001FE" w:rsidR="00D917DC" w:rsidRDefault="00D917DC" w:rsidP="0064585A">
      <w:pPr>
        <w:pStyle w:val="Sraopastraipa"/>
        <w:numPr>
          <w:ilvl w:val="0"/>
          <w:numId w:val="1"/>
        </w:numPr>
        <w:tabs>
          <w:tab w:val="left" w:pos="709"/>
        </w:tabs>
        <w:ind w:left="0" w:firstLine="349"/>
      </w:pPr>
      <w:r w:rsidRPr="00D917DC">
        <w:t xml:space="preserve">Tiekėjų, atitinkančių pirkimo dokumentuose keliamus minimalius kvalifikacinius reikalavimus, pasiūlymai vertinami pagal kainos ir kokybės santykį. Šiame priede pateikiami ekonomiškai naudingiausio pasiūlymo vertinimo kriterijai, lyginamieji svoriai, formulės, pagal kurias bus skaičiuojamas ekonominis naudingumas. </w:t>
      </w:r>
    </w:p>
    <w:p w14:paraId="4188DDC1" w14:textId="77777777" w:rsidR="00D917DC" w:rsidRPr="00D917DC" w:rsidRDefault="00D917DC" w:rsidP="0064585A">
      <w:pPr>
        <w:pStyle w:val="Sraopastraipa"/>
        <w:tabs>
          <w:tab w:val="left" w:pos="709"/>
        </w:tabs>
        <w:ind w:firstLine="349"/>
      </w:pPr>
    </w:p>
    <w:p w14:paraId="1972B4D3" w14:textId="77777777" w:rsidR="00D917DC" w:rsidRDefault="00D917DC" w:rsidP="0064585A">
      <w:pPr>
        <w:pStyle w:val="Sraopastraipa"/>
        <w:numPr>
          <w:ilvl w:val="0"/>
          <w:numId w:val="1"/>
        </w:numPr>
        <w:tabs>
          <w:tab w:val="left" w:pos="709"/>
        </w:tabs>
        <w:ind w:left="0" w:firstLine="349"/>
      </w:pPr>
      <w:r w:rsidRPr="00D917DC">
        <w:t xml:space="preserve">Maksimalus balų skaičius, kurį gali gauti Tiekėjas per pasiūlymų vertinimo procedūrą, yra 100 balų. </w:t>
      </w:r>
    </w:p>
    <w:p w14:paraId="608FCDE1" w14:textId="77777777" w:rsidR="00D917DC" w:rsidRDefault="00D917DC" w:rsidP="00D917DC">
      <w:pPr>
        <w:pStyle w:val="Sraopastraipa"/>
      </w:pPr>
    </w:p>
    <w:p w14:paraId="62C5623F" w14:textId="5280275B" w:rsidR="00D917DC" w:rsidRDefault="00D917DC" w:rsidP="00D917DC">
      <w:pPr>
        <w:pStyle w:val="Sraopastraipa"/>
        <w:numPr>
          <w:ilvl w:val="0"/>
          <w:numId w:val="1"/>
        </w:numPr>
      </w:pPr>
      <w:r w:rsidRPr="00D917DC">
        <w:t xml:space="preserve"> Pasiūlymų vertinimo kriterijai ir lyginamieji svoriai </w:t>
      </w:r>
    </w:p>
    <w:p w14:paraId="5337A7D0" w14:textId="77777777" w:rsidR="00D917DC" w:rsidRPr="00D917DC" w:rsidRDefault="00D917DC" w:rsidP="00D917DC"/>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35"/>
        <w:gridCol w:w="4595"/>
      </w:tblGrid>
      <w:tr w:rsidR="00D917DC" w:rsidRPr="00D917DC" w14:paraId="5E4102D3" w14:textId="77777777" w:rsidTr="00D917DC">
        <w:trPr>
          <w:trHeight w:val="373"/>
        </w:trPr>
        <w:tc>
          <w:tcPr>
            <w:tcW w:w="4335" w:type="dxa"/>
            <w:tcBorders>
              <w:top w:val="none" w:sz="6" w:space="0" w:color="auto"/>
              <w:bottom w:val="none" w:sz="6" w:space="0" w:color="auto"/>
              <w:right w:val="none" w:sz="6" w:space="0" w:color="auto"/>
            </w:tcBorders>
          </w:tcPr>
          <w:p w14:paraId="4956F3DC" w14:textId="77777777" w:rsidR="00D917DC" w:rsidRPr="00D917DC" w:rsidRDefault="00D917DC" w:rsidP="00D917DC">
            <w:r w:rsidRPr="00D917DC">
              <w:rPr>
                <w:b/>
                <w:bCs/>
              </w:rPr>
              <w:t xml:space="preserve">Vertinimo kriterijai </w:t>
            </w:r>
          </w:p>
        </w:tc>
        <w:tc>
          <w:tcPr>
            <w:tcW w:w="4595" w:type="dxa"/>
            <w:tcBorders>
              <w:top w:val="none" w:sz="6" w:space="0" w:color="auto"/>
              <w:left w:val="none" w:sz="6" w:space="0" w:color="auto"/>
              <w:bottom w:val="none" w:sz="6" w:space="0" w:color="auto"/>
            </w:tcBorders>
          </w:tcPr>
          <w:p w14:paraId="27D62B1F" w14:textId="0F7190DA" w:rsidR="00D917DC" w:rsidRPr="00D917DC" w:rsidRDefault="00D917DC" w:rsidP="00D917DC">
            <w:r w:rsidRPr="00D917DC">
              <w:rPr>
                <w:b/>
                <w:bCs/>
              </w:rPr>
              <w:t xml:space="preserve">Lyginamasis svoris ekonominio </w:t>
            </w:r>
            <w:r w:rsidR="00464AFA">
              <w:rPr>
                <w:b/>
                <w:bCs/>
              </w:rPr>
              <w:t xml:space="preserve">naudingumo </w:t>
            </w:r>
            <w:r w:rsidRPr="00D917DC">
              <w:rPr>
                <w:b/>
                <w:bCs/>
              </w:rPr>
              <w:t xml:space="preserve">vertinime </w:t>
            </w:r>
          </w:p>
        </w:tc>
      </w:tr>
      <w:tr w:rsidR="00D917DC" w:rsidRPr="00D917DC" w14:paraId="63E31860" w14:textId="77777777" w:rsidTr="00D917DC">
        <w:trPr>
          <w:trHeight w:val="105"/>
        </w:trPr>
        <w:tc>
          <w:tcPr>
            <w:tcW w:w="4335" w:type="dxa"/>
            <w:tcBorders>
              <w:top w:val="none" w:sz="6" w:space="0" w:color="auto"/>
              <w:bottom w:val="none" w:sz="6" w:space="0" w:color="auto"/>
              <w:right w:val="none" w:sz="6" w:space="0" w:color="auto"/>
            </w:tcBorders>
          </w:tcPr>
          <w:p w14:paraId="7F164C30" w14:textId="77777777" w:rsidR="00D917DC" w:rsidRPr="00D917DC" w:rsidRDefault="00D917DC" w:rsidP="00D917DC">
            <w:r w:rsidRPr="00D917DC">
              <w:rPr>
                <w:b/>
                <w:bCs/>
              </w:rPr>
              <w:t xml:space="preserve">Pirmas kriterijus: kaina (K), Eur be PVM </w:t>
            </w:r>
          </w:p>
        </w:tc>
        <w:tc>
          <w:tcPr>
            <w:tcW w:w="4595" w:type="dxa"/>
            <w:tcBorders>
              <w:top w:val="none" w:sz="6" w:space="0" w:color="auto"/>
              <w:left w:val="none" w:sz="6" w:space="0" w:color="auto"/>
              <w:bottom w:val="none" w:sz="6" w:space="0" w:color="auto"/>
            </w:tcBorders>
          </w:tcPr>
          <w:p w14:paraId="1575D117" w14:textId="21E82DBA" w:rsidR="00D917DC" w:rsidRPr="00D917DC" w:rsidRDefault="00D917DC" w:rsidP="00D917DC">
            <w:r w:rsidRPr="00D917DC">
              <w:rPr>
                <w:b/>
                <w:bCs/>
              </w:rPr>
              <w:t>X = 9</w:t>
            </w:r>
            <w:r w:rsidR="005303F2">
              <w:rPr>
                <w:b/>
                <w:bCs/>
              </w:rPr>
              <w:t>5</w:t>
            </w:r>
            <w:r w:rsidRPr="00D917DC">
              <w:rPr>
                <w:b/>
                <w:bCs/>
              </w:rPr>
              <w:t xml:space="preserve"> </w:t>
            </w:r>
          </w:p>
        </w:tc>
      </w:tr>
      <w:tr w:rsidR="00D917DC" w:rsidRPr="00D917DC" w14:paraId="25F130C4" w14:textId="77777777" w:rsidTr="00D917DC">
        <w:trPr>
          <w:trHeight w:val="105"/>
        </w:trPr>
        <w:tc>
          <w:tcPr>
            <w:tcW w:w="4335" w:type="dxa"/>
            <w:tcBorders>
              <w:top w:val="none" w:sz="6" w:space="0" w:color="auto"/>
              <w:bottom w:val="none" w:sz="6" w:space="0" w:color="auto"/>
              <w:right w:val="none" w:sz="6" w:space="0" w:color="auto"/>
            </w:tcBorders>
          </w:tcPr>
          <w:p w14:paraId="1A2AFD7C" w14:textId="77777777" w:rsidR="00D917DC" w:rsidRPr="00D917DC" w:rsidRDefault="00D917DC" w:rsidP="00D917DC">
            <w:r w:rsidRPr="00D917DC">
              <w:rPr>
                <w:b/>
                <w:bCs/>
              </w:rPr>
              <w:t xml:space="preserve">Antras kriterijus: kokybė – patirtis (P) </w:t>
            </w:r>
          </w:p>
        </w:tc>
        <w:tc>
          <w:tcPr>
            <w:tcW w:w="4595" w:type="dxa"/>
            <w:tcBorders>
              <w:top w:val="none" w:sz="6" w:space="0" w:color="auto"/>
              <w:left w:val="none" w:sz="6" w:space="0" w:color="auto"/>
              <w:bottom w:val="none" w:sz="6" w:space="0" w:color="auto"/>
            </w:tcBorders>
          </w:tcPr>
          <w:p w14:paraId="7E4B3305" w14:textId="5B71052C" w:rsidR="00D917DC" w:rsidRPr="00D917DC" w:rsidRDefault="00D917DC" w:rsidP="00D917DC">
            <w:r w:rsidRPr="00D917DC">
              <w:rPr>
                <w:b/>
                <w:bCs/>
              </w:rPr>
              <w:t xml:space="preserve">Y = </w:t>
            </w:r>
            <w:r w:rsidR="005303F2">
              <w:rPr>
                <w:b/>
                <w:bCs/>
              </w:rPr>
              <w:t>5</w:t>
            </w:r>
            <w:r w:rsidRPr="00D917DC">
              <w:rPr>
                <w:b/>
                <w:bCs/>
              </w:rPr>
              <w:t xml:space="preserve"> </w:t>
            </w:r>
          </w:p>
        </w:tc>
      </w:tr>
      <w:tr w:rsidR="00D917DC" w:rsidRPr="00D917DC" w14:paraId="61824E41" w14:textId="77777777" w:rsidTr="00D917DC">
        <w:trPr>
          <w:trHeight w:val="746"/>
        </w:trPr>
        <w:tc>
          <w:tcPr>
            <w:tcW w:w="8930" w:type="dxa"/>
            <w:gridSpan w:val="2"/>
            <w:tcBorders>
              <w:top w:val="none" w:sz="6" w:space="0" w:color="auto"/>
              <w:bottom w:val="none" w:sz="6" w:space="0" w:color="auto"/>
            </w:tcBorders>
          </w:tcPr>
          <w:p w14:paraId="3CBBC940" w14:textId="7E66DDD7" w:rsidR="00464AFA" w:rsidRDefault="00464AFA" w:rsidP="00D917DC">
            <w:r w:rsidRPr="00464AFA">
              <w:t xml:space="preserve">Vertinama </w:t>
            </w:r>
            <w:r>
              <w:t>ypatingo</w:t>
            </w:r>
            <w:r w:rsidRPr="00464AFA">
              <w:t xml:space="preserve"> statinio projektų rengimo ir vadovavimo patirtis. </w:t>
            </w:r>
          </w:p>
          <w:p w14:paraId="67C3E703" w14:textId="71CDA092" w:rsidR="00D917DC" w:rsidRPr="00D917DC" w:rsidRDefault="00464AFA" w:rsidP="00D917DC">
            <w:r w:rsidRPr="00464AFA">
              <w:rPr>
                <w:bCs/>
              </w:rPr>
              <w:t xml:space="preserve">Jei turi </w:t>
            </w:r>
            <w:r>
              <w:rPr>
                <w:bCs/>
              </w:rPr>
              <w:t>ypatingo</w:t>
            </w:r>
            <w:r w:rsidRPr="00464AFA">
              <w:rPr>
                <w:bCs/>
              </w:rPr>
              <w:t xml:space="preserve"> statinio projekto rengimo / vadovavimo patirtį bent viename baigtame </w:t>
            </w:r>
            <w:r>
              <w:rPr>
                <w:bCs/>
              </w:rPr>
              <w:t>ypatingo</w:t>
            </w:r>
            <w:r w:rsidRPr="00464AFA">
              <w:rPr>
                <w:bCs/>
              </w:rPr>
              <w:t xml:space="preserve"> statinio darbų projektavime, skiriama 5 balai. Neturint patirties – 0 balų. Baigtu projektu yra laikomas patvirtintas projektas, kuriam yra gautas statybą leidžiantis dokumentas.</w:t>
            </w:r>
          </w:p>
        </w:tc>
      </w:tr>
    </w:tbl>
    <w:p w14:paraId="607F78B7" w14:textId="77777777" w:rsidR="002A5833" w:rsidRDefault="002A5833"/>
    <w:p w14:paraId="23BD9196" w14:textId="77777777" w:rsidR="00D917DC" w:rsidRDefault="00D917DC" w:rsidP="00D917DC">
      <w:pPr>
        <w:ind w:firstLine="426"/>
      </w:pPr>
      <w:r w:rsidRPr="00D917DC">
        <w:t>3.1. Ekonominio naudingumo skaičiavimo tvarka:</w:t>
      </w:r>
    </w:p>
    <w:p w14:paraId="3B18F6BF" w14:textId="77777777" w:rsidR="00D917DC" w:rsidRDefault="00D917DC" w:rsidP="00D917DC">
      <w:pPr>
        <w:ind w:firstLine="426"/>
      </w:pPr>
      <w:r w:rsidRPr="00D917DC">
        <w:t xml:space="preserve">3.1.1. Ekonominis naudingumas (S) apskaičiuojamas sudedant tiekėjo (n) pasiūlymo kainos (K) ir kokybinio kriterijaus (P) balus: </w:t>
      </w:r>
    </w:p>
    <w:p w14:paraId="5E10DE97" w14:textId="4348810C" w:rsidR="00D917DC" w:rsidRPr="00D917DC" w:rsidRDefault="0064585A" w:rsidP="00D917DC">
      <w:pPr>
        <w:jc w:val="center"/>
        <w:rPr>
          <w:vertAlign w:val="subscript"/>
        </w:rPr>
      </w:pPr>
      <w:r>
        <w:rPr>
          <w:rFonts w:ascii="Cambria Math" w:hAnsi="Cambria Math" w:cs="Cambria Math"/>
        </w:rPr>
        <w:t xml:space="preserve">             </w:t>
      </w:r>
      <w:r w:rsidR="00D917DC" w:rsidRPr="00D917DC">
        <w:rPr>
          <w:rFonts w:ascii="Cambria Math" w:hAnsi="Cambria Math" w:cs="Cambria Math"/>
        </w:rPr>
        <w:t>𝑆</w:t>
      </w:r>
      <w:r w:rsidR="00D917DC">
        <w:rPr>
          <w:rFonts w:ascii="Cambria Math" w:hAnsi="Cambria Math" w:cs="Cambria Math"/>
          <w:vertAlign w:val="subscript"/>
        </w:rPr>
        <w:t>n</w:t>
      </w:r>
      <w:r w:rsidR="00D917DC" w:rsidRPr="00D917DC">
        <w:t xml:space="preserve"> = </w:t>
      </w:r>
      <w:r w:rsidR="00D917DC" w:rsidRPr="00D917DC">
        <w:rPr>
          <w:rFonts w:ascii="Cambria Math" w:hAnsi="Cambria Math" w:cs="Cambria Math"/>
        </w:rPr>
        <w:t>𝐾</w:t>
      </w:r>
      <w:r w:rsidR="00D917DC">
        <w:rPr>
          <w:rFonts w:ascii="Cambria Math" w:hAnsi="Cambria Math" w:cs="Cambria Math"/>
          <w:vertAlign w:val="subscript"/>
        </w:rPr>
        <w:t>n</w:t>
      </w:r>
      <w:r w:rsidR="00D917DC" w:rsidRPr="00D917DC">
        <w:t xml:space="preserve"> + </w:t>
      </w:r>
      <w:r w:rsidR="00D917DC" w:rsidRPr="00D917DC">
        <w:rPr>
          <w:rFonts w:ascii="Cambria Math" w:hAnsi="Cambria Math" w:cs="Cambria Math"/>
        </w:rPr>
        <w:t>𝑃</w:t>
      </w:r>
      <w:r w:rsidR="00D917DC">
        <w:rPr>
          <w:rFonts w:ascii="Cambria Math" w:hAnsi="Cambria Math" w:cs="Cambria Math"/>
          <w:vertAlign w:val="subscript"/>
        </w:rPr>
        <w:t>n</w:t>
      </w:r>
    </w:p>
    <w:p w14:paraId="6646FC2F" w14:textId="77777777" w:rsidR="00D917DC" w:rsidRDefault="00D917DC" w:rsidP="00D917DC">
      <w:pPr>
        <w:jc w:val="center"/>
      </w:pPr>
    </w:p>
    <w:p w14:paraId="220BF006" w14:textId="3F03D14C" w:rsidR="00D917DC" w:rsidRDefault="00D917DC" w:rsidP="0016377B">
      <w:pPr>
        <w:pStyle w:val="Sraopastraipa"/>
        <w:numPr>
          <w:ilvl w:val="0"/>
          <w:numId w:val="1"/>
        </w:numPr>
        <w:tabs>
          <w:tab w:val="left" w:pos="709"/>
        </w:tabs>
        <w:ind w:left="0" w:firstLine="360"/>
      </w:pPr>
      <w:r w:rsidRPr="00D917DC">
        <w:t>Pasiūlymo kainos (</w:t>
      </w:r>
      <w:proofErr w:type="spellStart"/>
      <w:r w:rsidRPr="00D917DC">
        <w:t>Kn</w:t>
      </w:r>
      <w:proofErr w:type="spellEnd"/>
      <w:r w:rsidRPr="00D917DC">
        <w:t>) balai apskaičiuojami mažiausios pasiūlytos kainos (</w:t>
      </w:r>
      <w:proofErr w:type="spellStart"/>
      <w:r w:rsidRPr="00D917DC">
        <w:t>Kmin</w:t>
      </w:r>
      <w:proofErr w:type="spellEnd"/>
      <w:r w:rsidRPr="00D917DC">
        <w:t>) ir vertinamo pasiūlymo kainos (</w:t>
      </w:r>
      <w:proofErr w:type="spellStart"/>
      <w:r w:rsidRPr="00D917DC">
        <w:t>Kp</w:t>
      </w:r>
      <w:proofErr w:type="spellEnd"/>
      <w:r w:rsidRPr="00D917DC">
        <w:t>) santykį padauginant iš kainos lyginamojo svorio (X):</w:t>
      </w:r>
    </w:p>
    <w:p w14:paraId="2B5C2B10" w14:textId="77777777" w:rsidR="00D917DC" w:rsidRDefault="00D917DC" w:rsidP="00D917DC">
      <w:pPr>
        <w:pStyle w:val="Sraopastraipa"/>
      </w:pPr>
    </w:p>
    <w:p w14:paraId="3630F36F" w14:textId="77777777" w:rsidR="0064585A" w:rsidRDefault="0064585A" w:rsidP="00D917DC">
      <w:pPr>
        <w:pStyle w:val="Sraopastraipa"/>
        <w:jc w:val="center"/>
        <w:rPr>
          <w:rFonts w:ascii="Cambria Math" w:hAnsi="Cambria Math" w:cs="Cambria Math"/>
        </w:rPr>
      </w:pPr>
    </w:p>
    <w:p w14:paraId="4E0D61B6" w14:textId="2CC70386" w:rsidR="0064585A" w:rsidRDefault="0064585A" w:rsidP="0064585A">
      <w:pPr>
        <w:pStyle w:val="Sraopastraipa"/>
        <w:tabs>
          <w:tab w:val="left" w:pos="4111"/>
        </w:tabs>
        <w:jc w:val="center"/>
        <w:rPr>
          <w:rFonts w:eastAsiaTheme="minorEastAsia" w:cs="Times New Roman"/>
          <w:szCs w:val="24"/>
        </w:rPr>
      </w:pPr>
      <w:r w:rsidRPr="0064585A">
        <w:rPr>
          <w:rFonts w:ascii="Cambria Math" w:hAnsi="Cambria Math" w:cs="Cambria Math"/>
          <w:szCs w:val="24"/>
        </w:rPr>
        <w:t>𝐾</w:t>
      </w:r>
      <w:r w:rsidRPr="0064585A">
        <w:rPr>
          <w:rFonts w:ascii="Cambria Math" w:hAnsi="Cambria Math" w:cs="Cambria Math"/>
          <w:szCs w:val="24"/>
          <w:vertAlign w:val="subscript"/>
        </w:rPr>
        <w:t>𝑛</w:t>
      </w:r>
      <w:r w:rsidRPr="0064585A">
        <w:rPr>
          <w:rFonts w:cs="Times New Roman"/>
          <w:szCs w:val="24"/>
        </w:rPr>
        <w:t>=</w:t>
      </w:r>
      <m:oMath>
        <m:f>
          <m:fPr>
            <m:ctrlPr>
              <w:rPr>
                <w:rFonts w:ascii="Cambria Math" w:hAnsi="Cambria Math" w:cs="Cambria Math"/>
                <w:i/>
                <w:sz w:val="28"/>
                <w:szCs w:val="28"/>
              </w:rPr>
            </m:ctrlPr>
          </m:fPr>
          <m:num>
            <m:r>
              <w:rPr>
                <w:rFonts w:ascii="Cambria Math" w:hAnsi="Cambria Math" w:cs="Cambria Math"/>
                <w:sz w:val="28"/>
                <w:szCs w:val="28"/>
              </w:rPr>
              <m:t>Kmin</m:t>
            </m:r>
          </m:num>
          <m:den>
            <m:r>
              <w:rPr>
                <w:rFonts w:ascii="Cambria Math" w:hAnsi="Cambria Math" w:cs="Cambria Math"/>
                <w:sz w:val="28"/>
                <w:szCs w:val="28"/>
              </w:rPr>
              <m:t>Kp</m:t>
            </m:r>
          </m:den>
        </m:f>
      </m:oMath>
      <w:r>
        <w:rPr>
          <w:rFonts w:eastAsiaTheme="minorEastAsia" w:cs="Times New Roman"/>
          <w:szCs w:val="24"/>
        </w:rPr>
        <w:t>*x</w:t>
      </w:r>
    </w:p>
    <w:p w14:paraId="4342BB40" w14:textId="77777777" w:rsidR="0064585A" w:rsidRDefault="0064585A" w:rsidP="00D917DC">
      <w:pPr>
        <w:pStyle w:val="Sraopastraipa"/>
        <w:jc w:val="center"/>
        <w:rPr>
          <w:rFonts w:cs="Times New Roman"/>
          <w:szCs w:val="24"/>
        </w:rPr>
      </w:pPr>
    </w:p>
    <w:p w14:paraId="3C47F30D" w14:textId="11DD951E" w:rsidR="0064585A" w:rsidRPr="0064585A" w:rsidRDefault="0064585A" w:rsidP="00D917DC">
      <w:pPr>
        <w:pStyle w:val="Sraopastraipa"/>
        <w:jc w:val="center"/>
        <w:rPr>
          <w:rFonts w:cs="Times New Roman"/>
          <w:szCs w:val="24"/>
        </w:rPr>
      </w:pPr>
      <w:r w:rsidRPr="0064585A">
        <w:rPr>
          <w:rFonts w:cs="Times New Roman"/>
          <w:szCs w:val="24"/>
        </w:rPr>
        <w:t>__________</w:t>
      </w:r>
    </w:p>
    <w:sectPr w:rsidR="0064585A" w:rsidRPr="0064585A" w:rsidSect="000F4D79">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2166" w14:textId="77777777" w:rsidR="00D859CB" w:rsidRDefault="00D859CB" w:rsidP="006470F3">
      <w:r>
        <w:separator/>
      </w:r>
    </w:p>
  </w:endnote>
  <w:endnote w:type="continuationSeparator" w:id="0">
    <w:p w14:paraId="5EFA946B" w14:textId="77777777" w:rsidR="00D859CB" w:rsidRDefault="00D859CB" w:rsidP="0064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5503" w14:textId="77777777" w:rsidR="00D859CB" w:rsidRDefault="00D859CB" w:rsidP="006470F3">
      <w:r>
        <w:separator/>
      </w:r>
    </w:p>
  </w:footnote>
  <w:footnote w:type="continuationSeparator" w:id="0">
    <w:p w14:paraId="4D9373A7" w14:textId="77777777" w:rsidR="00D859CB" w:rsidRDefault="00D859CB" w:rsidP="00647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37C6" w14:textId="6D0067FF" w:rsidR="006470F3" w:rsidRDefault="00C3047B" w:rsidP="006470F3">
    <w:pPr>
      <w:pStyle w:val="Antrats"/>
      <w:jc w:val="right"/>
    </w:pPr>
    <w:r>
      <w:t>7</w:t>
    </w:r>
    <w:r w:rsidR="006470F3">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DE2"/>
    <w:multiLevelType w:val="hybridMultilevel"/>
    <w:tmpl w:val="A5D69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2F"/>
    <w:rsid w:val="00061AC3"/>
    <w:rsid w:val="000D37F9"/>
    <w:rsid w:val="000F4D79"/>
    <w:rsid w:val="0016377B"/>
    <w:rsid w:val="001E2A99"/>
    <w:rsid w:val="00212815"/>
    <w:rsid w:val="002210A0"/>
    <w:rsid w:val="00245DE5"/>
    <w:rsid w:val="002736FF"/>
    <w:rsid w:val="00283589"/>
    <w:rsid w:val="002A2B7F"/>
    <w:rsid w:val="002A5833"/>
    <w:rsid w:val="00415305"/>
    <w:rsid w:val="00464AFA"/>
    <w:rsid w:val="00465E2F"/>
    <w:rsid w:val="004F3A48"/>
    <w:rsid w:val="005303F2"/>
    <w:rsid w:val="0064585A"/>
    <w:rsid w:val="006470F3"/>
    <w:rsid w:val="007955DE"/>
    <w:rsid w:val="007E57F0"/>
    <w:rsid w:val="0085028E"/>
    <w:rsid w:val="00861EE6"/>
    <w:rsid w:val="00B55228"/>
    <w:rsid w:val="00BB4A13"/>
    <w:rsid w:val="00C3047B"/>
    <w:rsid w:val="00C40030"/>
    <w:rsid w:val="00C5307F"/>
    <w:rsid w:val="00CF7DDD"/>
    <w:rsid w:val="00D859CB"/>
    <w:rsid w:val="00D917DC"/>
    <w:rsid w:val="00F3659D"/>
    <w:rsid w:val="00F370D2"/>
    <w:rsid w:val="00F602AC"/>
    <w:rsid w:val="00F95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AA51"/>
  <w15:chartTrackingRefBased/>
  <w15:docId w15:val="{E80401AB-ECD0-4192-B3A5-A05270E2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17DC"/>
    <w:pPr>
      <w:ind w:left="720"/>
      <w:contextualSpacing/>
    </w:pPr>
  </w:style>
  <w:style w:type="character" w:styleId="Vietosrezervavimoenklotekstas">
    <w:name w:val="Placeholder Text"/>
    <w:basedOn w:val="Numatytasispastraiposriftas"/>
    <w:uiPriority w:val="99"/>
    <w:semiHidden/>
    <w:rsid w:val="0064585A"/>
    <w:rPr>
      <w:color w:val="666666"/>
    </w:rPr>
  </w:style>
  <w:style w:type="paragraph" w:styleId="Antrats">
    <w:name w:val="header"/>
    <w:basedOn w:val="prastasis"/>
    <w:link w:val="AntratsDiagrama"/>
    <w:uiPriority w:val="99"/>
    <w:unhideWhenUsed/>
    <w:rsid w:val="006470F3"/>
    <w:pPr>
      <w:tabs>
        <w:tab w:val="center" w:pos="4819"/>
        <w:tab w:val="right" w:pos="9638"/>
      </w:tabs>
    </w:pPr>
  </w:style>
  <w:style w:type="character" w:customStyle="1" w:styleId="AntratsDiagrama">
    <w:name w:val="Antraštės Diagrama"/>
    <w:basedOn w:val="Numatytasispastraiposriftas"/>
    <w:link w:val="Antrats"/>
    <w:uiPriority w:val="99"/>
    <w:rsid w:val="006470F3"/>
  </w:style>
  <w:style w:type="paragraph" w:styleId="Porat">
    <w:name w:val="footer"/>
    <w:basedOn w:val="prastasis"/>
    <w:link w:val="PoratDiagrama"/>
    <w:uiPriority w:val="99"/>
    <w:unhideWhenUsed/>
    <w:rsid w:val="006470F3"/>
    <w:pPr>
      <w:tabs>
        <w:tab w:val="center" w:pos="4819"/>
        <w:tab w:val="right" w:pos="9638"/>
      </w:tabs>
    </w:pPr>
  </w:style>
  <w:style w:type="character" w:customStyle="1" w:styleId="PoratDiagrama">
    <w:name w:val="Poraštė Diagrama"/>
    <w:basedOn w:val="Numatytasispastraiposriftas"/>
    <w:link w:val="Porat"/>
    <w:uiPriority w:val="99"/>
    <w:rsid w:val="0064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abonementas</cp:lastModifiedBy>
  <cp:revision>2</cp:revision>
  <dcterms:created xsi:type="dcterms:W3CDTF">2025-09-02T11:42:00Z</dcterms:created>
  <dcterms:modified xsi:type="dcterms:W3CDTF">2025-09-02T11:42:00Z</dcterms:modified>
</cp:coreProperties>
</file>